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80" w:right="1560" w:hanging="3872"/>
        <w:spacing w:after="0" w:line="409" w:lineRule="auto"/>
        <w:tabs>
          <w:tab w:leader="none" w:pos="46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8"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2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July 31, 2025, there were 703,304,452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5"/>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9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June 30, 2025 and 2024</w:t>
            </w:r>
          </w:p>
        </w:tc>
        <w:tc>
          <w:tcPr>
            <w:tcW w:w="110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six months ended June 30,</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00" w:type="dxa"/>
            <w:vAlign w:val="bottom"/>
            <w:tcBorders>
              <w:top w:val="single" w:sz="8" w:color="0000FF"/>
            </w:tcBorders>
            <w:gridSpan w:val="32"/>
          </w:tcPr>
          <w:p>
            <w:pPr>
              <w:spacing w:after="0" w:line="142" w:lineRule="exact"/>
              <w:rPr>
                <w:sz w:val="20"/>
                <w:szCs w:val="20"/>
                <w:color w:val="auto"/>
              </w:rPr>
            </w:pPr>
            <w:r>
              <w:rPr>
                <w:rFonts w:ascii="Times New Roman" w:cs="Times New Roman" w:eastAsia="Times New Roman" w:hAnsi="Times New Roman"/>
                <w:sz w:val="16"/>
                <w:szCs w:val="16"/>
                <w:color w:val="0000FF"/>
              </w:rPr>
              <w:t>2025 and 2024</w:t>
            </w:r>
          </w:p>
        </w:tc>
        <w:tc>
          <w:tcPr>
            <w:tcW w:w="12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7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w:t>
            </w:r>
          </w:p>
        </w:tc>
        <w:tc>
          <w:tcPr>
            <w:tcW w:w="2680" w:type="dxa"/>
            <w:vAlign w:val="bottom"/>
            <w:gridSpan w:val="6"/>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and six months ended June 30, 2025 and 2024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30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76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5520" w:type="dxa"/>
            <w:vAlign w:val="bottom"/>
            <w:gridSpan w:val="11"/>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4. Net Income Per Common Unit</w:t>
            </w:r>
          </w:p>
        </w:tc>
        <w:tc>
          <w:tcPr>
            <w:tcW w:w="360" w:type="dxa"/>
            <w:vAlign w:val="bottom"/>
            <w:tcBorders>
              <w:top w:val="single" w:sz="8" w:color="0000FF"/>
            </w:tcBorders>
            <w:gridSpan w:val="4"/>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2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3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25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328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10. Commitments and Contingencies</w:t>
            </w:r>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11. Segment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12. Acquisitions</w:t>
            </w:r>
          </w:p>
        </w:tc>
        <w:tc>
          <w:tcPr>
            <w:tcW w:w="8080" w:type="dxa"/>
            <w:vAlign w:val="bottom"/>
            <w:gridSpan w:val="2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of discontinued operations (Note 2)</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4,802</w:t>
            </w:r>
          </w:p>
        </w:tc>
      </w:tr>
      <w:tr>
        <w:trPr>
          <w:trHeight w:val="200"/>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18,528</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(5,082)</w:t>
            </w:r>
          </w:p>
        </w:tc>
      </w:tr>
      <w:tr>
        <w:trPr>
          <w:trHeight w:val="22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00"/>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 (Note 2)</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2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 (Note 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w:t>
            </w:r>
          </w:p>
        </w:tc>
      </w:tr>
      <w:tr>
        <w:trPr>
          <w:trHeight w:val="200"/>
        </w:trPr>
        <w:tc>
          <w:tcPr>
            <w:tcW w:w="8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 (Note 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8,516</w:t>
            </w:r>
          </w:p>
        </w:tc>
      </w:tr>
      <w:tr>
        <w:trPr>
          <w:trHeight w:val="200"/>
        </w:trPr>
        <w:tc>
          <w:tcPr>
            <w:tcW w:w="8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8"/>
        </w:trPr>
        <w:tc>
          <w:tcPr>
            <w:tcW w:w="8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(58,411,908 and 71,090,468 units outstanding, respectively)</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w:t>
            </w: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(703,304,452 and 703,770,300 units outstanding, respectively)</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r>
      <w:tr>
        <w:trPr>
          <w:trHeight w:val="219"/>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9,813</w:t>
            </w: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w:t>
            </w:r>
          </w:p>
        </w:tc>
      </w:tr>
      <w:tr>
        <w:trPr>
          <w:trHeight w:val="21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13,096</w:t>
            </w:r>
          </w:p>
        </w:tc>
      </w:tr>
      <w:tr>
        <w:trPr>
          <w:trHeight w:val="25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22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2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revenues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23,584</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07"/>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22,543</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23,708</w:t>
            </w: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capitalized interest of $3, $2, $5 and $4, respectively)</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7"/>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 (NOTE 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3"/>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UNIT (NOTE 4):</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3"/>
        </w:trPr>
        <w:tc>
          <w:tcPr>
            <w:tcW w:w="5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7"/>
        </w:trPr>
        <w:tc>
          <w:tcPr>
            <w:tcW w:w="5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6"/>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16"/>
        </w:trPr>
        <w:tc>
          <w:tcPr>
            <w:tcW w:w="5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r>
      <w:tr>
        <w:trPr>
          <w:trHeight w:val="212"/>
        </w:trPr>
        <w:tc>
          <w:tcPr>
            <w:tcW w:w="5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1"/>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00" w:type="dxa"/>
            <w:vAlign w:val="bottom"/>
            <w:gridSpan w:val="4"/>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5"/>
        </w:trPr>
        <w:tc>
          <w:tcPr>
            <w:tcW w:w="58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681</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577</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(87)</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6"/>
              </w:rPr>
              <w:t>411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0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5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24"/>
                <w:szCs w:val="24"/>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0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on asset sales,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(Gain)/loss on foreign currency revaluation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 of terminated interest rate hedging instruments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in unconsolidated entities, net (Note 12)</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provided by operating activities - continuing operations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Cash provided by operating activities - discontinued operations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related party notes (Note 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used in investing activities - continuing operations</w:t>
            </w:r>
          </w:p>
        </w:tc>
        <w:tc>
          <w:tcPr>
            <w:tcW w:w="9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used in investing activities - discontinued operations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7"/>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borrowings/(repayments) under commercial paper program (Note 6)</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senior notes (Note 6)</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related party notes (Note 9)</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units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Series A preferred units (Note 7)</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Series A preferred unitholders (Note 7)</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Series B preferred unitholders (Note 7)</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common unitholders (Note 7)</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7)</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continuing operations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discontinued operations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00" w:type="dxa"/>
            <w:vAlign w:val="bottom"/>
            <w:tcBorders>
              <w:bottom w:val="single" w:sz="8" w:color="auto"/>
            </w:tcBorders>
          </w:tcPr>
          <w:p>
            <w:pPr>
              <w:jc w:val="right"/>
              <w:ind w:right="72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90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Repurchase of Series A preferred units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7)</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units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units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5"/>
        </w:trPr>
        <w:tc>
          <w:tcPr>
            <w:tcW w:w="3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Natural Gas Liquids (“NGL”). See Note 11 for further discussion of our operating segments.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June 30, 2025, AAP also owned a limited partner interest in us through its ownership of approximately 232.9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June 30, 2025, owned an approximate 85% limited partner interest in AAP. PAA GP Holdings LLC (“PAGP GP”) is the general partner of PAGP.</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 References to “Plains entities,” as the context requires, include any or all of PAA and its subsidiaries and our general partner.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Billion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Btu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British thermal unit</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Mcf</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 cubic feet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MMbls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barrels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Organisation for Economic Co-operation and Development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dollar</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WTI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West Texas Intermediate</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2024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2024 was derived from audited financial statements, but does not include all disclosures required by GAAP. The results of operations for the three and six months ended June 30, 2025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the first quarter of 2026, subject to the satisfaction or waiver of customary closing conditions, including receipt of regulatory approvals.</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determined that in conjunction with entering into the SPA, the operations of the Canadian NGL Business meet the criteria for classification as held for sale and presentation as discontinued operations,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See Note 2 for additional information regarding discontinued operations. All significant intercompany balances and transactions between the Canadian NGL Business and our continuing operations have been eliminated.</w:t>
      </w:r>
    </w:p>
    <w:p>
      <w:pPr>
        <w:spacing w:after="0" w:line="2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we will divest the Canadian NGL Business as part of the sale, we will retain substantially all NGL assets in the United States and will also retain all crude oil assets in Canada. Prior to its classification as held for sale and presentation as discontinued operations, the Canadian NGL Business was part of our NGL reportable segment.</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June 2025, we entered into a forward currency instrument to hedge currency exchange risk associated with anticipated proceeds from the pending sale of our Canadian NGL Business. See Note 8 for additional information.</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contingent upon closing of the pending sale of the Canadian NGL Business,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the first quarter of 2026, based on existing contracts to be transferred and current market conditions as of June 30, 2025, we would recognize a liability of approximately $45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2024 Annual Report on Form 10-K, there have been no new accounting pronouncements that have become effective or have been issued during the six months ended June 30, 2025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Canadian NGL Business meet the criteria for classification as held for sale and presentation as discontinued operations.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0"/>
        </w:trPr>
        <w:tc>
          <w:tcPr>
            <w:tcW w:w="8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assets: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Linefill</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inventory</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assets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0"/>
        </w:trPr>
        <w:tc>
          <w:tcPr>
            <w:tcW w:w="8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0"/>
        </w:trPr>
        <w:tc>
          <w:tcPr>
            <w:tcW w:w="8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8"/>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long-term liabilities of discontinued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1"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accumulated depreciation of $887 million and $794 million as of June 30, 2025 and December 31, 2024, respectively.</w:t>
      </w:r>
    </w:p>
    <w:p>
      <w:pPr>
        <w:spacing w:after="0" w:line="200" w:lineRule="exact"/>
        <w:rPr>
          <w:rFonts w:ascii="Times New Roman" w:cs="Times New Roman" w:eastAsia="Times New Roman" w:hAnsi="Times New Roman"/>
          <w:sz w:val="23"/>
          <w:szCs w:val="23"/>
          <w:color w:val="auto"/>
          <w:vertAlign w:val="superscript"/>
        </w:rPr>
      </w:pPr>
    </w:p>
    <w:p>
      <w:pPr>
        <w:spacing w:after="0" w:line="375"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line items comprising pretax income from discontinued operations to income from discontinued operations, net of tax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00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3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63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(Gains)/losses on asset sales, net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34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8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Pr>
          <w:p>
            <w:pPr>
              <w:spacing w:after="0"/>
              <w:rPr>
                <w:sz w:val="19"/>
                <w:szCs w:val="19"/>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23,513</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2"/>
        </w:trPr>
        <w:tc>
          <w:tcPr>
            <w:tcW w:w="5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24"/>
                <w:szCs w:val="24"/>
                <w:color w:val="auto"/>
              </w:rPr>
            </w:pPr>
          </w:p>
        </w:tc>
        <w:tc>
          <w:tcPr>
            <w:tcW w:w="2340" w:type="dxa"/>
            <w:vAlign w:val="bottom"/>
            <w:gridSpan w:val="4"/>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3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
        </w:trPr>
        <w:tc>
          <w:tcPr>
            <w:tcW w:w="5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on pipelines and trucks. Revenues from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10,648</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360" w:type="dxa"/>
            <w:vAlign w:val="bottom"/>
          </w:tcPr>
          <w:p>
            <w:pPr>
              <w:spacing w:after="0"/>
              <w:rPr>
                <w:sz w:val="13"/>
                <w:szCs w:val="13"/>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3"/>
                <w:szCs w:val="13"/>
                <w:color w:val="auto"/>
              </w:rPr>
            </w:pPr>
          </w:p>
        </w:tc>
        <w:tc>
          <w:tcPr>
            <w:tcW w:w="14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80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left="1154"/>
              <w:spacing w:after="0" w:line="203"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5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154"/>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5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center"/>
              <w:ind w:left="1154"/>
              <w:spacing w:after="0"/>
              <w:rPr>
                <w:sz w:val="20"/>
                <w:szCs w:val="20"/>
                <w:color w:val="auto"/>
              </w:rPr>
            </w:pPr>
            <w:r>
              <w:rPr>
                <w:rFonts w:ascii="Times New Roman" w:cs="Times New Roman" w:eastAsia="Times New Roman" w:hAnsi="Times New Roman"/>
                <w:sz w:val="18"/>
                <w:szCs w:val="18"/>
                <w:color w:val="auto"/>
                <w:w w:val="99"/>
              </w:rPr>
              <w:t>77</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5480" w:type="dxa"/>
            <w:vAlign w:val="bottom"/>
            <w:vMerge w:val="restart"/>
          </w:tcPr>
          <w:p>
            <w:pPr>
              <w:jc w:val="right"/>
              <w:ind w:right="36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0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0"/>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25"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8"/>
              </w:rPr>
              <w:t>3,792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3,922</w:t>
            </w:r>
          </w:p>
        </w:tc>
      </w:tr>
      <w:tr>
        <w:trPr>
          <w:trHeight w:val="229"/>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 and other receivables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jc w:val="center"/>
              <w:ind w:left="496"/>
              <w:spacing w:after="0"/>
              <w:rPr>
                <w:sz w:val="20"/>
                <w:szCs w:val="20"/>
                <w:color w:val="auto"/>
              </w:rPr>
            </w:pPr>
            <w:r>
              <w:rPr>
                <w:rFonts w:ascii="Times New Roman" w:cs="Times New Roman" w:eastAsia="Times New Roman" w:hAnsi="Times New Roman"/>
                <w:sz w:val="18"/>
                <w:szCs w:val="18"/>
                <w:color w:val="auto"/>
                <w:w w:val="98"/>
              </w:rPr>
              <w:t>8,221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7,339</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76"/>
              <w:spacing w:after="0"/>
              <w:rPr>
                <w:sz w:val="20"/>
                <w:szCs w:val="20"/>
                <w:color w:val="auto"/>
              </w:rPr>
            </w:pPr>
            <w:r>
              <w:rPr>
                <w:rFonts w:ascii="Times New Roman" w:cs="Times New Roman" w:eastAsia="Times New Roman" w:hAnsi="Times New Roman"/>
                <w:sz w:val="18"/>
                <w:szCs w:val="18"/>
                <w:color w:val="auto"/>
              </w:rPr>
              <w:t>(8,451)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(7,582)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496"/>
              <w:spacing w:after="0"/>
              <w:rPr>
                <w:sz w:val="20"/>
                <w:szCs w:val="20"/>
                <w:color w:val="auto"/>
              </w:rPr>
            </w:pPr>
            <w:r>
              <w:rPr>
                <w:rFonts w:ascii="Times New Roman" w:cs="Times New Roman" w:eastAsia="Times New Roman" w:hAnsi="Times New Roman"/>
                <w:sz w:val="18"/>
                <w:szCs w:val="18"/>
                <w:color w:val="auto"/>
                <w:w w:val="98"/>
              </w:rPr>
              <w:t>3,562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3,679</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00"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00" w:lineRule="exact"/>
        <w:rPr>
          <w:rFonts w:ascii="Times New Roman" w:cs="Times New Roman" w:eastAsia="Times New Roman" w:hAnsi="Times New Roman"/>
          <w:sz w:val="23"/>
          <w:szCs w:val="23"/>
          <w:color w:val="auto"/>
          <w:vertAlign w:val="superscript"/>
        </w:rPr>
      </w:pPr>
    </w:p>
    <w:p>
      <w:pPr>
        <w:spacing w:after="0" w:line="375"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 Per Common Unit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income from continuing operations attributable to PAA (after deducting amounts allocated to the preferred unitholders and participating securities) and income from discontinued operations by the basic and diluted weighted average number of common units outstanding during the period.</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2024 Annual Report on Form 10-K for a discussion of our Series A preferred units and equity-indexed compensation plan awards. When applying the if-converted method prescribed by FASB guidance, on a weighted-average basis, for the three and six months ended June 30, 2025, the possible conversion of approximately 58 million and 61 million Series A preferred units, respectively, and for each of the three and six months ended June 30, 2024, the possible conversion of approximately 71 million Series A preferred units were excluded from the calculation of diluted net income per common unit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18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5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3"/>
        </w:trPr>
        <w:tc>
          <w:tcPr>
            <w:tcW w:w="5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8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5"/>
        </w:trPr>
        <w:tc>
          <w:tcPr>
            <w:tcW w:w="5860" w:type="dxa"/>
            <w:vAlign w:val="bottom"/>
            <w:shd w:val="clear" w:color="auto" w:fill="CCEEFF"/>
          </w:tcPr>
          <w:p>
            <w:pPr>
              <w:ind w:left="40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allocated to common unitholders -</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5860" w:type="dxa"/>
            <w:vAlign w:val="bottom"/>
            <w:shd w:val="clear" w:color="auto" w:fill="CCEEFF"/>
          </w:tcPr>
          <w:p>
            <w:pPr>
              <w:ind w:left="56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70"/>
        </w:trPr>
        <w:tc>
          <w:tcPr>
            <w:tcW w:w="5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6"/>
        </w:trPr>
        <w:tc>
          <w:tcPr>
            <w:tcW w:w="586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5860" w:type="dxa"/>
            <w:vAlign w:val="bottom"/>
          </w:tcPr>
          <w:p>
            <w:pPr>
              <w:ind w:left="56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(3)</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586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r>
      <w:tr>
        <w:trPr>
          <w:trHeight w:val="223"/>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57"/>
        </w:trPr>
        <w:tc>
          <w:tcPr>
            <w:tcW w:w="58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9"/>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30"/>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20" w:hanging="11"/>
        <w:spacing w:after="0" w:line="266" w:lineRule="auto"/>
        <w:rPr>
          <w:sz w:val="20"/>
          <w:szCs w:val="20"/>
          <w:color w:val="auto"/>
        </w:rPr>
      </w:pPr>
      <w:r>
        <w:rPr>
          <w:rFonts w:ascii="Times New Roman" w:cs="Times New Roman" w:eastAsia="Times New Roman" w:hAnsi="Times New Roman"/>
          <w:sz w:val="18"/>
          <w:szCs w:val="18"/>
          <w:color w:val="auto"/>
        </w:rPr>
        <w:t>We repurchased approximately 12.7 million Series A preferred units on January 31, 2025. See Note 7 for additional information. The difference between the cash we paid for the repurchase of such units and their carrying value on our balance sheet is considered a return to Series A preferred unitholders for the calculation of net income allocated to common unitholders.</w:t>
      </w:r>
    </w:p>
    <w:p>
      <w:pPr>
        <w:spacing w:after="0" w:line="68" w:lineRule="exact"/>
        <w:rPr>
          <w:sz w:val="20"/>
          <w:szCs w:val="20"/>
          <w:color w:val="auto"/>
        </w:rPr>
      </w:pPr>
    </w:p>
    <w:p>
      <w:pPr>
        <w:ind w:right="140" w:hanging="11"/>
        <w:spacing w:after="0" w:line="261" w:lineRule="auto"/>
        <w:rPr>
          <w:sz w:val="20"/>
          <w:szCs w:val="20"/>
          <w:color w:val="auto"/>
        </w:rPr>
      </w:pPr>
      <w:r>
        <w:rPr>
          <w:rFonts w:ascii="Times New Roman" w:cs="Times New Roman" w:eastAsia="Times New Roman" w:hAnsi="Times New Roman"/>
          <w:sz w:val="18"/>
          <w:szCs w:val="18"/>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72" w:lineRule="exact"/>
        <w:rPr>
          <w:sz w:val="20"/>
          <w:szCs w:val="20"/>
          <w:color w:val="auto"/>
        </w:rPr>
      </w:pPr>
    </w:p>
    <w:p>
      <w:pPr>
        <w:ind w:right="80" w:hanging="11"/>
        <w:spacing w:after="0" w:line="282" w:lineRule="auto"/>
        <w:rPr>
          <w:sz w:val="20"/>
          <w:szCs w:val="20"/>
          <w:color w:val="auto"/>
        </w:rPr>
      </w:pPr>
      <w:r>
        <w:rPr>
          <w:rFonts w:ascii="Times New Roman" w:cs="Times New Roman" w:eastAsia="Times New Roman" w:hAnsi="Times New Roman"/>
          <w:sz w:val="18"/>
          <w:szCs w:val="18"/>
          <w:color w:val="auto"/>
        </w:rPr>
        <w:t>Net income from discontinued operations allocated to common unitholders is Income from discontinued operations, net of tax as presented on our Condensed Consolidated Statements of Operations.</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15,830</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86" w:lineRule="exact"/>
        <w:rPr>
          <w:sz w:val="20"/>
          <w:szCs w:val="20"/>
          <w:color w:val="auto"/>
        </w:rPr>
      </w:pPr>
    </w:p>
    <w:p>
      <w:pPr>
        <w:jc w:val="right"/>
        <w:ind w:right="30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121"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Commercial paper notes, bearing a weighted-average interest rate of 4.6% and 4.6%, respectively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right="460"/>
        <w:spacing w:after="0" w:line="233" w:lineRule="auto"/>
        <w:rPr>
          <w:sz w:val="20"/>
          <w:szCs w:val="20"/>
          <w:color w:val="auto"/>
        </w:rPr>
      </w:pPr>
      <w:r>
        <w:rPr>
          <w:rFonts w:ascii="Times New Roman" w:cs="Times New Roman" w:eastAsia="Times New Roman" w:hAnsi="Times New Roman"/>
          <w:sz w:val="18"/>
          <w:szCs w:val="18"/>
          <w:color w:val="auto"/>
        </w:rPr>
        <w:t xml:space="preserve">Senior notes, net of unamortized discounts and debt issuance costs of $50 and $42, respectively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4"/>
        </w:trPr>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8"/>
        </w:trPr>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665"/>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4"/>
        </w:trPr>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23"/>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6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June 30, 2025 and December 31, 2024, as these notes were primarily designated as working capital borrowings, were required to be repaid within one year and were primarily for hedged inventory and NYMEX and ICE margin deposits.</w:t>
      </w:r>
    </w:p>
    <w:p>
      <w:pPr>
        <w:spacing w:after="0" w:line="68" w:lineRule="exact"/>
        <w:rPr>
          <w:sz w:val="20"/>
          <w:szCs w:val="20"/>
          <w:color w:val="auto"/>
        </w:rPr>
      </w:pPr>
    </w:p>
    <w:p>
      <w:pPr>
        <w:ind w:right="500" w:hanging="11"/>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classified our $1.0 billion, 4.65% senior notes due October 2025 as long-term based on our ability and intent to refinance the notes on a long-term basis.</w:t>
      </w:r>
    </w:p>
    <w:p>
      <w:pPr>
        <w:spacing w:after="0" w:line="54" w:lineRule="exact"/>
        <w:rPr>
          <w:sz w:val="20"/>
          <w:szCs w:val="20"/>
          <w:color w:val="auto"/>
        </w:rPr>
      </w:pPr>
    </w:p>
    <w:p>
      <w:pPr>
        <w:ind w:right="20" w:hanging="11"/>
        <w:spacing w:after="0" w:line="255" w:lineRule="auto"/>
        <w:rPr>
          <w:sz w:val="20"/>
          <w:szCs w:val="20"/>
          <w:color w:val="auto"/>
        </w:rPr>
      </w:pPr>
      <w:r>
        <w:rPr>
          <w:rFonts w:ascii="Times New Roman" w:cs="Times New Roman" w:eastAsia="Times New Roman" w:hAnsi="Times New Roman"/>
          <w:sz w:val="18"/>
          <w:szCs w:val="18"/>
          <w:color w:val="auto"/>
        </w:rPr>
        <w:t>Our fixed-rate senior notes had a face value of approximately $8.2 billion and $7.2 billion as of June 30, 2025 and December 31, 2024, respectively. We estimated the aggregate fair value of these notes as of June 30, 2025 and December 31, 2024 to be approximately $7.9 billion and $6.7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January 2025, we completed the offering of $1.0 billion, 5.95% senior notes due June 2035 at a public offering price of 99.761%. Interest payments are due on June 15 and December 15 of each year, commencing on June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our commercial paper program for the six months ended June 30, 2025 and 2024 were approximately $27.6 billion and $20.6 billion, respectively. Total repayments under our commercial paper program were approximately $27.5 billion and $21.0 billion for the six months ended June 30, 2025 and 2024, respectively. The variance in total gross borrowings and repayments is impacted by various business and financial factors including, but not limited to, the timing, average term and method of general partnership borrowing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2025 and December 31, 2024, we had outstanding letters of credit of $81 million and $90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703,770,300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Repurchase of Series A preferred units</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400" w:type="dxa"/>
            <w:vAlign w:val="bottom"/>
            <w:tcBorders>
              <w:top w:val="single" w:sz="8" w:color="CCEEFF"/>
            </w:tcBorders>
            <w:vMerge w:val="continue"/>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(12,678,560)</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40" w:type="dxa"/>
            <w:vAlign w:val="bottom"/>
            <w:tcBorders>
              <w:top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703,775,950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shd w:val="clear" w:color="auto" w:fill="CCEEFF"/>
          </w:tcPr>
          <w:p>
            <w:pPr>
              <w:spacing w:after="0"/>
              <w:rPr>
                <w:sz w:val="12"/>
                <w:szCs w:val="12"/>
                <w:color w:val="auto"/>
              </w:rPr>
            </w:pPr>
          </w:p>
        </w:tc>
        <w:tc>
          <w:tcPr>
            <w:tcW w:w="6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6"/>
                <w:szCs w:val="16"/>
                <w:color w:val="auto"/>
              </w:rPr>
              <w:t>Repurchase and cancellation of common units under the Common Equity Repurchase</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6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Program</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703,304,452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400" w:type="dxa"/>
            <w:vAlign w:val="bottom"/>
            <w:tcBorders>
              <w:top w:val="single" w:sz="8" w:color="CCEEFF"/>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701,008,749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400" w:type="dxa"/>
            <w:vAlign w:val="bottom"/>
            <w:tcBorders>
              <w:top w:val="single" w:sz="8" w:color="CCEEFF"/>
              <w:bottom w:val="single" w:sz="8" w:color="CCEEFF"/>
            </w:tcBorders>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Outstanding at March 31, 2024</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701,071,031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400" w:type="dxa"/>
            <w:vAlign w:val="bottom"/>
            <w:tcBorders>
              <w:top w:val="single" w:sz="8" w:color="CCEEFF"/>
              <w:bottom w:val="single" w:sz="8" w:color="CCEEFF"/>
            </w:tcBorders>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701,081,299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Series A Preferred Units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January 31, 2025, we repurchased approximately 12.7 million of our outstanding Series A preferred units from EnCap Flatrock Midstream at the issue price of $26.25 per unit for a purchase price of approximately $333 million, plus accrued and unpaid distributions through January 30, 2025 of approximately $10 million. EnCap Flatrock Midstream is affiliated with EnCap Investments, L.P., an entity that is associated with a member of the board of directors of PAGP GP. The repurchase also resulted in a reduction to the related Preferred Distribution Rate Reset Option liability. See Note 12 to our Consolidated Financial Statements included in Part IV of our 2024 Annual Report on Form 10-K for additional information regarding the Preferred Distribution Rate Reset Option. The difference between the cash we paid for the repurchase of such units and their carrying value on our balance sheet was $43 million. Such amount was considered a return to Series A preferred unitholders and thus reduced amounts attributable to our common unitholders in our Condensed Consolidated Statement of Changes in Partners’ Capital and the calculation of net income per common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Distributions on the Series A preferred units accumulate and are payable quarterly within 45 days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quarter. See Note 11 to our Consolidated Financial Statements included in Part IV of our 2024 Annual Report on Form 10-K for additional information regarding Series A preferred unit distributions. The following table details distributions to our Series A preferred unitholders paid during or pertaining to the first six months of 2025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6"/>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0" w:type="dxa"/>
            <w:vAlign w:val="bottom"/>
          </w:tcPr>
          <w:p>
            <w:pPr>
              <w:spacing w:after="0"/>
              <w:rPr>
                <w:sz w:val="1"/>
                <w:szCs w:val="1"/>
                <w:color w:val="auto"/>
              </w:rPr>
            </w:pPr>
          </w:p>
        </w:tc>
      </w:tr>
      <w:tr>
        <w:trPr>
          <w:trHeight w:val="23"/>
        </w:trPr>
        <w:tc>
          <w:tcPr>
            <w:tcW w:w="2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5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760" w:type="dxa"/>
            <w:vAlign w:val="bottom"/>
          </w:tcPr>
          <w:p>
            <w:pPr>
              <w:spacing w:after="0"/>
              <w:rPr>
                <w:sz w:val="2"/>
                <w:szCs w:val="2"/>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25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August 14, 2025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March 31,</w:t>
            </w:r>
          </w:p>
        </w:tc>
        <w:tc>
          <w:tcPr>
            <w:tcW w:w="1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380" w:type="dxa"/>
            <w:vAlign w:val="bottom"/>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December</w:t>
            </w:r>
          </w:p>
        </w:tc>
        <w:tc>
          <w:tcPr>
            <w:tcW w:w="1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31, 2024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176"/>
        </w:trPr>
        <w:tc>
          <w:tcPr>
            <w:tcW w:w="2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June 30, 2025,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6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Series B Preferred Unit Distributions</w:t>
      </w:r>
      <w:r>
        <w:rPr>
          <w:rFonts w:ascii="Times New Roman" w:cs="Times New Roman" w:eastAsia="Times New Roman" w:hAnsi="Times New Roman"/>
          <w:sz w:val="17"/>
          <w:szCs w:val="17"/>
          <w:color w:val="auto"/>
        </w:rPr>
        <w:t>. Distributions on the Series B preferred units accumulate and are payable quarterly in arrears on the 15th day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February, May, August and November. See Note 11 to our Consolidated Financial Statements included in Part IV of our 2024 Annual Report on Form</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10-K for additional information regarding Series B preferred unit distributions. The following table details distributions paid or to be paid to our Series B preferred unitholders (in millions, except per unit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0" w:type="dxa"/>
            <w:vAlign w:val="bottom"/>
          </w:tcPr>
          <w:p>
            <w:pPr>
              <w:spacing w:after="0"/>
              <w:rPr>
                <w:sz w:val="1"/>
                <w:szCs w:val="1"/>
                <w:color w:val="auto"/>
              </w:rPr>
            </w:pPr>
          </w:p>
        </w:tc>
      </w:tr>
      <w:tr>
        <w:trPr>
          <w:trHeight w:val="23"/>
        </w:trPr>
        <w:tc>
          <w:tcPr>
            <w:tcW w:w="2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4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9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gridSpan w:val="2"/>
            <w:vMerge w:val="continue"/>
          </w:tcPr>
          <w:p>
            <w:pPr>
              <w:spacing w:after="0"/>
              <w:rPr>
                <w:sz w:val="16"/>
                <w:szCs w:val="16"/>
                <w:color w:val="auto"/>
              </w:rPr>
            </w:pPr>
          </w:p>
        </w:tc>
        <w:tc>
          <w:tcPr>
            <w:tcW w:w="2480" w:type="dxa"/>
            <w:vAlign w:val="bottom"/>
            <w:gridSpan w:val="3"/>
            <w:vMerge w:val="continue"/>
          </w:tcPr>
          <w:p>
            <w:pPr>
              <w:spacing w:after="0"/>
              <w:rPr>
                <w:sz w:val="16"/>
                <w:szCs w:val="16"/>
                <w:color w:val="auto"/>
              </w:rPr>
            </w:pPr>
          </w:p>
        </w:tc>
        <w:tc>
          <w:tcPr>
            <w:tcW w:w="2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20" w:type="dxa"/>
            <w:vAlign w:val="bottom"/>
          </w:tcPr>
          <w:p>
            <w:pPr>
              <w:spacing w:after="0"/>
              <w:rPr>
                <w:sz w:val="16"/>
                <w:szCs w:val="16"/>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84"/>
        </w:trPr>
        <w:tc>
          <w:tcPr>
            <w:tcW w:w="2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auto"/>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15, 2025 through August 14,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August 15, 2025 </w:t>
            </w:r>
            <w:r>
              <w:rPr>
                <w:rFonts w:ascii="Times New Roman" w:cs="Times New Roman" w:eastAsia="Times New Roman" w:hAnsi="Times New Roman"/>
                <w:sz w:val="23"/>
                <w:szCs w:val="23"/>
                <w:color w:val="auto"/>
                <w:vertAlign w:val="superscript"/>
              </w:rPr>
              <w:t>(2)</w:t>
            </w:r>
          </w:p>
        </w:tc>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15, 2025 through May 14,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184"/>
        </w:trPr>
        <w:tc>
          <w:tcPr>
            <w:tcW w:w="2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15, 2024 through February</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18, 2025</w:t>
            </w:r>
          </w:p>
        </w:tc>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3, 2025</w:t>
            </w:r>
          </w:p>
        </w:tc>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14, 2025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160" w:hanging="11"/>
        <w:spacing w:after="0" w:line="282" w:lineRule="auto"/>
        <w:rPr>
          <w:sz w:val="20"/>
          <w:szCs w:val="20"/>
          <w:color w:val="auto"/>
        </w:rPr>
      </w:pPr>
      <w:r>
        <w:rPr>
          <w:rFonts w:ascii="Times New Roman" w:cs="Times New Roman" w:eastAsia="Times New Roman" w:hAnsi="Times New Roman"/>
          <w:sz w:val="18"/>
          <w:szCs w:val="18"/>
          <w:color w:val="auto"/>
        </w:rPr>
        <w:t>At June 30, 2025, approximately $9 million of accrued distributions payable to our Series B preferred unitholders was included in “Other current liabilities” on our Condensed Consolidated Balance Sheet.</w:t>
      </w:r>
    </w:p>
    <w:p>
      <w:pPr>
        <w:spacing w:after="0" w:line="187"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right="160"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(in millions, except per unit data):</w:t>
      </w:r>
    </w:p>
    <w:tbl>
      <w:tblPr>
        <w:tblLayout w:type="fixed"/>
        <w:tblInd w:w="0" w:type="dxa"/>
        <w:tblCellMar>
          <w:top w:w="0" w:type="dxa"/>
          <w:left w:w="0" w:type="dxa"/>
          <w:bottom w:w="0" w:type="dxa"/>
          <w:right w:w="0" w:type="dxa"/>
        </w:tblCellMar>
      </w:tblP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9"/>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60" w:type="dxa"/>
            <w:vAlign w:val="bottom"/>
          </w:tcPr>
          <w:p>
            <w:pPr>
              <w:spacing w:after="0"/>
              <w:rPr>
                <w:sz w:val="16"/>
                <w:szCs w:val="16"/>
                <w:color w:val="auto"/>
              </w:rPr>
            </w:pP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20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760" w:type="dxa"/>
            <w:vAlign w:val="bottom"/>
            <w:gridSpan w:val="2"/>
          </w:tcPr>
          <w:p>
            <w:pPr>
              <w:ind w:left="38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8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8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AAP</w:t>
            </w:r>
          </w:p>
        </w:tc>
        <w:tc>
          <w:tcPr>
            <w:tcW w:w="20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7"/>
                <w:szCs w:val="17"/>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223"/>
        </w:trPr>
        <w:tc>
          <w:tcPr>
            <w:tcW w:w="1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14, 2025</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31, 2025</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15, 2025</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14, 2025</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162"/>
        </w:trPr>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30" w:lineRule="exact"/>
        <w:rPr>
          <w:sz w:val="20"/>
          <w:szCs w:val="20"/>
          <w:color w:val="auto"/>
        </w:rPr>
      </w:pPr>
    </w:p>
    <w:p>
      <w:pPr>
        <w:ind w:left="5540" w:right="4320" w:hanging="5532"/>
        <w:spacing w:after="0" w:line="904" w:lineRule="auto"/>
        <w:tabs>
          <w:tab w:leader="none" w:pos="6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noncontrolling interests in our subsidiaries consisted of (i) a 35% interest in Plains Oryx Permian Basin LLC (the “Permian JV”), (ii) a 30% interest in Cactus II Pipeline LLC (“Cactus II”) and (iii) a 33% interest in Red River Pipeline Company LLC (“Red River”).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noncontrolling interests during the periods presented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r>
      <w:tr>
        <w:trPr>
          <w:trHeight w:val="195"/>
        </w:trPr>
        <w:tc>
          <w:tcPr>
            <w:tcW w:w="5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r>
      <w:tr>
        <w:trPr>
          <w:trHeight w:val="195"/>
        </w:trPr>
        <w:tc>
          <w:tcPr>
            <w:tcW w:w="59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9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9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900" w:type="dxa"/>
            <w:vAlign w:val="bottom"/>
          </w:tcPr>
          <w:p>
            <w:pPr>
              <w:spacing w:after="0"/>
              <w:rPr>
                <w:sz w:val="19"/>
                <w:szCs w:val="19"/>
                <w:color w:val="auto"/>
              </w:rPr>
            </w:pP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5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80" w:firstLine="607"/>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June 30, 2025, net derivative positions related to these activities included:</w:t>
      </w:r>
    </w:p>
    <w:p>
      <w:pPr>
        <w:spacing w:after="0" w:line="162" w:lineRule="exact"/>
        <w:rPr>
          <w:sz w:val="20"/>
          <w:szCs w:val="20"/>
          <w:color w:val="auto"/>
        </w:rPr>
      </w:pPr>
    </w:p>
    <w:p>
      <w:pPr>
        <w:ind w:left="980" w:right="1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5.1 million barrels associated with our crude oil purchases, which will be unwound ratably through September 2025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3.2 million barrels, which hedges a portion of our anticipated crude oil lease gathering purchases through April 2026.</w:t>
      </w:r>
    </w:p>
    <w:p>
      <w:pPr>
        <w:spacing w:after="0" w:line="10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2.6 million barrels at multiple locations through December 2026.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5.1 million barrels through December 2029 related to anticipated net sales of crude oil inventory.</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0.5 TWh through December 2030 related to anticipated power supply requirements.</w:t>
      </w:r>
    </w:p>
    <w:p>
      <w:pPr>
        <w:spacing w:after="0" w:line="25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2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1"/>
        </w:trPr>
        <w:tc>
          <w:tcPr>
            <w:tcW w:w="58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from commodity derivative activity</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16</w:t>
            </w:r>
          </w:p>
        </w:tc>
      </w:tr>
      <w:tr>
        <w:trPr>
          <w:trHeight w:val="28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9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180" w:type="dxa"/>
            <w:vAlign w:val="bottom"/>
            <w:gridSpan w:val="4"/>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1"/>
                <w:szCs w:val="11"/>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109"/>
        </w:trPr>
        <w:tc>
          <w:tcPr>
            <w:tcW w:w="2580" w:type="dxa"/>
            <w:vAlign w:val="bottom"/>
          </w:tcPr>
          <w:p>
            <w:pPr>
              <w:spacing w:after="0"/>
              <w:rPr>
                <w:sz w:val="9"/>
                <w:szCs w:val="9"/>
                <w:color w:val="auto"/>
              </w:rPr>
            </w:pPr>
          </w:p>
        </w:tc>
        <w:tc>
          <w:tcPr>
            <w:tcW w:w="21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1060" w:type="dxa"/>
            <w:vAlign w:val="bottom"/>
            <w:gridSpan w:val="3"/>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20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9"/>
                <w:szCs w:val="9"/>
                <w:color w:val="auto"/>
              </w:rPr>
            </w:pPr>
          </w:p>
        </w:tc>
        <w:tc>
          <w:tcPr>
            <w:tcW w:w="880" w:type="dxa"/>
            <w:vAlign w:val="bottom"/>
            <w:vMerge w:val="restart"/>
          </w:tcPr>
          <w:p>
            <w:pPr>
              <w:jc w:val="center"/>
              <w:ind w:right="37"/>
              <w:spacing w:after="0" w:line="127" w:lineRule="exact"/>
              <w:rPr>
                <w:sz w:val="20"/>
                <w:szCs w:val="20"/>
                <w:color w:val="auto"/>
              </w:rPr>
            </w:pPr>
            <w:r>
              <w:rPr>
                <w:rFonts w:ascii="Times New Roman" w:cs="Times New Roman" w:eastAsia="Times New Roman" w:hAnsi="Times New Roman"/>
                <w:sz w:val="14"/>
                <w:szCs w:val="14"/>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4"/>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terms of our outstanding interest rate derivatives as of June 30, 2025 (notional amounts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Hedged Transaction</w:t>
            </w: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and Types of</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Employed</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Locked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175"/>
        </w:trPr>
        <w:tc>
          <w:tcPr>
            <w:tcW w:w="27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12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 forward starting swaps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6/15/2026</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3.09%</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4 forward starting swaps</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10/15/2025</w:t>
            </w:r>
          </w:p>
        </w:tc>
        <w:tc>
          <w:tcPr>
            <w:tcW w:w="10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3.76%</w:t>
            </w:r>
          </w:p>
        </w:tc>
        <w:tc>
          <w:tcPr>
            <w:tcW w:w="10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39"/>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(30-year)</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Anticipated interest payments</w:t>
            </w:r>
          </w:p>
        </w:tc>
        <w:tc>
          <w:tcPr>
            <w:tcW w:w="2500" w:type="dxa"/>
            <w:vAlign w:val="bottom"/>
            <w:gridSpan w:val="2"/>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8"/>
                <w:szCs w:val="18"/>
                <w:color w:val="auto"/>
                <w:w w:val="99"/>
              </w:rPr>
              <w:t>4 Treasury Locks</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10/15/2025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4.00%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Cash flow hedge</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(10-year)</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June 30, 2025, there was a net loss of $36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2025; thus, actual amounts to be reclassified will differ and could vary materially as a result of changes in market conditions.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gain/(loss) recognized in AOCI for derivatives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28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At June 30, 2025, the net fair value of our interest rate hedges, which was included in “Other current assets” on our Condensed Consolidated Balance Sheet, totaled $33 million. At December 31, 2024, the net fair value of our interest rate hedges, which was included in “Other long-term assets, net” on our Condensed Consolidated Balance Sheet, totaled $27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June 30, 2025, the sale of the Canadian NGL Business is probable and the fair value of the instrument is a $49 million liability, presented in “Other current liabilities” on our Condensed Consolidated Balance Sheet. For the three months ended June 30, 2025, we recognized the $49 million loss, presented in “Losses on asset sales, net” on our Condensed Consolidated Statements of Operations. As of June 30, 2025, for the periods covered by the instrument, the average fixed USD to CAD rate of the instrument is $1.37 and the average forward USD to CAD rate is $1.35. See Note 1 for additional information regarding the pending sale of the Canadian NGL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6"/>
                <w:szCs w:val="16"/>
                <w:color w:val="auto"/>
              </w:rPr>
            </w:pPr>
          </w:p>
        </w:tc>
        <w:tc>
          <w:tcPr>
            <w:tcW w:w="2300" w:type="dxa"/>
            <w:vAlign w:val="bottom"/>
            <w:gridSpan w:val="6"/>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Fair Value as of June 30, 2025</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7"/>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23"/>
        </w:trPr>
        <w:tc>
          <w:tcPr>
            <w:tcW w:w="47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6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gridSpan w:val="2"/>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71"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29" w:lineRule="exact"/>
        <w:rPr>
          <w:rFonts w:ascii="Times New Roman" w:cs="Times New Roman" w:eastAsia="Times New Roman" w:hAnsi="Times New Roman"/>
          <w:sz w:val="23"/>
          <w:szCs w:val="23"/>
          <w:color w:val="auto"/>
          <w:vertAlign w:val="superscript"/>
        </w:rPr>
      </w:pPr>
    </w:p>
    <w:p>
      <w:pPr>
        <w:ind w:left="660" w:right="1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9—Related Party Transactions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16 to our Consolidated Financial Statements included in Part IV of our 2024 Annual Report on Form 10-K for a complete discussion of related parties, including the determination of our related parties and nature of involvement with such related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February 2025, a consolidated subsidiary issued an additional unsecured promissory note to PAGP with a face value of CAD$473 million (approximately $330 million). Concurrently, PAGP issued an unsecured promissory note to us for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same face value amount. These notes are due June 2035 and bear interest at a rate of 5.75% per annum, payable semi-annually. The interest rate for such notes was determined in accordance with the arm’s-length principle set forth in the OECD Guidelines and the transfer pricing provisions of Section 247 of Canada’s Income Tax Act. In connection with the issuance of these related party notes, we received cash from PAGP of approximately $330 million, which is reflected in “Proceeds from the issuance of related party notes” (a component of cash flows from financing activities), and we paid an equal and offsetting amount of cash to PAGP, which is reflected in “Investments in related party notes” (a component of cash flows from investing activities) on our Condensed Consolidated Statement of Cash Flows.</w:t>
      </w:r>
    </w:p>
    <w:p>
      <w:pPr>
        <w:spacing w:after="0" w:line="21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Accrued and unpaid interest receivable/payable was $32 million and $27 million as of June 30, 2025 and December 31, 2024, respectively. Interest income/expense on the related party notes totaled $23 million and $43 million for the three and six months ended June 30, 2025, respectively, and $7 million and $15 million for the three and six months ended June 30, 2024, respectively.</w:t>
      </w:r>
    </w:p>
    <w:p>
      <w:pPr>
        <w:spacing w:after="0" w:line="20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our outstanding related party notes receivable and related party notes payable balances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notes receivable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306"/>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notes payable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9" w:lineRule="exact"/>
        <w:rPr>
          <w:sz w:val="20"/>
          <w:szCs w:val="20"/>
          <w:color w:val="auto"/>
        </w:rPr>
      </w:pPr>
    </w:p>
    <w:p>
      <w:pPr>
        <w:ind w:left="660" w:right="58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Condensed Consolidated Balance Sheet because there is a legal right to offset and we intend to offset with the counterparty.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24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58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5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bl>
    <w:p>
      <w:pPr>
        <w:spacing w:after="0" w:line="37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75"/>
        </w:trPr>
        <w:tc>
          <w:tcPr>
            <w:tcW w:w="38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117" w:lineRule="exact"/>
        <w:rPr>
          <w:sz w:val="20"/>
          <w:szCs w:val="20"/>
          <w:color w:val="auto"/>
        </w:rPr>
      </w:pPr>
    </w:p>
    <w:p>
      <w:pPr>
        <w:ind w:left="660" w:right="100" w:hanging="652"/>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amounts related to transportation and storage services and amounts owed to us or advanced to us related to investment capital projects of equity method investees where we serve as construction manager.</w:t>
      </w:r>
    </w:p>
    <w:p>
      <w:pPr>
        <w:spacing w:after="0" w:line="90"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i w:val="1"/>
          <w:iCs w:val="1"/>
          <w:color w:val="auto"/>
        </w:rPr>
        <w:t>Line 901 Incident</w:t>
      </w:r>
      <w:r>
        <w:rPr>
          <w:rFonts w:ascii="Times New Roman" w:cs="Times New Roman" w:eastAsia="Times New Roman" w:hAnsi="Times New Roman"/>
          <w:sz w:val="17"/>
          <w:szCs w:val="17"/>
          <w:color w:val="auto"/>
        </w:rPr>
        <w:t>. In May 2015 we experienced a release of crude oil from our Las Flores to Gaviota Pipeline (Line 901) in Santa Barbara County,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California. Effective as of June 30, 2025,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did not recognize any costs, net of amounts probable of recovery from insurance (as applicable), during the three and six months ended June 30, 2025 and 2024. As of June 30, 2025 and December 31, 2024, we had a remaining undiscounted gross liability of approximately $20 million and $5 million, respectively, related to the Line 901 incident, which aggregate amounts are reflected in “Current liabilities” on our Condensed Consolidated Balance Sheet.</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$275 million of the $500 million available under our 2015 insurance program. We have submitted insurance claims seeking reimbursement for additional legal fees and settlements relating to the Line 901 incident. Such claims, in the aggregate, exceed the $225 million of insurance coverage remaining under the 2015 program. Since we lack certainty at this time as to if or when these claims will be reimbursed by the carriers, we have elected not to accrue for a receivable in connection with these claims. As such, with respect to the Line 901 incident, we do not have any amounts recorded as receivables that are recognized on our Condensed Consolidated Balance Sheets as of June 30, 2025 and December 31, 2024.</w:t>
      </w:r>
    </w:p>
    <w:p>
      <w:pPr>
        <w:spacing w:after="0" w:line="20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23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June 30, 2025, we incurred $12 million in connection with clean-up and remediation activities.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Litigation Matters: Hartree. </w:t>
      </w:r>
      <w:r>
        <w:rPr>
          <w:rFonts w:ascii="Times New Roman" w:cs="Times New Roman" w:eastAsia="Times New Roman" w:hAnsi="Times New Roman"/>
          <w:sz w:val="18"/>
          <w:szCs w:val="18"/>
          <w:color w:val="auto"/>
        </w:rPr>
        <w:t>On July 19, 2022, Hartree Natural Gas Storage, LLC (“Hartree”) filed a lawsuit under seal in the Superior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for the State of 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24th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believe the claims in the lawsuit lack merit and intend to vigorously defend this lawsuit in coordination with the other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11—Segment Information</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four NGL assets located in the United States.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from continuing operations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900"/>
        </w:trPr>
        <w:tc>
          <w:tcPr>
            <w:tcW w:w="5020" w:type="dxa"/>
            <w:vAlign w:val="bottom"/>
          </w:tcPr>
          <w:p>
            <w:pPr>
              <w:spacing w:after="0"/>
              <w:rPr>
                <w:sz w:val="24"/>
                <w:szCs w:val="24"/>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900"/>
        </w:trPr>
        <w:tc>
          <w:tcPr>
            <w:tcW w:w="5020" w:type="dxa"/>
            <w:vAlign w:val="bottom"/>
          </w:tcPr>
          <w:p>
            <w:pPr>
              <w:spacing w:after="0"/>
              <w:rPr>
                <w:sz w:val="24"/>
                <w:szCs w:val="24"/>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905"/>
        </w:trPr>
        <w:tc>
          <w:tcPr>
            <w:tcW w:w="5020" w:type="dxa"/>
            <w:vAlign w:val="bottom"/>
          </w:tcPr>
          <w:p>
            <w:pPr>
              <w:spacing w:after="0"/>
              <w:rPr>
                <w:sz w:val="24"/>
                <w:szCs w:val="24"/>
                <w:color w:val="auto"/>
              </w:rPr>
            </w:pPr>
          </w:p>
        </w:tc>
        <w:tc>
          <w:tcPr>
            <w:tcW w:w="8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459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63"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right="20" w:hanging="652"/>
        <w:spacing w:after="0" w:line="245" w:lineRule="auto"/>
        <w:tabs>
          <w:tab w:leader="none" w:pos="64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1"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ind w:left="20" w:right="40" w:hanging="11"/>
        <w:spacing w:after="0" w:line="255" w:lineRule="auto"/>
        <w:rPr>
          <w:sz w:val="20"/>
          <w:szCs w:val="20"/>
          <w:color w:val="auto"/>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2024 Annual Report on Form 10-K for a discussion regarding our equity-indexed compensation plans.</w:t>
      </w:r>
    </w:p>
    <w:p>
      <w:pPr>
        <w:spacing w:after="0" w:line="81" w:lineRule="exact"/>
        <w:rPr>
          <w:sz w:val="20"/>
          <w:szCs w:val="20"/>
          <w:color w:val="auto"/>
        </w:rPr>
      </w:pPr>
    </w:p>
    <w:p>
      <w:pPr>
        <w:ind w:left="20"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related to acquisitions completed during the first half of 2025. See Note 12 for information regarding these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8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combined represent total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Income from continuing operations, net of tax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30"/>
        </w:trPr>
        <w:tc>
          <w:tcPr>
            <w:tcW w:w="5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tax</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0"/>
        </w:trPr>
        <w:tc>
          <w:tcPr>
            <w:tcW w:w="5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87" w:lineRule="exact"/>
        <w:rPr>
          <w:sz w:val="20"/>
          <w:szCs w:val="20"/>
          <w:color w:val="auto"/>
        </w:rPr>
      </w:pPr>
    </w:p>
    <w:p>
      <w:pPr>
        <w:ind w:left="640" w:hanging="632"/>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Ironwood Midstream</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Ironwood Midstream</w:t>
      </w:r>
      <w:r>
        <w:rPr>
          <w:rFonts w:ascii="Times New Roman" w:cs="Times New Roman" w:eastAsia="Times New Roman" w:hAnsi="Times New Roman"/>
          <w:sz w:val="18"/>
          <w:szCs w:val="18"/>
          <w:color w:val="auto"/>
        </w:rPr>
        <w:t>. On January 31, 2025, we acquired Ironwood Midstream Energy Partners II, LLC (“Ironwood Midstream”), which owns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7 for additional information.</w:t>
      </w:r>
    </w:p>
    <w:p>
      <w:pPr>
        <w:spacing w:after="0" w:line="21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which was based on costs incurred on similar recent construction projects,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$1 million and $2 million during the three and six months ended June 30, 2025, respectively, and the future amortization expense for the remainder of 2025 through 2029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1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Medallion Midstream</w:t>
      </w:r>
      <w:r>
        <w:rPr>
          <w:rFonts w:ascii="Times New Roman" w:cs="Times New Roman" w:eastAsia="Times New Roman" w:hAnsi="Times New Roman"/>
          <w:sz w:val="18"/>
          <w:szCs w:val="18"/>
          <w:color w:val="auto"/>
        </w:rPr>
        <w:t>. In January 2025, we acquired EMG Medallion 2 Holdings, LLC and its subsidiaries, which own a crude oil gathering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business in the Delaware Basin, for $163 million (approximately $106 million net to our 65% interest in the Permian JV), subject to certain adjustments. A cash deposit of approximately $16 million was paid upon signing in December 2024. The Medallion Midstream acquisition is accounted for in our Crude Oil segment. EMG Medallion 2 Holdings, LLC was a portfolio company of The Energy &amp; Minerals Group (“EMG”), which is associated with a member of the board of directors of PAGP GP.</w:t>
      </w:r>
    </w:p>
    <w:p>
      <w:pPr>
        <w:spacing w:after="0" w:line="21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Cheyenne Pipeline</w:t>
      </w:r>
      <w:r>
        <w:rPr>
          <w:rFonts w:ascii="Times New Roman" w:cs="Times New Roman" w:eastAsia="Times New Roman" w:hAnsi="Times New Roman"/>
          <w:sz w:val="18"/>
          <w:szCs w:val="18"/>
          <w:color w:val="auto"/>
        </w:rPr>
        <w:t>. In February 2025, through a non-monetary transaction, we acquired the remaining 50% interest in Cheyenne Pipeline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(“Cheyenne”) in exchange for the termination of certain obligations. The transaction resulted in a net gain of approximately $31 million, which represents the difference between the fair value of the entity and the historical book value of our investment. This gain is reflected in “Gain on investments in unconsolidated entities, net” on our Condensed Consolidated Statement of Operations. Prior to this transaction, our 50% interest in Cheyenne was accounted for as an equity method investment, reported in our Crude Oil segment.</w:t>
      </w:r>
    </w:p>
    <w:p>
      <w:pPr>
        <w:spacing w:after="0" w:line="21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Black Knight Midstream. </w:t>
      </w:r>
      <w:r>
        <w:rPr>
          <w:rFonts w:ascii="Times New Roman" w:cs="Times New Roman" w:eastAsia="Times New Roman" w:hAnsi="Times New Roman"/>
          <w:sz w:val="18"/>
          <w:szCs w:val="18"/>
          <w:color w:val="auto"/>
        </w:rPr>
        <w:t>During the second quarter of 2025, we acquired Black Knight Midstream, LLC (“Black Knight Midstream”),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a crude oil gathering business in the Permian Basin, for $59 million (approximately $38 million net to our 65% interest in the Permian JV), subject to certain adjustments. The Black Knight Midstream assets are accounted for in our Crude Oil segment.</w:t>
      </w:r>
    </w:p>
    <w:p>
      <w:pPr>
        <w:spacing w:after="0" w:line="200"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BridgeTex Pipeline</w:t>
      </w:r>
      <w:r>
        <w:rPr>
          <w:rFonts w:ascii="Times New Roman" w:cs="Times New Roman" w:eastAsia="Times New Roman" w:hAnsi="Times New Roman"/>
          <w:sz w:val="18"/>
          <w:szCs w:val="18"/>
          <w:color w:val="auto"/>
        </w:rPr>
        <w:t>. In July 2025, we acquired an additional 20% interest in BridgeTex Pipeline Company, LLC (“BridgeTex”) for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$180 million. As a result of this transaction, we now own a 40% interest in BridgeTex and continue to account for our interest in BridgeTex, which is reported in our Crude Oil segment, as an equity method investment.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to a lesser extent, NGL.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While we will divest the Canadian NGL Business as part of the sale, we will retain substantially all NGL assets in the United States and will also retain all crude oil assets in Canada. This transaction is expected to close in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presentation as discontinued operations, as the sale will represent a strategic shift that will have a major effect on our operations and financial results. We have applied these changes retrospectively to all periods presented. See Note 1 and Note 2 to our Condensed Consolidated Financial Statements for additional information.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discussion below relates to our continuing operations and excludes amounts related to discontinued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recognized net income attributable to PAA of $653 million for the six months ended June 30, 2025 compared to net income attributable to PAA of $515 million for the first six months of 2024. See the “Results of Operations” section below for discussion of significant drivers of our results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1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3"/>
                <w:szCs w:val="13"/>
                <w:color w:val="auto"/>
              </w:rPr>
            </w:pPr>
          </w:p>
        </w:tc>
        <w:tc>
          <w:tcPr>
            <w:tcW w:w="10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 net</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from continuing operations, net of</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from discontinued operations, net of</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tax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76"/>
        </w:trPr>
        <w:tc>
          <w:tcPr>
            <w:tcW w:w="3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Basic and diluted net income per common</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Basic and diluted net income per common</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weighted average common</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outstanding</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42" w:lineRule="exact"/>
        <w:rPr>
          <w:sz w:val="20"/>
          <w:szCs w:val="20"/>
          <w:color w:val="auto"/>
        </w:rPr>
      </w:pPr>
    </w:p>
    <w:p>
      <w:pPr>
        <w:ind w:left="660" w:hanging="652"/>
        <w:spacing w:after="0" w:line="21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and “Other income, net” each include $23 million and $43 million for the three and six months ended June 30, 2025, respectively, and $15 million for the three and six months ended June 30, 2024 related to interest on promissory notes by and among us and certain Plains entities.</w:t>
      </w:r>
    </w:p>
    <w:p>
      <w:pPr>
        <w:spacing w:after="0" w:line="35" w:lineRule="exact"/>
        <w:rPr>
          <w:rFonts w:ascii="Times New Roman" w:cs="Times New Roman" w:eastAsia="Times New Roman" w:hAnsi="Times New Roman"/>
          <w:sz w:val="23"/>
          <w:szCs w:val="23"/>
          <w:color w:val="auto"/>
          <w:vertAlign w:val="superscript"/>
        </w:rPr>
      </w:pPr>
    </w:p>
    <w:p>
      <w:pPr>
        <w:ind w:left="660" w:right="540" w:hanging="652"/>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2 to our Condensed Consolidated Financial Statements for a reconciliation of the line items comprising income from discontinued operations,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of our results of operations focuses on our continuing operations.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6"/>
                <w:szCs w:val="16"/>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June 30, 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31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and purchases decreased for the three and six months ended June 30, 2025 compared to the same periods in 2024 primarily due to lower commodity prices in the 2025 periods, partially offset by higher crude oil sales volumes in the 2025 periods.</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Services revenues for the three and six months ended June 30, 2025 increased compared to the same periods in 2024 primarily due to higher pipeline volumes and tariff escalations, as well as the impact of recently completed acquisitions.</w:t>
      </w:r>
    </w:p>
    <w:p>
      <w:pPr>
        <w:spacing w:after="0" w:line="18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further discussion of our net revenues (defined as revenues less purchases and related costs) in the “—Analysis of Operating Segments” section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six months ended June 30, 2025 compared to the same periods in 2024 was primarily due to transaction costs associated with our recent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for the three and six months ended June 30, 2025 compared to the same periods in 2024 was largely driven by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Loss on Asset Sales, Net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deal-contingent forward currency instrument to hedge the currency exchange risk associated with the sale in CAD. The 2025 periods were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recognized a net gain of $31 million related to our acquisition of the remaining 50% interest in Cheyenne in the first quarter of 2025. See Note 12 to our Condensed Consolidated Financial Statements for additional information regarding this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 and Other Income, Net</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and 2024,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are presented on a net basis in the reconciliation of these metrics to Net Income. See the “—Non-GAAP Financial Measures” section 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third-party borrowings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5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on related party promissory notes </w:t>
            </w:r>
            <w:r>
              <w:rPr>
                <w:rFonts w:ascii="Times New Roman" w:cs="Times New Roman" w:eastAsia="Times New Roman" w:hAnsi="Times New Roman"/>
                <w:sz w:val="23"/>
                <w:szCs w:val="23"/>
                <w:color w:val="auto"/>
                <w:vertAlign w:val="superscript"/>
              </w:rPr>
              <w:t>(2)</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0"/>
        </w:trPr>
        <w:tc>
          <w:tcPr>
            <w:tcW w:w="3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160" w:hanging="652"/>
        <w:spacing w:after="0" w:line="23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interest expense for the 2025 periods compared to the same periods in 2024 was primarily driven by the issuance of $1.0 billion, 5.95% senior notes in January 2025 and $650 million, 5.70% senior notes in June 2024, partially offset by the repayment of $750 million, 3.60% senior notes in November 2024. See Note 6 to our Condensed Consolidated Financial Statements for additional information regarding our senior notes.</w:t>
      </w:r>
    </w:p>
    <w:p>
      <w:pPr>
        <w:spacing w:after="0" w:line="36" w:lineRule="exact"/>
        <w:rPr>
          <w:rFonts w:ascii="Times New Roman" w:cs="Times New Roman" w:eastAsia="Times New Roman" w:hAnsi="Times New Roman"/>
          <w:sz w:val="23"/>
          <w:szCs w:val="23"/>
          <w:color w:val="auto"/>
          <w:vertAlign w:val="superscript"/>
        </w:rPr>
      </w:pPr>
    </w:p>
    <w:p>
      <w:pPr>
        <w:ind w:left="660" w:right="1520" w:hanging="652"/>
        <w:spacing w:after="0" w:line="484"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associated with promissory notes by and among us and certain Plains entities, as described above. The following table summarizes the components impacting Other income, net (in millions):</w:t>
      </w:r>
    </w:p>
    <w:tbl>
      <w:tblPr>
        <w:tblLayout w:type="fixed"/>
        <w:tblInd w:w="0" w:type="dxa"/>
        <w:tblCellMar>
          <w:top w:w="0" w:type="dxa"/>
          <w:left w:w="0" w:type="dxa"/>
          <w:bottom w:w="0" w:type="dxa"/>
          <w:right w:w="0" w:type="dxa"/>
        </w:tblCellMar>
      </w:tblPr>
      <w:tr>
        <w:trPr>
          <w:trHeight w:val="150"/>
        </w:trPr>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40" w:type="dxa"/>
            <w:vAlign w:val="bottom"/>
            <w:gridSpan w:val="4"/>
          </w:tcPr>
          <w:p>
            <w:pPr>
              <w:jc w:val="right"/>
              <w:ind w:right="196"/>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55"/>
              <w:spacing w:after="0" w:line="150"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income on related party promissory notes </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9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interest income associated with promissory notes by and among us and certain Plains entities, as described above.</w:t>
      </w:r>
    </w:p>
    <w:p>
      <w:pPr>
        <w:spacing w:after="0" w:line="63" w:lineRule="exact"/>
        <w:rPr>
          <w:sz w:val="20"/>
          <w:szCs w:val="20"/>
          <w:color w:val="auto"/>
        </w:rPr>
      </w:pPr>
    </w:p>
    <w:p>
      <w:pPr>
        <w:ind w:left="20" w:right="400" w:hanging="11"/>
        <w:spacing w:after="0" w:line="282" w:lineRule="auto"/>
        <w:rPr>
          <w:sz w:val="20"/>
          <w:szCs w:val="20"/>
          <w:color w:val="auto"/>
        </w:rPr>
      </w:pPr>
      <w:r>
        <w:rPr>
          <w:rFonts w:ascii="Times New Roman" w:cs="Times New Roman" w:eastAsia="Times New Roman" w:hAnsi="Times New Roman"/>
          <w:sz w:val="18"/>
          <w:szCs w:val="18"/>
          <w:color w:val="auto"/>
        </w:rPr>
        <w:t>Primarily includes interest income from other sources and gains and losses on foreign revaluation related to the impact from the change in the CAD to USD exchange rate on the portion of our intercompany net investment that is not long-term in nature.</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net favorable income tax variance for the three and six months ended June 30, 2025 compared to the same periods in 2024 was primarily due to the impact of (i) lower income tax expense in 2025 associated with Canadian withholding tax on dividends from our Canadian entities to other Plains entities, partially offset by (ii) higher year-over-year income within our Canadian operations as impacted by fluctuations of derivative mark-to-market valuations.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140" w:firstLine="8"/>
        <w:spacing w:after="0" w:line="255"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Management believes that the presentation of certain Non-GAAP financial measures, such as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attributable to PAA, Implied DCF, and certain Non-GAAP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first quarter of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1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Income tax expense from continuing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Income tax expense from discontinued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from</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Losses on asset sales, net from continuing</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operations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(Gains)/losses on asset sales, net from</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Gain on investments in unconsolidated</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entities, net</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unconsolidated entities </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 valuation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commitments, net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Segment Adjusted EBITDA </w:t>
            </w:r>
            <w:r>
              <w:rPr>
                <w:rFonts w:ascii="Times New Roman" w:cs="Times New Roman" w:eastAsia="Times New Roman" w:hAnsi="Times New Roman"/>
                <w:sz w:val="23"/>
                <w:szCs w:val="23"/>
                <w:color w:val="auto"/>
                <w:vertAlign w:val="superscript"/>
              </w:rPr>
              <w:t>(1) (5)</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(6)</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(7)</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Adjusted EBITDA attributable to</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(8)</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5"/>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(7) (9)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6"/>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Interest expense, net of certain non-cash and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(10)</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Maintenance capital from continuing</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(11)</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175"/>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Maintenance capital from discontinued</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operations </w:t>
            </w:r>
            <w:r>
              <w:rPr>
                <w:rFonts w:ascii="Times New Roman" w:cs="Times New Roman" w:eastAsia="Times New Roman" w:hAnsi="Times New Roman"/>
                <w:sz w:val="23"/>
                <w:szCs w:val="23"/>
                <w:color w:val="auto"/>
                <w:vertAlign w:val="superscript"/>
              </w:rPr>
              <w:t>(11)</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Investment capital of noncontrolling</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(12)</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6"/>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Current income tax expense from continuing</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operations</w:t>
            </w: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Current income tax expense from</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176"/>
        </w:trPr>
        <w:tc>
          <w:tcPr>
            <w:tcW w:w="346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excess of/(less than) adjusted equity</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earnings </w:t>
            </w:r>
            <w:r>
              <w:rPr>
                <w:rFonts w:ascii="Times New Roman" w:cs="Times New Roman" w:eastAsia="Times New Roman" w:hAnsi="Times New Roman"/>
                <w:sz w:val="23"/>
                <w:szCs w:val="23"/>
                <w:color w:val="auto"/>
                <w:vertAlign w:val="superscript"/>
              </w:rPr>
              <w:t>(13)</w:t>
            </w:r>
          </w:p>
        </w:tc>
        <w:tc>
          <w:tcPr>
            <w:tcW w:w="18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(14)</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(14)</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56"/>
        </w:trPr>
        <w:tc>
          <w:tcPr>
            <w:tcW w:w="3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Implied DCF Available to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Unitholders </w:t>
            </w:r>
            <w:r>
              <w:rPr>
                <w:rFonts w:ascii="Times New Roman" w:cs="Times New Roman" w:eastAsia="Times New Roman" w:hAnsi="Times New Roman"/>
                <w:sz w:val="23"/>
                <w:szCs w:val="23"/>
                <w:color w:val="auto"/>
                <w:vertAlign w:val="superscript"/>
              </w:rPr>
              <w:t>(1)</w:t>
            </w:r>
          </w:p>
        </w:tc>
        <w:tc>
          <w:tcPr>
            <w:tcW w:w="18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60" w:type="dxa"/>
            <w:vAlign w:val="bottom"/>
            <w:shd w:val="clear" w:color="auto" w:fill="CCEEFF"/>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(14)</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 (15)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20"/>
          </w:cols>
          <w:pgMar w:left="320" w:top="121" w:right="359" w:bottom="1440" w:gutter="0" w:footer="0" w:header="0"/>
        </w:sectPr>
      </w:pP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results from continuing operations and discontinued operations.</w:t>
      </w:r>
    </w:p>
    <w:p>
      <w:pPr>
        <w:spacing w:after="0" w:line="97" w:lineRule="exact"/>
        <w:rPr>
          <w:sz w:val="20"/>
          <w:szCs w:val="20"/>
          <w:color w:val="auto"/>
        </w:rPr>
      </w:pP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Represents “Interest expense, net” as reported on our Condensed Consolidated Statements of Operations, net of interest income associated with promissory notes by and among us and certain Plains entities.</w:t>
      </w:r>
    </w:p>
    <w:p>
      <w:pPr>
        <w:spacing w:after="0" w:line="54"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additional information.</w:t>
      </w:r>
    </w:p>
    <w:p>
      <w:pPr>
        <w:spacing w:after="0" w:line="117" w:lineRule="exact"/>
        <w:rPr>
          <w:sz w:val="20"/>
          <w:szCs w:val="20"/>
          <w:color w:val="auto"/>
        </w:rPr>
      </w:pPr>
    </w:p>
    <w:p>
      <w:pPr>
        <w:ind w:left="20" w:right="64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ind w:left="660" w:right="60" w:hanging="652"/>
        <w:spacing w:after="0" w:line="229"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financial data tables in Note 11 to our Condensed Consolidated Financial Statements.</w:t>
      </w:r>
    </w:p>
    <w:p>
      <w:pPr>
        <w:spacing w:after="0" w:line="90"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91"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64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 net” on our Condensed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sectPr>
          <w:pgSz w:w="11900" w:h="16838" w:orient="portrait"/>
          <w:cols w:equalWidth="0" w:num="1">
            <w:col w:w="11220"/>
          </w:cols>
          <w:pgMar w:left="320" w:top="121" w:right="3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Reflects amounts attributable to noncontrolling interests in the Permian JV, Cactus II and Red River.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 above for a reconciliation from Net Income to Adjusted EBITDA.</w:t>
      </w:r>
    </w:p>
    <w:p>
      <w:pPr>
        <w:spacing w:after="0" w:line="200" w:lineRule="exact"/>
        <w:rPr>
          <w:sz w:val="20"/>
          <w:szCs w:val="20"/>
          <w:color w:val="auto"/>
        </w:rPr>
      </w:pPr>
    </w:p>
    <w:p>
      <w:pPr>
        <w:sectPr>
          <w:pgSz w:w="11900" w:h="16838" w:orient="portrait"/>
          <w:cols w:equalWidth="0" w:num="2">
            <w:col w:w="140" w:space="500"/>
            <w:col w:w="10580"/>
          </w:cols>
          <w:pgMar w:left="320" w:top="121" w:right="3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60" w:hanging="652"/>
        <w:spacing w:after="0" w:line="229" w:lineRule="auto"/>
        <w:tabs>
          <w:tab w:leader="none" w:pos="6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excludes certain non-cash items impacting interest expense such as amortization of debt issuance costs and terminated interest rate swaps and is net of interest income associated with promissory notes by and among us and certain Plains entities.</w:t>
      </w:r>
    </w:p>
    <w:p>
      <w:pPr>
        <w:spacing w:after="0" w:line="90" w:lineRule="exact"/>
        <w:rPr>
          <w:rFonts w:ascii="Times New Roman" w:cs="Times New Roman" w:eastAsia="Times New Roman" w:hAnsi="Times New Roman"/>
          <w:sz w:val="23"/>
          <w:szCs w:val="23"/>
          <w:color w:val="auto"/>
          <w:vertAlign w:val="superscript"/>
        </w:rPr>
      </w:pPr>
    </w:p>
    <w:p>
      <w:pPr>
        <w:ind w:left="660" w:right="32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840" w:hanging="652"/>
        <w:spacing w:after="0" w:line="235" w:lineRule="auto"/>
        <w:tabs>
          <w:tab w:leader="none" w:pos="6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29" w:lineRule="auto"/>
        <w:tabs>
          <w:tab w:leader="none" w:pos="652"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19 to our Consolidated Financial Statements included in Part IV of our 2024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380" w:type="dxa"/>
            <w:vAlign w:val="bottom"/>
            <w:gridSpan w:val="3"/>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10,622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(11,820)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(22,484)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3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unconsolidated entities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38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Derivative activities and inventory</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valuation adjustments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38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commitments, net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380" w:type="dxa"/>
            <w:vAlign w:val="bottom"/>
            <w:gridSpan w:val="3"/>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Segment amounts attributable to</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67"/>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4"/>
                <w:szCs w:val="24"/>
                <w:color w:val="auto"/>
              </w:rPr>
            </w:pPr>
          </w:p>
        </w:tc>
        <w:tc>
          <w:tcPr>
            <w:tcW w:w="1160" w:type="dxa"/>
            <w:vAlign w:val="bottom"/>
            <w:gridSpan w:val="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6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3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3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hanging="232"/>
        <w:spacing w:after="0"/>
        <w:tabs>
          <w:tab w:leader="none" w:pos="2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89" w:lineRule="exact"/>
        <w:rPr>
          <w:rFonts w:ascii="Times New Roman" w:cs="Times New Roman" w:eastAsia="Times New Roman" w:hAnsi="Times New Roman"/>
          <w:sz w:val="23"/>
          <w:szCs w:val="23"/>
          <w:color w:val="auto"/>
          <w:vertAlign w:val="superscript"/>
        </w:rPr>
      </w:pPr>
    </w:p>
    <w:p>
      <w:pPr>
        <w:ind w:left="660" w:right="100" w:hanging="652"/>
        <w:spacing w:after="0" w:line="242" w:lineRule="auto"/>
        <w:tabs>
          <w:tab w:leader="none" w:pos="648"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Times New Roman" w:cs="Times New Roman" w:eastAsia="Times New Roman" w:hAnsi="Times New Roman"/>
          <w:sz w:val="22"/>
          <w:szCs w:val="22"/>
          <w:color w:val="auto"/>
          <w:vertAlign w:val="superscript"/>
        </w:rPr>
      </w:pPr>
    </w:p>
    <w:p>
      <w:pPr>
        <w:ind w:left="660" w:right="480" w:hanging="652"/>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right="10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00"/>
          </w:cols>
          <w:pgMar w:left="320" w:top="121" w:right="439" w:bottom="1440" w:gutter="0" w:footer="0" w:header="0"/>
          <w:type w:val="continuous"/>
        </w:sectPr>
      </w:pPr>
    </w:p>
    <w:p>
      <w:pPr>
        <w:spacing w:after="0" w:line="5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and six months ended June 30, 2025 was in line with comparable results for the three and six months ended June 30, 2024. The benefit to the 2025 period from higher tariff volumes on our pipelines, tariff escalations and contributions from recently completed acquisitions was largely offset by fewer market-based opportunities and higher operating expenses.</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and six months ended June 30, 2025 compared to the same periods in 2024.</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volume growth across our pipeline systems largely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production in the Permian Basin region, (ii) the benefit of tariff escalations and (iii) contributions from recently completed acquisitions in the Permian Basin and South Texas regions. These favorable impacts were partially offset by (iv) fewer market-based opportunities and (v) lower commodity prices, which resulted in lower revenues from pipeline loss allowance in the 2025 periods.</w:t>
      </w:r>
    </w:p>
    <w:p>
      <w:pPr>
        <w:spacing w:after="0" w:line="20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For the three and six months ended June 30, 2025 compared to the same periods in 2024, we recognized higher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acquisitions and higher volumes. The six-month period was further impacted by higher expenses associated with (i) environmental remediation costs and (ii) property taxes.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decrease in maintenance capital spending for the six months ended June 30, 2025 compared to the same periods in 2024 was primarily due to lower costs resulting from timing of certain pipeline integrity activities.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four NGL assets located in the United States, namely our Bumstead, Shafter, San Pedro and Tampa facilities.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8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50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76"/>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(2)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Segment Adjusted EBITDA loss for all periods presented is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decrease in NGL Segment Adjusted EBITDA for the six months ended June 30, 2025 compared to the same period in 2024 primarily resulted from lower net revenues as a result of weaker butane basis in the 2025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60" w:firstLine="8"/>
        <w:spacing w:after="0" w:line="253"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1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had a working capital surplus of $9 million and approximately $2.7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643"/>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403"/>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30" w:lineRule="exact"/>
        <w:rPr>
          <w:sz w:val="20"/>
          <w:szCs w:val="20"/>
          <w:color w:val="auto"/>
        </w:rPr>
      </w:pPr>
    </w:p>
    <w:p>
      <w:pPr>
        <w:ind w:left="1163" w:hanging="1163"/>
        <w:spacing w:after="0"/>
        <w:tabs>
          <w:tab w:leader="none" w:pos="11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11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1,312</w:t>
      </w:r>
    </w:p>
    <w:p>
      <w:pPr>
        <w:spacing w:after="0" w:line="22" w:lineRule="exact"/>
        <w:rPr>
          <w:rFonts w:ascii="Times New Roman" w:cs="Times New Roman" w:eastAsia="Times New Roman" w:hAnsi="Times New Roman"/>
          <w:sz w:val="18"/>
          <w:szCs w:val="18"/>
          <w:color w:val="auto"/>
        </w:rPr>
      </w:pPr>
    </w:p>
    <w:p>
      <w:pPr>
        <w:ind w:left="12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w:t>
      </w:r>
    </w:p>
    <w:p>
      <w:pPr>
        <w:spacing w:after="0" w:line="22" w:lineRule="exact"/>
        <w:rPr>
          <w:sz w:val="20"/>
          <w:szCs w:val="20"/>
          <w:color w:val="auto"/>
        </w:rPr>
      </w:pPr>
    </w:p>
    <w:p>
      <w:pPr>
        <w:sectPr>
          <w:pgSz w:w="11900" w:h="16838" w:orient="portrait"/>
          <w:cols w:equalWidth="0" w:num="2">
            <w:col w:w="8877" w:space="720"/>
            <w:col w:w="164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30"/>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9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0"/>
        </w:trPr>
        <w:tc>
          <w:tcPr>
            <w:tcW w:w="3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our credit facilities.</w:t>
      </w:r>
    </w:p>
    <w:p>
      <w:pPr>
        <w:spacing w:after="0" w:line="54" w:lineRule="exact"/>
        <w:rPr>
          <w:sz w:val="20"/>
          <w:szCs w:val="20"/>
          <w:color w:val="auto"/>
        </w:rPr>
      </w:pPr>
    </w:p>
    <w:p>
      <w:pPr>
        <w:ind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$38 million, respectively.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4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June 30, 2025.</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2024 Annual Report on Form 10-K for further discussion regarding risks that may impact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spacing w:after="0" w:line="21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(in millions):</w:t>
      </w:r>
    </w:p>
    <w:p>
      <w:pPr>
        <w:spacing w:after="0" w:line="223"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7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6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29"/>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6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( 2)</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6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60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60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8"/>
        </w:trPr>
        <w:tc>
          <w:tcPr>
            <w:tcW w:w="86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(1) (5)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117" w:lineRule="exact"/>
        <w:rPr>
          <w:sz w:val="20"/>
          <w:szCs w:val="20"/>
          <w:color w:val="auto"/>
        </w:rPr>
      </w:pPr>
    </w:p>
    <w:p>
      <w:pPr>
        <w:ind w:left="20" w:right="140" w:hanging="11"/>
        <w:spacing w:after="0" w:line="261" w:lineRule="auto"/>
        <w:rPr>
          <w:sz w:val="20"/>
          <w:szCs w:val="20"/>
          <w:color w:val="auto"/>
        </w:rPr>
      </w:pPr>
      <w:r>
        <w:rPr>
          <w:rFonts w:ascii="Times New Roman" w:cs="Times New Roman" w:eastAsia="Times New Roman" w:hAnsi="Times New Roman"/>
          <w:sz w:val="18"/>
          <w:szCs w:val="18"/>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9 to our Condensed Consolidated Financial Statements for additional information on our related party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63" w:lineRule="exact"/>
        <w:rPr>
          <w:sz w:val="20"/>
          <w:szCs w:val="20"/>
          <w:color w:val="auto"/>
        </w:rPr>
      </w:pPr>
    </w:p>
    <w:p>
      <w:pPr>
        <w:ind w:left="20" w:right="240" w:hanging="11"/>
        <w:spacing w:after="0" w:line="266" w:lineRule="auto"/>
        <w:rPr>
          <w:sz w:val="20"/>
          <w:szCs w:val="20"/>
          <w:color w:val="auto"/>
        </w:rPr>
      </w:pPr>
      <w:r>
        <w:rPr>
          <w:rFonts w:ascii="Times New Roman" w:cs="Times New Roman" w:eastAsia="Times New Roman" w:hAnsi="Times New Roman"/>
          <w:sz w:val="18"/>
          <w:szCs w:val="18"/>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99"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2024 Annual Report on Form 10-K.</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first six months of 2025 and 2024 was $1.032 billion and $992 million, respectively, and primarily resulted from earnings from our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related to continuing operations and discontinued operations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4"/>
        </w:trPr>
        <w:tc>
          <w:tcPr>
            <w:tcW w:w="38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03"/>
        </w:trPr>
        <w:tc>
          <w:tcPr>
            <w:tcW w:w="82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Capital Expenditures </w:t>
            </w:r>
            <w:r>
              <w:rPr>
                <w:rFonts w:ascii="Times New Roman" w:cs="Times New Roman" w:eastAsia="Times New Roman" w:hAnsi="Times New Roman"/>
                <w:sz w:val="18"/>
                <w:szCs w:val="18"/>
                <w:color w:val="auto"/>
                <w:vertAlign w:val="superscript"/>
              </w:rPr>
              <w:t>(1)</w:t>
            </w: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3"/>
        </w:trPr>
        <w:tc>
          <w:tcPr>
            <w:tcW w:w="818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Investment capital </w:t>
            </w:r>
            <w:r>
              <w:rPr>
                <w:rFonts w:ascii="Times New Roman" w:cs="Times New Roman" w:eastAsia="Times New Roman" w:hAnsi="Times New Roman"/>
                <w:sz w:val="23"/>
                <w:szCs w:val="23"/>
                <w:color w:val="auto"/>
                <w:vertAlign w:val="superscript"/>
              </w:rPr>
              <w:t>(2) (3) (4)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82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w:t>
            </w:r>
            <w:r>
              <w:rPr>
                <w:rFonts w:ascii="Times New Roman" w:cs="Times New Roman" w:eastAsia="Times New Roman" w:hAnsi="Times New Roman"/>
                <w:sz w:val="23"/>
                <w:szCs w:val="23"/>
                <w:color w:val="auto"/>
                <w:vertAlign w:val="superscript"/>
              </w:rPr>
              <w:t>(2) (4)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(3) (5)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38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
        </w:trPr>
        <w:tc>
          <w:tcPr>
            <w:tcW w:w="3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17" w:lineRule="exact"/>
        <w:rPr>
          <w:sz w:val="20"/>
          <w:szCs w:val="20"/>
          <w:color w:val="auto"/>
        </w:rPr>
      </w:pPr>
    </w:p>
    <w:p>
      <w:pPr>
        <w:jc w:val="both"/>
        <w:ind w:left="660" w:right="260" w:hanging="652"/>
        <w:spacing w:after="0" w:line="239"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related to discontinued operations are included in the amounts in the table above and were $68 million and $28 million for investment and maintenance capital for the six months ended June 30, 2025, respectively. Capital expenditures for investment and maintenance capital related to discontinued operations were $37 million and $28 million for the six months ended June 30, 2024, respectively. There was no acquisition capital related to discontinued operations for any period presented.</w:t>
      </w:r>
    </w:p>
    <w:p>
      <w:pPr>
        <w:spacing w:after="0" w:line="90" w:lineRule="exact"/>
        <w:rPr>
          <w:rFonts w:ascii="Times New Roman" w:cs="Times New Roman" w:eastAsia="Times New Roman" w:hAnsi="Times New Roman"/>
          <w:sz w:val="23"/>
          <w:szCs w:val="23"/>
          <w:color w:val="auto"/>
          <w:vertAlign w:val="superscript"/>
        </w:rPr>
      </w:pPr>
    </w:p>
    <w:p>
      <w:pPr>
        <w:jc w:val="both"/>
        <w:ind w:left="660" w:right="26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91" w:lineRule="exact"/>
        <w:rPr>
          <w:rFonts w:ascii="Times New Roman" w:cs="Times New Roman" w:eastAsia="Times New Roman" w:hAnsi="Times New Roman"/>
          <w:sz w:val="23"/>
          <w:szCs w:val="23"/>
          <w:color w:val="auto"/>
          <w:vertAlign w:val="superscript"/>
        </w:rPr>
      </w:pPr>
    </w:p>
    <w:p>
      <w:pPr>
        <w:ind w:left="660" w:right="28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91"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and maintenance capital, excluding expenditures attributable to noncontrolling interests, was approximately $283 million and $97 million, respectively, for the six months ended June 30, 2025, and approximately $144 million and $109 million, respectively, for the six months ended June 30, 2024.</w:t>
      </w:r>
    </w:p>
    <w:p>
      <w:pPr>
        <w:spacing w:after="0" w:line="91" w:lineRule="exact"/>
        <w:rPr>
          <w:rFonts w:ascii="Times New Roman" w:cs="Times New Roman" w:eastAsia="Times New Roman" w:hAnsi="Times New Roman"/>
          <w:sz w:val="23"/>
          <w:szCs w:val="23"/>
          <w:color w:val="auto"/>
          <w:vertAlign w:val="superscript"/>
        </w:rPr>
      </w:pPr>
    </w:p>
    <w:p>
      <w:pPr>
        <w:ind w:left="660" w:right="20" w:hanging="652"/>
        <w:spacing w:after="0" w:line="241" w:lineRule="auto"/>
        <w:tabs>
          <w:tab w:leader="none" w:pos="64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Acquisition capital, net to our 65% interest in the Permian JV, was approximately $651 million and $113 million for the six months ended June 30, 2025 and 2024, respectively. Acquisition capital for the 2025 period primarily included the acquisitions of (i) Ironwood Midstream, (ii) Medallion Midstream by the Permian JV, (iii) the remaining 50% interest in Cheyenne Pipeline LLC through a non-cash transaction, and (iv) Black Knight Midstream. See Note 12 to our Condensed Consolidated Financial Statements for additional information. Acquisition capital for the 2024 period primarily included the acquisition of an additional ownership interest in an equity method investee.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2025 Investment and Maintenance Capital. </w:t>
      </w:r>
      <w:r>
        <w:rPr>
          <w:rFonts w:ascii="Times New Roman" w:cs="Times New Roman" w:eastAsia="Times New Roman" w:hAnsi="Times New Roman"/>
          <w:sz w:val="18"/>
          <w:szCs w:val="18"/>
          <w:color w:val="auto"/>
        </w:rPr>
        <w:t>Total investment capital for the year ending December 31, 2025 is projected to be approximately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$580 million ($475 million net to our interest), which includes approximately $110 million related to discontinued operations. Approximately half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projected investment capital expenditures are expected to be invested in the Permian JV assets. Additionally, maintenance capital for 2025 is projected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approximately $250 million ($230 million net to our interest), which includes approximately $70 million related to discontinued operations.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2024 Annual Report on Form 10-K.</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promissory notes with a face value of CAD$473 million (approximately $330 million)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See Note 9 to our Condensed Consolidated Financial Statements for additional information on our related party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had net borrowings under our commercial paper program of $69 million. The net borrowings resulted primarily from borrowings during the period related to funding needs for capital investments, inventory purchases and other general partnership purposes.</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had net repayments under our commercial paper program of $433 million. The net repayments resulted primarily from cash flow from operating activities and proceeds from the issuance of $650 million, 5.70% senior notes in June 2024, which offset borrowings during the period related to funding needs for capital investments, inventory purchases and other general partnership purposes.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January 2025, we completed the offering of $1.0 billion, 5.95% senior notes due June 2035 at a public offering price of 99.761%. Interest payments are due on June 15 and December 15 of each year, commencing on June 15, 2025. We used the net proceeds from this offering of approximately $988 million, after deducting the underwriting discount and offering expenses, to (i) fund the acquisitions completed during the six months ended June 30, 2025, (ii) fund the repurchase of approximately 12.7 million Series A preferred units in January 2025 and (iii) repay outstanding borrowings under our credit facilities and commercial paper program and for general partnership purposes.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repurchased 0.5 million common units under the Common Equity Repurchase Program (the “Program”) through open market purchases that settled during the six months ended June 30, 2025, for a total purchase price of $8 million, including commissions and fees. The repurchased common units were canceled immediately upon acquisition, as were the PAGP Class C shares held by us associated with the repurchased common units. There were no repurchases under the Program during the six months ended June 30, 2024. At June 30, 2025, the remaining available capacity under the Program was $190 million. See Note 11 to our Consolidated Financial Statements included in Part IV of our 2024 Annual Report on Form 10-K for additional information regarding the Program.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June 30, 2025. We did not conduct any offerings under our Traditional Shelf during the six months ended June 30, 2025. We also have access to a universal shelf registration statement (“WKSI Shelf”), which provides us with the ability to offer and sell an unlimited amount of debt and equity securities, subject to market conditions and our capital needs. The offering of $1.0 billion, 5.95% senior notes in January 2025 was conducted under our WKSI Shelf.</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 Repurchase</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January 31, 2025, we repurchased approximately 12.7 million units, or 18%, of our outstanding Series A preferred units at the issue price of $26.25 per unit for a purchase price of approximately $333 million, plus accrued and unpaid distributions through January 30, 2025 of approximately $10 million. We used a portion of the net proceeds from our January 2025 senior notes offering to fund this repurchase. See Note 7 to our Condensed Consolidated Financial Statements for more information regarding our Series A preferred units.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4"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unitholders. </w:t>
      </w:r>
      <w:r>
        <w:rPr>
          <w:rFonts w:ascii="Times New Roman" w:cs="Times New Roman" w:eastAsia="Times New Roman" w:hAnsi="Times New Roman"/>
          <w:sz w:val="18"/>
          <w:szCs w:val="18"/>
          <w:color w:val="auto"/>
        </w:rPr>
        <w:t>On August 14, 2025, we will pay a quarterly cash distribution of approximately $0.615 per unit to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unitholders of record at the close of business on July 31, 2025 for the period from April 1, 2025 through June 30, 2025.</w:t>
      </w:r>
    </w:p>
    <w:p>
      <w:pPr>
        <w:spacing w:after="0" w:line="185"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unitholders. </w:t>
      </w:r>
      <w:r>
        <w:rPr>
          <w:rFonts w:ascii="Times New Roman" w:cs="Times New Roman" w:eastAsia="Times New Roman" w:hAnsi="Times New Roman"/>
          <w:sz w:val="18"/>
          <w:szCs w:val="18"/>
          <w:color w:val="auto"/>
        </w:rPr>
        <w:t>On August 15, 2025, we will pay a quarterly cash distribution of approximately $22.23 per unit to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unitholders of record at the close of business on August 1, 2025 for the period from May 15, 2025 through August 14, 2025.</w:t>
      </w:r>
    </w:p>
    <w:p>
      <w:pPr>
        <w:spacing w:after="0" w:line="18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Unitholders</w:t>
      </w:r>
      <w:r>
        <w:rPr>
          <w:rFonts w:ascii="Times New Roman" w:cs="Times New Roman" w:eastAsia="Times New Roman" w:hAnsi="Times New Roman"/>
          <w:sz w:val="18"/>
          <w:szCs w:val="18"/>
          <w:color w:val="auto"/>
        </w:rPr>
        <w:t>. On August 14, 2025, we will pay a quarterly cash distribution of $0.38 per common unit ($1.52 per unit on an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common unitholders of record at the close of business on July 31, 2025 for the period from April 1, 2025 through June 30, 2025.</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for details of distributions paid during or pertaining to the first six months of 2025, including distributions to our preferred unitholders.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June 30, 2025, noncontrolling interests in our subsidiaries consisted of (i) a 35% interest in the Permian JV, (ii) a 30% interest in Cactus II and (iii) a 33% interest in Red River. See Note 7 to our Condensed Consolidated Financial Statements for details of distributions paid to noncontrolling interests during the six months ended June 30,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2025, promissory notes with a face value of CAD$473 million (approximately $330 million)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 See Note 9 to our Condensed Consolidated Financial Statements for additional information on our related party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from third parties under contracts, the majority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June 30,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8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2030 and</w:t>
            </w:r>
          </w:p>
        </w:tc>
        <w:tc>
          <w:tcPr>
            <w:tcW w:w="220" w:type="dxa"/>
            <w:vAlign w:val="bottom"/>
          </w:tcPr>
          <w:p>
            <w:pPr>
              <w:spacing w:after="0"/>
              <w:rPr>
                <w:sz w:val="13"/>
                <w:szCs w:val="13"/>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and other purchases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20,019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18,048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15,599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31,236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111,641</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June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7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2025 and December 31, 2024, we had outstanding letters of credit of approximately $81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0" w:hanging="324"/>
        <w:spacing w:after="0" w:line="258"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80" w:hanging="324"/>
        <w:spacing w:after="0" w:line="25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(including the pending divestiture of our Canadian NGL Business), joint ventures or other strategic opportunities and realize benefits therefrom;</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2024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223"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rFonts w:ascii="Times New Roman" w:cs="Times New Roman" w:eastAsia="Times New Roman" w:hAnsi="Times New Roman"/>
          <w:sz w:val="18"/>
          <w:szCs w:val="18"/>
          <w:i w:val="1"/>
          <w:iCs w:val="1"/>
          <w:color w:val="auto"/>
        </w:rPr>
      </w:pPr>
    </w:p>
    <w:p>
      <w:pPr>
        <w:ind w:left="1300" w:right="12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204"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Power</w:t>
      </w:r>
    </w:p>
    <w:p>
      <w:pPr>
        <w:spacing w:after="0" w:line="227"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We utilize power derivatives to hedge anticipated operational requirements related to our crude oil pipelines. We manage these exposures with various instruments including futures, swaps and options.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further discussion regarding our hedging strategies and objectives.</w:t>
      </w:r>
    </w:p>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June 30, 2025 that would be expected from a 10% price increase or decrease is shown in the table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CCEEFF"/>
            </w:tcBorders>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2025, approximately $462 million, was subject to interest rate resets that generally occur within one week or less. The average interest rate on variable rate debt that was outstanding during the six months ended June 30, 2025 was approximately 4.7%, based upon rates in effect during such period. The fair value of our interest rate derivatives was a net asset of $33 million as of June 30, 2025. A 10% increase in the forward SOFR curve as of June 30, 2025 would have resulted in an increase of $24 million to the fair value of our interest rate derivatives. A 10% decrease in the forward SOFR curve as of June 30, 2025 would have resulted in a decrease of $24 million to the fair value of our interest rate derivatives. See Note 8 to our Condensed Consolidated Financial Statements for a discussion of our interest rate risk hedging activities.</w:t>
      </w:r>
    </w:p>
    <w:p>
      <w:pPr>
        <w:spacing w:after="0" w:line="21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Distributions on the Series B preferred units accumulate based on the applicable three-month SOFR, plus certain adjustments. Based upon the Series B preferred units outstanding at June 30, 2025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2024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The fair value of our foreign currency derivatives was a liability of $49 million as of June 30, 2025. A 10% increase in the exchange rate (USD-to-CAD) would have resulted in an increase of $334 million to the fair value of our foreign currency derivatives. A 10% decrease in the exchange rate (USD-to-CAD) would have resulted in a decrease of $334 million to the fair value of our foreign currency derivatives. See Note 8 to our Condensed Consolidated Financial Statements for additional information regarding our currency exchange rate risk hedging.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June 30, 2025,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information concerning our DCP, we are required to disclose certain changes in internal control over financial reporting. There have been no changes in our internal control over financial reporting during the second quarter of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10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repurchase activity during the second quarter of 2025:</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Common</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 Purchases as Part of</w:t>
            </w:r>
          </w:p>
        </w:tc>
        <w:tc>
          <w:tcPr>
            <w:tcW w:w="18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Unit that May Yet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Units</w:t>
            </w:r>
          </w:p>
        </w:tc>
        <w:tc>
          <w:tcPr>
            <w:tcW w:w="1460" w:type="dxa"/>
            <w:vAlign w:val="bottom"/>
            <w:gridSpan w:val="3"/>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6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6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per Common Unit </w:t>
            </w:r>
            <w:r>
              <w:rPr>
                <w:rFonts w:ascii="Times New Roman" w:cs="Times New Roman" w:eastAsia="Times New Roman" w:hAnsi="Times New Roman"/>
                <w:sz w:val="18"/>
                <w:szCs w:val="18"/>
                <w:b w:val="1"/>
                <w:bCs w:val="1"/>
                <w:color w:val="auto"/>
                <w:w w:val="99"/>
                <w:vertAlign w:val="superscript"/>
              </w:rPr>
              <w:t>(1)</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7"/>
                <w:szCs w:val="17"/>
                <w:color w:val="auto"/>
              </w:rPr>
            </w:pPr>
          </w:p>
        </w:tc>
        <w:tc>
          <w:tcPr>
            <w:tcW w:w="1680" w:type="dxa"/>
            <w:vAlign w:val="bottom"/>
          </w:tcPr>
          <w:p>
            <w:pPr>
              <w:jc w:val="center"/>
              <w:ind w:right="82"/>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Program </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476,695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190,043,261</w:t>
            </w:r>
          </w:p>
        </w:tc>
        <w:tc>
          <w:tcPr>
            <w:tcW w:w="0" w:type="dxa"/>
            <w:vAlign w:val="bottom"/>
          </w:tcPr>
          <w:p>
            <w:pPr>
              <w:spacing w:after="0"/>
              <w:rPr>
                <w:sz w:val="1"/>
                <w:szCs w:val="1"/>
                <w:color w:val="auto"/>
              </w:rPr>
            </w:pPr>
          </w:p>
        </w:tc>
      </w:tr>
      <w:tr>
        <w:trPr>
          <w:trHeight w:val="175"/>
        </w:trPr>
        <w:tc>
          <w:tcPr>
            <w:tcW w:w="3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80" w:hanging="348"/>
        <w:spacing w:after="0"/>
        <w:tabs>
          <w:tab w:leader="none" w:pos="6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common unit includes costs associated with the repurchases.</w:t>
      </w:r>
    </w:p>
    <w:p>
      <w:pPr>
        <w:spacing w:after="0" w:line="89" w:lineRule="exact"/>
        <w:rPr>
          <w:rFonts w:ascii="Times New Roman" w:cs="Times New Roman" w:eastAsia="Times New Roman" w:hAnsi="Times New Roman"/>
          <w:sz w:val="23"/>
          <w:szCs w:val="23"/>
          <w:color w:val="auto"/>
          <w:vertAlign w:val="superscript"/>
        </w:rPr>
      </w:pPr>
    </w:p>
    <w:p>
      <w:pPr>
        <w:ind w:left="660" w:hanging="328"/>
        <w:spacing w:after="0" w:line="244" w:lineRule="auto"/>
        <w:tabs>
          <w:tab w:leader="none" w:pos="618"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November 2020, the board of directors of PAA GP Holdings LLC approved a $500 million common equity repurchase program (the “Program”), which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Class A shares that are repurchased will be canceled. No PAGP Class A shares were repurchased during the periods presented. The common units repurchased under the Program during the periods presented were cancelled immediately upon acquisition.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34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June 30, 2025, none of our directors or officers (as defined in Rule 16a-1(f) of the Securities Exchange Act of 1934) adopted or terminated any Rule 10b5-1 trading arrangement or any non-Rule 10b5-1 trading arrangement (as defined in Item 408 of Regulation S-K).</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gridSpan w:val="27"/>
          </w:tcPr>
          <w:p>
            <w:pPr>
              <w:ind w:left="38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2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 †*</w:t>
            </w:r>
          </w:p>
        </w:tc>
        <w:tc>
          <w:tcPr>
            <w:tcW w:w="1000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Share Purchase Agreement dated as of June 17, 2025 by and between Plains Midstream Luxembourg S.A.R.L. and Keyera Corp.</w:t>
            </w:r>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(portions of this exhibit have been omitted pursuant to Item 601(b)(2) of Regulation S-K).</w:t>
            </w:r>
          </w:p>
        </w:tc>
        <w:tc>
          <w:tcPr>
            <w:tcW w:w="28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2017 (incorporated by reference to Exhibit 3.1 to our Current Report on Form 8-K filed October 12, 2017).</w:t>
              </w:r>
            </w:hyperlink>
          </w:p>
        </w:tc>
        <w:tc>
          <w:tcPr>
            <w:tcW w:w="16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color w:val="0000FF"/>
                </w:rPr>
                <w:t>Third Amended and Restated Agreement of Limited Partnership of Plains Marketing, L.P. dated as of April 1, 2004 (incorporated</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by reference to Exhibit 3.2 to our Quarterly Report on Form 10-Q for the quarter ended March 31, 2004).</w:t>
              </w:r>
            </w:hyperlink>
          </w:p>
        </w:tc>
        <w:tc>
          <w:tcPr>
            <w:tcW w:w="1740" w:type="dxa"/>
            <w:vAlign w:val="bottom"/>
            <w:tcBorders>
              <w:top w:val="single" w:sz="8" w:color="0000FF"/>
            </w:tcBorders>
            <w:gridSpan w:val="1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color w:val="0000FF"/>
                </w:rPr>
                <w:t>Amendment No. 1 dated December 31, 2010 to the Third Amended and Restated Agreement of Limited Partnership of Plains</w:t>
              </w:r>
            </w:hyperlink>
          </w:p>
        </w:tc>
      </w:tr>
      <w:tr>
        <w:trPr>
          <w:trHeight w:val="20"/>
        </w:trPr>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8"/>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Marketing, L.P. (incorporated by reference to Exhibit 3.9 to our Annual Report on Form 10-K for the year ended December 31,</w:t>
              </w:r>
            </w:hyperlink>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2">
              <w:r>
                <w:rPr>
                  <w:rFonts w:ascii="Times New Roman" w:cs="Times New Roman" w:eastAsia="Times New Roman" w:hAnsi="Times New Roman"/>
                  <w:sz w:val="18"/>
                  <w:szCs w:val="18"/>
                  <w:color w:val="0000FF"/>
                  <w:w w:val="94"/>
                </w:rPr>
                <w:t>2010).</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3">
              <w:r>
                <w:rPr>
                  <w:rFonts w:ascii="Times New Roman" w:cs="Times New Roman" w:eastAsia="Times New Roman" w:hAnsi="Times New Roman"/>
                  <w:sz w:val="18"/>
                  <w:szCs w:val="18"/>
                  <w:color w:val="0000FF"/>
                </w:rPr>
                <w:t>Amendment No. 2 dated January 1, 2011 to the Third Amended and Restated Agreement of Limited Partnership of Plains</w:t>
              </w:r>
            </w:hyperlink>
          </w:p>
        </w:tc>
      </w:tr>
      <w:tr>
        <w:trPr>
          <w:trHeight w:val="20"/>
        </w:trPr>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8"/>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Marketing, L.P. (incorporated by reference to Exhibit 3.10 to our Annual Report on Form 10-K for the year ended December 31,</w:t>
              </w:r>
            </w:hyperlink>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3">
              <w:r>
                <w:rPr>
                  <w:rFonts w:ascii="Times New Roman" w:cs="Times New Roman" w:eastAsia="Times New Roman" w:hAnsi="Times New Roman"/>
                  <w:sz w:val="18"/>
                  <w:szCs w:val="18"/>
                  <w:color w:val="0000FF"/>
                  <w:w w:val="94"/>
                </w:rPr>
                <w:t>2010).</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color w:val="0000FF"/>
                </w:rPr>
                <w:t>Amendment No. 3 dated June 30, 2011 to the Third Amended and Restated Agreement of Limited Partnership of Plains</w:t>
              </w:r>
            </w:hyperlink>
          </w:p>
        </w:tc>
      </w:tr>
      <w:tr>
        <w:trPr>
          <w:trHeight w:val="20"/>
        </w:trPr>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8"/>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Marketing, L.P. (incorporated by reference to Exhibit 3.7 to our Annual Report on Form 10-K for the year ended December 31,</w:t>
              </w:r>
            </w:hyperlink>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4">
              <w:r>
                <w:rPr>
                  <w:rFonts w:ascii="Times New Roman" w:cs="Times New Roman" w:eastAsia="Times New Roman" w:hAnsi="Times New Roman"/>
                  <w:sz w:val="18"/>
                  <w:szCs w:val="18"/>
                  <w:color w:val="0000FF"/>
                  <w:w w:val="94"/>
                </w:rPr>
                <w:t>2013).</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color w:val="0000FF"/>
                </w:rPr>
                <w:t>Amendment No. 4 dated January 1, 2013 to the Third Amended and Restated Agreement of Limited Partnership of Plains</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Marketing, L.P (incorporated by reference to Exhibit 3.8 to our Annual Report on Form 10-K for the year ended December</w:t>
              </w:r>
            </w:hyperlink>
          </w:p>
        </w:tc>
        <w:tc>
          <w:tcPr>
            <w:tcW w:w="440" w:type="dxa"/>
            <w:vAlign w:val="bottom"/>
            <w:gridSpan w:val="8"/>
          </w:tcPr>
          <w:p>
            <w:pPr>
              <w:jc w:val="right"/>
              <w:ind w:right="80"/>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31,</w:t>
              </w:r>
            </w:hyperlink>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5">
              <w:r>
                <w:rPr>
                  <w:rFonts w:ascii="Times New Roman" w:cs="Times New Roman" w:eastAsia="Times New Roman" w:hAnsi="Times New Roman"/>
                  <w:sz w:val="18"/>
                  <w:szCs w:val="18"/>
                  <w:color w:val="0000FF"/>
                  <w:w w:val="94"/>
                </w:rPr>
                <w:t>2013).</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color w:val="0000FF"/>
                </w:rPr>
                <w:t>Amendment No. 5 dated December 1, 2019 to the Third Amended and Restated Agreement of Limited Partnership of Plains</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Marketing, L.P. (incorporated by reference to Exhibit 3.7 to our Annual Report on Form 10-K for the year ended December,</w:t>
              </w:r>
            </w:hyperlink>
          </w:p>
        </w:tc>
        <w:tc>
          <w:tcPr>
            <w:tcW w:w="320" w:type="dxa"/>
            <w:vAlign w:val="bottom"/>
            <w:gridSpan w:val="9"/>
          </w:tcPr>
          <w:p>
            <w:pPr>
              <w:jc w:val="right"/>
              <w:ind w:right="60"/>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31,</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6">
              <w:r>
                <w:rPr>
                  <w:rFonts w:ascii="Times New Roman" w:cs="Times New Roman" w:eastAsia="Times New Roman" w:hAnsi="Times New Roman"/>
                  <w:sz w:val="18"/>
                  <w:szCs w:val="18"/>
                  <w:color w:val="0000FF"/>
                  <w:w w:val="94"/>
                </w:rPr>
                <w:t>2019).</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color w:val="0000FF"/>
                </w:rPr>
                <w:t>Third Amended and Restated Agreement of Limited Partnership of Plains Pipeline, L.P. dated as of April 1, 2004 (incorporated by</w:t>
              </w:r>
            </w:hyperlink>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3.3 to our Quarterly Report on Form 10-Q for the quarter ended March 31, 2004).</w:t>
              </w:r>
            </w:hyperlink>
          </w:p>
        </w:tc>
        <w:tc>
          <w:tcPr>
            <w:tcW w:w="4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color w:val="0000FF"/>
                </w:rPr>
                <w:t>Amendment No. 1 dated January 1, 2013 to the Third Amended and Restated Agreement of Limited Partnership of Plains</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Pipeline, L.P. (incorporated by reference to Exhibit 3.10 to our Annual Report on Form 10-K for the year ended December</w:t>
              </w:r>
            </w:hyperlink>
          </w:p>
        </w:tc>
        <w:tc>
          <w:tcPr>
            <w:tcW w:w="340" w:type="dxa"/>
            <w:vAlign w:val="bottom"/>
            <w:gridSpan w:val="4"/>
          </w:tcPr>
          <w:p>
            <w:pPr>
              <w:jc w:val="right"/>
              <w:ind w:right="20"/>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31,</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98">
              <w:r>
                <w:rPr>
                  <w:rFonts w:ascii="Times New Roman" w:cs="Times New Roman" w:eastAsia="Times New Roman" w:hAnsi="Times New Roman"/>
                  <w:sz w:val="18"/>
                  <w:szCs w:val="18"/>
                  <w:color w:val="0000FF"/>
                  <w:w w:val="94"/>
                </w:rPr>
                <w:t>2013).</w:t>
              </w:r>
            </w:hyperlink>
          </w:p>
        </w:tc>
        <w:tc>
          <w:tcPr>
            <w:tcW w:w="578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8"/>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color w:val="0000FF"/>
                </w:rPr>
                <w:t>Seventh Amended and Restated Limited Liability Company Agreement of Plains All American GP LLC dated November 15,</w:t>
              </w:r>
            </w:hyperlink>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2016 (incorporated by reference to Exhibit 3.3 to our Current Report on Form 8-K filed November 21, 2016).</w:t>
              </w:r>
            </w:hyperlink>
          </w:p>
        </w:tc>
        <w:tc>
          <w:tcPr>
            <w:tcW w:w="116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reference to Exhibit 3.4 to our Current Report on Form 8-K filed November 21, 2016).</w:t>
              </w:r>
            </w:hyperlink>
          </w:p>
        </w:tc>
        <w:tc>
          <w:tcPr>
            <w:tcW w:w="28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color w:val="0000FF"/>
                </w:rPr>
                <w:t>Amendment No. 1 dated September 26, 2018 to the Eighth Amended and Restated Limited Partnership Agreement of Plains AAP,</w:t>
              </w:r>
            </w:hyperlink>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L.P. (incorporated by reference to Exhibit 3.1 to our Current Report on Form 8-K filed October 2, 2018).</w:t>
              </w:r>
            </w:hyperlink>
          </w:p>
        </w:tc>
        <w:tc>
          <w:tcPr>
            <w:tcW w:w="6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4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color w:val="0000FF"/>
                </w:rPr>
                <w:t>Amendment No. 2 dated May 23, 2019 to the Eighth Amended and Restated Limited Partnership Agreement of Plains AAP, L.P.</w:t>
              </w:r>
            </w:hyperlink>
          </w:p>
        </w:tc>
      </w:tr>
      <w:tr>
        <w:trPr>
          <w:trHeight w:val="156"/>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(incorporated by reference to Exhibit 3.1 to our Current Report on Form 8-K filed May 30, 2019).</w:t>
              </w:r>
            </w:hyperlink>
          </w:p>
        </w:tc>
        <w:tc>
          <w:tcPr>
            <w:tcW w:w="180" w:type="dxa"/>
            <w:vAlign w:val="bottom"/>
            <w:gridSpan w:val="6"/>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4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r>
      <w:tr>
        <w:trPr>
          <w:trHeight w:val="331"/>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w:t>
            </w:r>
          </w:p>
        </w:tc>
        <w:tc>
          <w:tcPr>
            <w:tcW w:w="10000" w:type="dxa"/>
            <w:vAlign w:val="bottom"/>
            <w:gridSpan w:val="30"/>
          </w:tcPr>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color w:val="0000FF"/>
                </w:rPr>
                <w:t>Amendment No. 3 dated August 17, 2023 to the Eighth Amended and Restated Limited Partnership Agreement of Plains AAP,</w:t>
              </w:r>
            </w:hyperlink>
          </w:p>
        </w:tc>
      </w:tr>
      <w:tr>
        <w:trPr>
          <w:trHeight w:val="155"/>
        </w:trPr>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L.P. (incorporated by reference to Exhibit 3.1 to our Current Report on Form 8-K filed August 21, 2023).</w:t>
              </w:r>
            </w:hyperlink>
          </w:p>
        </w:tc>
        <w:tc>
          <w:tcPr>
            <w:tcW w:w="1560" w:type="dxa"/>
            <w:vAlign w:val="bottom"/>
            <w:tcBorders>
              <w:top w:val="single" w:sz="8" w:color="0000FF"/>
            </w:tcBorders>
            <w:gridSpan w:val="10"/>
          </w:tcPr>
          <w:p>
            <w:pPr>
              <w:spacing w:after="0"/>
              <w:rPr>
                <w:sz w:val="13"/>
                <w:szCs w:val="13"/>
                <w:color w:val="auto"/>
              </w:rPr>
            </w:pPr>
          </w:p>
        </w:tc>
        <w:tc>
          <w:tcPr>
            <w:tcW w:w="320" w:type="dxa"/>
            <w:vAlign w:val="bottom"/>
            <w:gridSpan w:val="11"/>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105">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2006).</w:t>
        </w:r>
      </w:hyperlink>
    </w:p>
    <w:p>
      <w:pPr>
        <w:spacing w:after="0" w:line="111"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3.16       —  </w:t>
      </w:r>
      <w:hyperlink r:id="rId106">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12">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Twenty-Ninth Supplemental Indenture (4.65% Senior Notes due 2025) dated August 24, 2015, by and among Plains All American</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Current Report on Form 8-K filed August 26, 2015).</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Current Report on Form 8-K filed November 29, 2016)</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American Pipeline, L.P., PAA Finance Corp. and U.S. Bank National Association, as trustee (incorporated by reference to Exhibit</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September 17, 2019).</w:t>
              </w:r>
            </w:hyperlink>
          </w:p>
        </w:tc>
        <w:tc>
          <w:tcPr>
            <w:tcW w:w="4560" w:type="dxa"/>
            <w:vAlign w:val="bottom"/>
            <w:tcBorders>
              <w:top w:val="single" w:sz="8" w:color="0000FF"/>
            </w:tcBorders>
            <w:gridSpan w:val="16"/>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4">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80" w:type="dxa"/>
            <w:vAlign w:val="bottom"/>
            <w:gridSpan w:val="2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3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Current Report on Form 8-K filed June 11, 2020).</w:t>
              </w:r>
            </w:hyperlink>
          </w:p>
        </w:tc>
        <w:tc>
          <w:tcPr>
            <w:tcW w:w="1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Thirty-Third Supplemental Indenture (5.70% Senior Notes due 2034) dated June 27, 2024, by and among Plains All American</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Pipeline, L.P., PAA Finance Corp. and U.S. Bank Trust Company, National Association, as trustee (incorporated by reference</w:t>
              </w:r>
            </w:hyperlink>
          </w:p>
        </w:tc>
        <w:tc>
          <w:tcPr>
            <w:tcW w:w="380" w:type="dxa"/>
            <w:vAlign w:val="bottom"/>
            <w:gridSpan w:val="7"/>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to</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4.1 to our Current Report on Form 8-K filed June 27, 2024).</w:t>
              </w:r>
            </w:hyperlink>
          </w:p>
        </w:tc>
        <w:tc>
          <w:tcPr>
            <w:tcW w:w="8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Thirty-Fourth Supplemental Indenture (5.950% Senior Notes due 2035) dated January 15, 2025, by and among Plains All</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740" w:type="dxa"/>
            <w:vAlign w:val="bottom"/>
            <w:gridSpan w:val="10"/>
          </w:tcPr>
          <w:p>
            <w:pPr>
              <w:ind w:left="140"/>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w:t>
              </w:r>
            </w:hyperlink>
          </w:p>
        </w:tc>
      </w:tr>
      <w:tr>
        <w:trPr>
          <w:trHeight w:val="169"/>
        </w:trPr>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reference to Exhibit 4.1 to our Current Report on Form 8-K filed January 15, 2025).</w:t>
              </w:r>
            </w:hyperlink>
          </w:p>
        </w:tc>
        <w:tc>
          <w:tcPr>
            <w:tcW w:w="3020" w:type="dxa"/>
            <w:vAlign w:val="bottom"/>
            <w:tcBorders>
              <w:top w:val="single" w:sz="8" w:color="0000FF"/>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Storage LLC (incorporated by reference to Exhibit 4.1 to our Registration Statement on Form S-3, File No. 333-162477).</w:t>
              </w:r>
            </w:hyperlink>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56"/>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480" w:type="dxa"/>
            <w:vAlign w:val="bottom"/>
            <w:tcBorders>
              <w:top w:val="single" w:sz="8" w:color="0000FF"/>
            </w:tcBorders>
            <w:gridSpan w:val="9"/>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060" w:type="dxa"/>
            <w:vAlign w:val="bottom"/>
            <w:gridSpan w:val="23"/>
          </w:tcPr>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Description of Our Securities (incorporated by reference to Exhibit 4.17 to our Annual Report on Form 10-K for the year ended</w:t>
              </w:r>
            </w:hyperlink>
          </w:p>
        </w:tc>
      </w:tr>
      <w:tr>
        <w:trPr>
          <w:trHeight w:val="155"/>
        </w:trPr>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December 31, 2024).</w:t>
              </w:r>
            </w:hyperlink>
          </w:p>
        </w:tc>
        <w:tc>
          <w:tcPr>
            <w:tcW w:w="7660" w:type="dxa"/>
            <w:vAlign w:val="bottom"/>
            <w:tcBorders>
              <w:top w:val="single" w:sz="8" w:color="0000FF"/>
            </w:tcBorders>
            <w:gridSpan w:val="15"/>
          </w:tcPr>
          <w:p>
            <w:pPr>
              <w:spacing w:after="0"/>
              <w:rPr>
                <w:sz w:val="13"/>
                <w:szCs w:val="13"/>
                <w:color w:val="auto"/>
              </w:rPr>
            </w:pPr>
          </w:p>
        </w:tc>
        <w:tc>
          <w:tcPr>
            <w:tcW w:w="300" w:type="dxa"/>
            <w:vAlign w:val="bottom"/>
            <w:gridSpan w:val="6"/>
          </w:tcPr>
          <w:p>
            <w:pPr>
              <w:spacing w:after="0"/>
              <w:rPr>
                <w:sz w:val="13"/>
                <w:szCs w:val="13"/>
                <w:color w:val="auto"/>
              </w:rPr>
            </w:pPr>
          </w:p>
        </w:tc>
      </w:tr>
      <w:tr>
        <w:trPr>
          <w:trHeight w:val="33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31.1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left w:val="single" w:sz="8" w:color="0000FF"/>
            </w:tcBorders>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31.2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gridSpan w:val="14"/>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tcBorders>
              <w:left w:val="single" w:sz="8" w:color="0000FF"/>
            </w:tcBorders>
            <w:gridSpan w:val="16"/>
          </w:tcPr>
          <w:p>
            <w:pPr>
              <w:spacing w:after="0" w:line="20" w:lineRule="exact"/>
              <w:rPr>
                <w:sz w:val="1"/>
                <w:szCs w:val="1"/>
                <w:color w:val="auto"/>
              </w:rPr>
            </w:pPr>
          </w:p>
        </w:tc>
      </w:tr>
      <w:tr>
        <w:trPr>
          <w:trHeight w:val="31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60" w:type="dxa"/>
            <w:vAlign w:val="bottom"/>
            <w:gridSpan w:val="16"/>
          </w:tcPr>
          <w:p>
            <w:pPr>
              <w:spacing w:after="0" w:line="20" w:lineRule="exact"/>
              <w:rPr>
                <w:sz w:val="1"/>
                <w:szCs w:val="1"/>
                <w:color w:val="auto"/>
              </w:rPr>
            </w:pPr>
          </w:p>
        </w:tc>
      </w:tr>
      <w:tr>
        <w:trPr>
          <w:trHeight w:val="30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23"/>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r>
        <w:trPr>
          <w:trHeight w:val="904"/>
        </w:trPr>
        <w:tc>
          <w:tcPr>
            <w:tcW w:w="1180" w:type="dxa"/>
            <w:vAlign w:val="bottom"/>
          </w:tcPr>
          <w:p>
            <w:pPr>
              <w:spacing w:after="0"/>
              <w:rPr>
                <w:sz w:val="24"/>
                <w:szCs w:val="24"/>
                <w:color w:val="auto"/>
              </w:rPr>
            </w:pPr>
          </w:p>
        </w:tc>
        <w:tc>
          <w:tcPr>
            <w:tcW w:w="4560" w:type="dxa"/>
            <w:vAlign w:val="bottom"/>
            <w:gridSpan w:val="4"/>
          </w:tcPr>
          <w:p>
            <w:pPr>
              <w:ind w:left="4360"/>
              <w:spacing w:after="0"/>
              <w:rPr>
                <w:sz w:val="20"/>
                <w:szCs w:val="20"/>
                <w:color w:val="auto"/>
              </w:rPr>
            </w:pPr>
            <w:r>
              <w:rPr>
                <w:rFonts w:ascii="Times New Roman" w:cs="Times New Roman" w:eastAsia="Times New Roman" w:hAnsi="Times New Roman"/>
                <w:sz w:val="18"/>
                <w:szCs w:val="18"/>
                <w:color w:val="auto"/>
                <w:w w:val="99"/>
              </w:rPr>
              <w:t>64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24599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660" w:hanging="652"/>
        <w:spacing w:after="0" w:line="282" w:lineRule="auto"/>
        <w:tabs>
          <w:tab w:leader="none" w:pos="32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as such omitted information is both (i) not material and (ii)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Chief Executive Officer and President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21" w:right="3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by and between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PLAINS MIDSTREAM LUXEMBOURG S.À R.L.</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KEYERA CORP.</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Dated as of June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22225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25"/>
          <w:szCs w:val="25"/>
          <w:b w:val="1"/>
          <w:bCs w:val="1"/>
          <w:i w:val="1"/>
          <w:iCs w:val="1"/>
          <w:color w:val="auto"/>
        </w:rPr>
        <w:t>[Certain Information has been excluded from this Exhibit because such information is both (i) not material and (ii) the type that the Registrant treats as private or confidential.]</w:t>
      </w:r>
    </w:p>
    <w:p>
      <w:pPr>
        <w:sectPr>
          <w:pgSz w:w="11900" w:h="16838" w:orient="portrait"/>
          <w:cols w:equalWidth="0" w:num="1">
            <w:col w:w="11180"/>
          </w:cols>
          <w:pgMar w:left="380" w:top="12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5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w w:val="98"/>
              </w:rPr>
              <w:t>ARTICLE 1 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2</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Definitions</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Interpretations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4"/>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2 THE TRANSACTION; PURCHASE PRICE  3</w:t>
            </w: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Sale and Purchase</w:t>
            </w: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3</w:t>
            </w: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Purchase Price</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2.3</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Closing Adjustment</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3</w:t>
            </w: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2.4</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Post-Closing Adjustment</w:t>
            </w:r>
          </w:p>
        </w:tc>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2.5</w:t>
            </w:r>
          </w:p>
        </w:tc>
        <w:tc>
          <w:tcPr>
            <w:tcW w:w="80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Intended U.S. Tax Treatment; U.S. Income Tax Allocation of Purchase Price  5</w:t>
            </w: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2.6</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Section 116 Matters</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6</w:t>
            </w: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4"/>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3 REPRESENTATIONS AND WARRANTIES REGARDING SELLER  7</w:t>
            </w: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3.1</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Organization; Qualification</w:t>
            </w:r>
          </w:p>
        </w:tc>
        <w:tc>
          <w:tcPr>
            <w:tcW w:w="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w:t>
            </w:r>
          </w:p>
        </w:tc>
        <w:tc>
          <w:tcPr>
            <w:tcW w:w="47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Authority; Enforceability</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3.3</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8</w:t>
            </w: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3.4</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3.5</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w:t>
            </w: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3.6</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Legal Proceedings; Orders</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w:t>
            </w: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3.7</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Ownership of Purchased Shares  9</w:t>
            </w:r>
          </w:p>
        </w:tc>
        <w:tc>
          <w:tcPr>
            <w:tcW w:w="47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3.8</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Brokerage Fees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65"/>
        </w:trPr>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w w:val="98"/>
              </w:rPr>
              <w:t>ARTICLE 4 REPRESENTATIONS AND WARRANTIES REGARDING THE COMPANY GROUP  9</w:t>
            </w: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Organization; Qualification</w:t>
            </w:r>
          </w:p>
        </w:tc>
        <w:tc>
          <w:tcPr>
            <w:tcW w:w="9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9</w:t>
            </w:r>
          </w:p>
        </w:tc>
        <w:tc>
          <w:tcPr>
            <w:tcW w:w="4720" w:type="dxa"/>
            <w:vAlign w:val="bottom"/>
          </w:tcPr>
          <w:p>
            <w:pPr>
              <w:spacing w:after="0"/>
              <w:rPr>
                <w:sz w:val="24"/>
                <w:szCs w:val="24"/>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w:t>
            </w: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64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9"/>
              </w:rPr>
              <w:t>10</w:t>
            </w: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w:t>
            </w:r>
          </w:p>
        </w:tc>
        <w:tc>
          <w:tcPr>
            <w:tcW w:w="10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Solvency</w:t>
            </w:r>
          </w:p>
        </w:tc>
        <w:tc>
          <w:tcPr>
            <w:tcW w:w="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w:t>
            </w: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4.4</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9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4.5</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No Third Party Consents  10</w:t>
            </w:r>
          </w:p>
        </w:tc>
        <w:tc>
          <w:tcPr>
            <w:tcW w:w="47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4.6</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Ownership of the Subsidiary Interests</w:t>
            </w:r>
          </w:p>
        </w:tc>
        <w:tc>
          <w:tcPr>
            <w:tcW w:w="472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11</w:t>
            </w: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4.7</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Capitalization</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11</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4.8</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Legal Proceedings; Orders</w:t>
            </w:r>
          </w:p>
        </w:tc>
        <w:tc>
          <w:tcPr>
            <w:tcW w:w="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4.9</w:t>
            </w:r>
          </w:p>
        </w:tc>
        <w:tc>
          <w:tcPr>
            <w:tcW w:w="33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Absence of Certain Changes  12</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4.10</w:t>
            </w:r>
          </w:p>
        </w:tc>
        <w:tc>
          <w:tcPr>
            <w:tcW w:w="80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Financial Statements; No Undisclosed Liabilities  12</w:t>
            </w:r>
          </w:p>
        </w:tc>
      </w:tr>
      <w:tr>
        <w:trPr>
          <w:trHeight w:val="257"/>
        </w:trPr>
        <w:tc>
          <w:tcPr>
            <w:tcW w:w="446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4.11  Related Party Transactions.  12</w:t>
            </w: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4.12</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Permits</w:t>
            </w:r>
          </w:p>
        </w:tc>
        <w:tc>
          <w:tcPr>
            <w:tcW w:w="4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12</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4.13</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Indebtedness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7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4.14</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Taxes  13</w:t>
            </w: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4.15</w:t>
            </w:r>
          </w:p>
        </w:tc>
        <w:tc>
          <w:tcPr>
            <w:tcW w:w="336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Compliance with Applicable Laws</w:t>
            </w:r>
          </w:p>
        </w:tc>
        <w:tc>
          <w:tcPr>
            <w:tcW w:w="4720" w:type="dxa"/>
            <w:vAlign w:val="bottom"/>
          </w:tcPr>
          <w:p>
            <w:pPr>
              <w:jc w:val="right"/>
              <w:ind w:right="4352"/>
              <w:spacing w:after="0"/>
              <w:rPr>
                <w:sz w:val="20"/>
                <w:szCs w:val="20"/>
                <w:color w:val="auto"/>
              </w:rPr>
            </w:pPr>
            <w:r>
              <w:rPr>
                <w:rFonts w:ascii="Times New Roman" w:cs="Times New Roman" w:eastAsia="Times New Roman" w:hAnsi="Times New Roman"/>
                <w:sz w:val="22"/>
                <w:szCs w:val="22"/>
                <w:color w:val="auto"/>
              </w:rPr>
              <w:t>15</w:t>
            </w: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4.16</w:t>
            </w: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Real Property</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7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4.17</w:t>
            </w:r>
          </w:p>
        </w:tc>
        <w:tc>
          <w:tcPr>
            <w:tcW w:w="80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Facilities and Tangible Personal Property  17</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22"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4.18</w:t>
            </w: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Material Contracts</w:t>
            </w:r>
          </w:p>
        </w:tc>
        <w:tc>
          <w:tcPr>
            <w:tcW w:w="100" w:type="dxa"/>
            <w:vAlign w:val="bottom"/>
          </w:tcPr>
          <w:p>
            <w:pPr>
              <w:spacing w:after="0"/>
              <w:rPr>
                <w:sz w:val="23"/>
                <w:szCs w:val="23"/>
                <w:color w:val="auto"/>
              </w:rPr>
            </w:pP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17</w:t>
            </w: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4.19</w:t>
            </w:r>
          </w:p>
        </w:tc>
        <w:tc>
          <w:tcPr>
            <w:tcW w:w="32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Employment and Labour Matters.</w:t>
            </w: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20</w:t>
            </w: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4.20</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Privacy Laws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4.21</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Employee and Benefits Representations.  21</w:t>
            </w: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4.22</w:t>
            </w: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Environmental Matters.</w:t>
            </w:r>
          </w:p>
        </w:tc>
        <w:tc>
          <w:tcPr>
            <w:tcW w:w="7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0"/>
              </w:rPr>
              <w:t>22</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4.23</w:t>
            </w: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7"/>
              </w:rPr>
              <w:t>Intellectual Property</w:t>
            </w:r>
          </w:p>
        </w:tc>
        <w:tc>
          <w:tcPr>
            <w:tcW w:w="480" w:type="dxa"/>
            <w:vAlign w:val="bottom"/>
            <w:gridSpan w:val="2"/>
          </w:tcPr>
          <w:p>
            <w:pPr>
              <w:jc w:val="center"/>
              <w:ind w:left="32"/>
              <w:spacing w:after="0"/>
              <w:rPr>
                <w:sz w:val="20"/>
                <w:szCs w:val="20"/>
                <w:color w:val="auto"/>
              </w:rPr>
            </w:pPr>
            <w:r>
              <w:rPr>
                <w:rFonts w:ascii="Times New Roman" w:cs="Times New Roman" w:eastAsia="Times New Roman" w:hAnsi="Times New Roman"/>
                <w:sz w:val="22"/>
                <w:szCs w:val="22"/>
                <w:color w:val="auto"/>
                <w:w w:val="99"/>
              </w:rPr>
              <w:t>23</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4.24</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Insurance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4.25</w:t>
            </w:r>
          </w:p>
        </w:tc>
        <w:tc>
          <w:tcPr>
            <w:tcW w:w="10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Records</w:t>
            </w: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4.26</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6"/>
              </w:rPr>
              <w:t>Bank Accounts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4.27</w:t>
            </w:r>
          </w:p>
        </w:tc>
        <w:tc>
          <w:tcPr>
            <w:tcW w:w="598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w w:val="99"/>
              </w:rPr>
              <w:t>Sanctions Compliance; Anti-Corruption; Anti-Money Laundering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4.28</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Credit Support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4.29</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Sufficiency of Assets</w:t>
            </w:r>
          </w:p>
        </w:tc>
        <w:tc>
          <w:tcPr>
            <w:tcW w:w="102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9"/>
              </w:rPr>
              <w:t>24</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4.30</w:t>
            </w: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Condition of Assets</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24</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4.31</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Information Technology and Cybersecurity</w:t>
            </w:r>
          </w:p>
        </w:tc>
        <w:tc>
          <w:tcPr>
            <w:tcW w:w="1860" w:type="dxa"/>
            <w:vAlign w:val="bottom"/>
          </w:tcPr>
          <w:p>
            <w:pPr>
              <w:jc w:val="right"/>
              <w:ind w:right="1532"/>
              <w:spacing w:after="0"/>
              <w:rPr>
                <w:sz w:val="20"/>
                <w:szCs w:val="20"/>
                <w:color w:val="auto"/>
              </w:rPr>
            </w:pPr>
            <w:r>
              <w:rPr>
                <w:rFonts w:ascii="Times New Roman" w:cs="Times New Roman" w:eastAsia="Times New Roman" w:hAnsi="Times New Roman"/>
                <w:sz w:val="22"/>
                <w:szCs w:val="22"/>
                <w:color w:val="auto"/>
                <w:w w:val="90"/>
              </w:rPr>
              <w:t>24</w:t>
            </w:r>
          </w:p>
        </w:tc>
        <w:tc>
          <w:tcPr>
            <w:tcW w:w="320" w:type="dxa"/>
            <w:vAlign w:val="bottom"/>
          </w:tcPr>
          <w:p>
            <w:pPr>
              <w:spacing w:after="0"/>
              <w:rPr>
                <w:sz w:val="24"/>
                <w:szCs w:val="24"/>
                <w:color w:val="auto"/>
              </w:rPr>
            </w:pPr>
          </w:p>
        </w:tc>
      </w:tr>
      <w:tr>
        <w:trPr>
          <w:trHeight w:val="365"/>
        </w:trPr>
        <w:tc>
          <w:tcPr>
            <w:tcW w:w="7080" w:type="dxa"/>
            <w:vAlign w:val="bottom"/>
            <w:gridSpan w:val="10"/>
          </w:tcPr>
          <w:p>
            <w:pPr>
              <w:jc w:val="center"/>
              <w:ind w:right="292"/>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5 REPRESENTATIONS AND WARRANTIES OF BUYER  25</w:t>
            </w:r>
          </w:p>
        </w:tc>
        <w:tc>
          <w:tcPr>
            <w:tcW w:w="3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Organization; Qualification</w:t>
            </w: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25</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Authority; Enforceability</w:t>
            </w: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26</w:t>
            </w: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5.3</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Non-Contravention</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26</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5.4</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Governmental Approvals</w:t>
            </w:r>
          </w:p>
        </w:tc>
        <w:tc>
          <w:tcPr>
            <w:tcW w:w="7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26</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5.5</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Financing</w:t>
            </w:r>
          </w:p>
        </w:tc>
        <w:tc>
          <w:tcPr>
            <w:tcW w:w="4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5.6</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Legal Proceedings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9"/>
              </w:rPr>
              <w:t>26</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5.7</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Brokerage Fees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5.8</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R&amp;W Policy  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32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Purchaser as Principal.  27</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5.10</w:t>
            </w: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7"/>
              </w:rPr>
              <w:t>Independent Investigation</w:t>
            </w:r>
          </w:p>
        </w:tc>
        <w:tc>
          <w:tcPr>
            <w:tcW w:w="7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27</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5.11</w:t>
            </w:r>
          </w:p>
        </w:tc>
        <w:tc>
          <w:tcPr>
            <w:tcW w:w="598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Sanctions Compliance; Anti-Corruption; Anti-Money Laundering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5.12</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6"/>
              </w:rPr>
              <w:t>Investment Canada Act</w:t>
            </w:r>
          </w:p>
        </w:tc>
        <w:tc>
          <w:tcPr>
            <w:tcW w:w="1020" w:type="dxa"/>
            <w:vAlign w:val="bottom"/>
            <w:gridSpan w:val="2"/>
          </w:tcPr>
          <w:p>
            <w:pPr>
              <w:jc w:val="right"/>
              <w:ind w:right="472"/>
              <w:spacing w:after="0"/>
              <w:rPr>
                <w:sz w:val="20"/>
                <w:szCs w:val="20"/>
                <w:color w:val="auto"/>
              </w:rPr>
            </w:pPr>
            <w:r>
              <w:rPr>
                <w:rFonts w:ascii="Times New Roman" w:cs="Times New Roman" w:eastAsia="Times New Roman" w:hAnsi="Times New Roman"/>
                <w:sz w:val="22"/>
                <w:szCs w:val="22"/>
                <w:color w:val="auto"/>
              </w:rPr>
              <w:t>27</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65"/>
        </w:trPr>
        <w:tc>
          <w:tcPr>
            <w:tcW w:w="43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6 COVENANTS OF THE PARTIES</w:t>
            </w:r>
          </w:p>
        </w:tc>
        <w:tc>
          <w:tcPr>
            <w:tcW w:w="900" w:type="dxa"/>
            <w:vAlign w:val="bottom"/>
          </w:tcPr>
          <w:p>
            <w:pPr>
              <w:jc w:val="right"/>
              <w:ind w:right="452"/>
              <w:spacing w:after="0"/>
              <w:rPr>
                <w:sz w:val="20"/>
                <w:szCs w:val="20"/>
                <w:color w:val="auto"/>
              </w:rPr>
            </w:pPr>
            <w:r>
              <w:rPr>
                <w:rFonts w:ascii="Times New Roman" w:cs="Times New Roman" w:eastAsia="Times New Roman" w:hAnsi="Times New Roman"/>
                <w:sz w:val="22"/>
                <w:szCs w:val="22"/>
                <w:b w:val="1"/>
                <w:bCs w:val="1"/>
                <w:i w:val="1"/>
                <w:iCs w:val="1"/>
                <w:color w:val="auto"/>
              </w:rPr>
              <w:t>28</w:t>
            </w: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Conduct of Business</w:t>
            </w:r>
          </w:p>
        </w:tc>
        <w:tc>
          <w:tcPr>
            <w:tcW w:w="100" w:type="dxa"/>
            <w:vAlign w:val="bottom"/>
          </w:tcPr>
          <w:p>
            <w:pPr>
              <w:spacing w:after="0"/>
              <w:rPr>
                <w:sz w:val="24"/>
                <w:szCs w:val="24"/>
                <w:color w:val="auto"/>
              </w:rPr>
            </w:pP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28</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Capital Projects.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6.3</w:t>
            </w: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Access to Information</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32</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6.4</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Books and Records</w:t>
            </w:r>
          </w:p>
        </w:tc>
        <w:tc>
          <w:tcPr>
            <w:tcW w:w="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33</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6.5</w:t>
            </w:r>
          </w:p>
        </w:tc>
        <w:tc>
          <w:tcPr>
            <w:tcW w:w="59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Indemnification of Officers, Directors, Employees and Agents  35</w:t>
            </w:r>
          </w:p>
        </w:tc>
        <w:tc>
          <w:tcPr>
            <w:tcW w:w="3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6.6</w:t>
            </w:r>
          </w:p>
        </w:tc>
        <w:tc>
          <w:tcPr>
            <w:tcW w:w="59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Governmental Approvals; Other Regulatory Matters  36</w:t>
            </w: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6.7</w:t>
            </w: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Post-Closing Notifications</w:t>
            </w: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38</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6.8</w:t>
            </w: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Third Party Consents</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38</w:t>
            </w: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6.9</w:t>
            </w: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Employee Matters</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w w:val="90"/>
              </w:rPr>
              <w:t>38</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22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w w:val="97"/>
              </w:rPr>
              <w:t>Public Announcements</w:t>
            </w:r>
          </w:p>
        </w:tc>
        <w:tc>
          <w:tcPr>
            <w:tcW w:w="102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43</w:t>
            </w: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6.11</w:t>
            </w:r>
          </w:p>
        </w:tc>
        <w:tc>
          <w:tcPr>
            <w:tcW w:w="10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R&amp;W Policy</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41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Removal of Retained Marks; Name Change</w:t>
            </w:r>
          </w:p>
        </w:tc>
        <w:tc>
          <w:tcPr>
            <w:tcW w:w="18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44</w:t>
            </w:r>
          </w:p>
        </w:tc>
        <w:tc>
          <w:tcPr>
            <w:tcW w:w="3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6.14</w:t>
            </w: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Confidentiality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40"/>
          </w:cols>
          <w:pgMar w:left="320" w:top="122"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528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Replacement of Bonds, Letters of Credit and Guarantees</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47</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6.16</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Insurance</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47</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w:t>
            </w:r>
          </w:p>
        </w:tc>
        <w:tc>
          <w:tcPr>
            <w:tcW w:w="32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w w:val="99"/>
              </w:rPr>
              <w:t>Seller Pre-Closing Reorganization</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47</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6.18</w:t>
            </w:r>
          </w:p>
        </w:tc>
        <w:tc>
          <w:tcPr>
            <w:tcW w:w="528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7"/>
              </w:rPr>
              <w:t>Termination of Affiliate Contracts; Intercompany Balances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6.19</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Inventory</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48</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6.20</w:t>
            </w: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Financing Cooperation  48</w:t>
            </w: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6.21</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6"/>
              </w:rPr>
              <w:t>Buyer Reorganization.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6.22</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Non-Solicitation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6.23</w:t>
            </w:r>
          </w:p>
        </w:tc>
        <w:tc>
          <w:tcPr>
            <w:tcW w:w="320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Disclaimers; Certain Limitations</w:t>
            </w:r>
          </w:p>
        </w:tc>
        <w:tc>
          <w:tcPr>
            <w:tcW w:w="5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9"/>
              </w:rPr>
              <w:t>53</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6.24</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Release</w:t>
            </w:r>
          </w:p>
        </w:tc>
        <w:tc>
          <w:tcPr>
            <w:tcW w:w="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53</w:t>
            </w: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Data Room</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54</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6.26</w:t>
            </w:r>
          </w:p>
        </w:tc>
        <w:tc>
          <w:tcPr>
            <w:tcW w:w="37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Seller Disclosure Schedule Updates  55</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8"/>
        </w:trPr>
        <w:tc>
          <w:tcPr>
            <w:tcW w:w="430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7 CONDITIONS TO CLOSING  55</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w:t>
            </w:r>
          </w:p>
        </w:tc>
        <w:tc>
          <w:tcPr>
            <w:tcW w:w="37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Each Party</w:t>
            </w:r>
          </w:p>
        </w:tc>
        <w:tc>
          <w:tcPr>
            <w:tcW w:w="156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9"/>
              </w:rPr>
              <w:t>55</w:t>
            </w:r>
          </w:p>
        </w:tc>
        <w:tc>
          <w:tcPr>
            <w:tcW w:w="4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w:t>
            </w: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Buyer</w:t>
            </w:r>
          </w:p>
        </w:tc>
        <w:tc>
          <w:tcPr>
            <w:tcW w:w="5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55</w:t>
            </w: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7.3</w:t>
            </w: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Conditions to Obligations of Seller</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56</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w w:val="99"/>
              </w:rPr>
              <w:t>ARTICLE 8 CLOSING</w:t>
            </w:r>
          </w:p>
        </w:tc>
        <w:tc>
          <w:tcPr>
            <w:tcW w:w="60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b w:val="1"/>
                <w:bCs w:val="1"/>
                <w:i w:val="1"/>
                <w:iCs w:val="1"/>
                <w:color w:val="auto"/>
              </w:rPr>
              <w:t>56</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8.1</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Closing  56</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8.2</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Closing Deliveries by Seller</w:t>
            </w:r>
          </w:p>
        </w:tc>
        <w:tc>
          <w:tcPr>
            <w:tcW w:w="5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57</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8.3</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Closing Deliveries by Buyer</w:t>
            </w:r>
          </w:p>
        </w:tc>
        <w:tc>
          <w:tcPr>
            <w:tcW w:w="5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58</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27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9 TERMINATION</w:t>
            </w: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i w:val="1"/>
                <w:iCs w:val="1"/>
                <w:color w:val="auto"/>
              </w:rPr>
              <w:t>59</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Termination Rights  59</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9.2</w:t>
            </w:r>
          </w:p>
        </w:tc>
        <w:tc>
          <w:tcPr>
            <w:tcW w:w="21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Effect of Termination</w:t>
            </w:r>
          </w:p>
        </w:tc>
        <w:tc>
          <w:tcPr>
            <w:tcW w:w="5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60</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9.3</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Termination Fee</w:t>
            </w: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60</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27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i w:val="1"/>
                <w:iCs w:val="1"/>
                <w:color w:val="auto"/>
                <w:w w:val="97"/>
              </w:rPr>
              <w:t>ARTICLE 10 TAX MATTERS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62</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w:t>
            </w:r>
          </w:p>
        </w:tc>
        <w:tc>
          <w:tcPr>
            <w:tcW w:w="37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w w:val="97"/>
              </w:rPr>
              <w:t>Filing of Tax Returns; Payment of Taxes</w:t>
            </w:r>
          </w:p>
        </w:tc>
        <w:tc>
          <w:tcPr>
            <w:tcW w:w="156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62</w:t>
            </w:r>
          </w:p>
        </w:tc>
        <w:tc>
          <w:tcPr>
            <w:tcW w:w="420" w:type="dxa"/>
            <w:vAlign w:val="bottom"/>
          </w:tcPr>
          <w:p>
            <w:pPr>
              <w:spacing w:after="0"/>
              <w:rPr>
                <w:sz w:val="24"/>
                <w:szCs w:val="24"/>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Tax Allocation</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62</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10.3</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True-Up</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10.4</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Cooperation</w:t>
            </w:r>
          </w:p>
        </w:tc>
        <w:tc>
          <w:tcPr>
            <w:tcW w:w="76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10.5</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Tax Disclosure</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10.6</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Transfer Taxes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63</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10.7</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Tax Refunds</w:t>
            </w:r>
          </w:p>
        </w:tc>
        <w:tc>
          <w:tcPr>
            <w:tcW w:w="76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64</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10.8</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Tax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10.9</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Certain Tax Actions</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64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65"/>
        </w:trPr>
        <w:tc>
          <w:tcPr>
            <w:tcW w:w="638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11 SURVIVAL; INDEMNIFICATION; REMEDIES  65</w:t>
            </w:r>
          </w:p>
        </w:tc>
        <w:tc>
          <w:tcPr>
            <w:tcW w:w="420" w:type="dxa"/>
            <w:vAlign w:val="bottom"/>
          </w:tcPr>
          <w:p>
            <w:pPr>
              <w:spacing w:after="0"/>
              <w:rPr>
                <w:sz w:val="24"/>
                <w:szCs w:val="24"/>
                <w:color w:val="auto"/>
              </w:rPr>
            </w:pPr>
          </w:p>
        </w:tc>
      </w:tr>
      <w:tr>
        <w:trPr>
          <w:trHeight w:val="339"/>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w:t>
            </w:r>
          </w:p>
        </w:tc>
        <w:tc>
          <w:tcPr>
            <w:tcW w:w="10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w:t>
            </w:r>
          </w:p>
        </w:tc>
        <w:tc>
          <w:tcPr>
            <w:tcW w:w="3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65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4300" w:type="dxa"/>
            <w:vAlign w:val="bottom"/>
            <w:gridSpan w:val="7"/>
          </w:tcPr>
          <w:p>
            <w:pPr>
              <w:jc w:val="center"/>
              <w:ind w:left="192"/>
              <w:spacing w:after="0"/>
              <w:rPr>
                <w:sz w:val="20"/>
                <w:szCs w:val="20"/>
                <w:color w:val="auto"/>
              </w:rPr>
            </w:pPr>
            <w:r>
              <w:rPr>
                <w:rFonts w:ascii="Times New Roman" w:cs="Times New Roman" w:eastAsia="Times New Roman" w:hAnsi="Times New Roman"/>
                <w:sz w:val="22"/>
                <w:szCs w:val="22"/>
                <w:color w:val="auto"/>
              </w:rPr>
              <w:t>11.2  Indemnification by Seller.  65</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4300" w:type="dxa"/>
            <w:vAlign w:val="bottom"/>
            <w:gridSpan w:val="7"/>
          </w:tcPr>
          <w:p>
            <w:pPr>
              <w:jc w:val="center"/>
              <w:ind w:left="232"/>
              <w:spacing w:after="0"/>
              <w:rPr>
                <w:sz w:val="20"/>
                <w:szCs w:val="20"/>
                <w:color w:val="auto"/>
              </w:rPr>
            </w:pPr>
            <w:r>
              <w:rPr>
                <w:rFonts w:ascii="Times New Roman" w:cs="Times New Roman" w:eastAsia="Times New Roman" w:hAnsi="Times New Roman"/>
                <w:sz w:val="22"/>
                <w:szCs w:val="22"/>
                <w:color w:val="auto"/>
              </w:rPr>
              <w:t>11.3  Indemnification by Buyer.  66</w:t>
            </w:r>
          </w:p>
        </w:tc>
        <w:tc>
          <w:tcPr>
            <w:tcW w:w="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4300" w:type="dxa"/>
            <w:vAlign w:val="bottom"/>
            <w:gridSpan w:val="7"/>
          </w:tcPr>
          <w:p>
            <w:pPr>
              <w:jc w:val="center"/>
              <w:ind w:left="272"/>
              <w:spacing w:after="0"/>
              <w:rPr>
                <w:sz w:val="20"/>
                <w:szCs w:val="20"/>
                <w:color w:val="auto"/>
              </w:rPr>
            </w:pPr>
            <w:r>
              <w:rPr>
                <w:rFonts w:ascii="Times New Roman" w:cs="Times New Roman" w:eastAsia="Times New Roman" w:hAnsi="Times New Roman"/>
                <w:sz w:val="22"/>
                <w:szCs w:val="22"/>
                <w:color w:val="auto"/>
              </w:rPr>
              <w:t>11.4  Limits on Indemnification.  66</w:t>
            </w:r>
          </w:p>
        </w:tc>
        <w:tc>
          <w:tcPr>
            <w:tcW w:w="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82"/>
        </w:trPr>
        <w:tc>
          <w:tcPr>
            <w:tcW w:w="11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11.5</w:t>
            </w: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67</w:t>
            </w: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40"/>
          </w:cols>
          <w:pgMar w:left="320" w:top="122"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11.6</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Calculation of Losses</w:t>
            </w: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68</w:t>
            </w: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11.7</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Sources of Recovery</w:t>
            </w:r>
          </w:p>
        </w:tc>
        <w:tc>
          <w:tcPr>
            <w:tcW w:w="7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0"/>
              </w:rPr>
              <w:t>69</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11.8</w:t>
            </w: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Treatment of Payments</w:t>
            </w: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70</w:t>
            </w:r>
          </w:p>
        </w:tc>
        <w:tc>
          <w:tcPr>
            <w:tcW w:w="3020" w:type="dxa"/>
            <w:vAlign w:val="bottom"/>
          </w:tcPr>
          <w:p>
            <w:pPr>
              <w:spacing w:after="0"/>
              <w:rPr>
                <w:sz w:val="22"/>
                <w:szCs w:val="22"/>
                <w:color w:val="auto"/>
              </w:rPr>
            </w:pP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11.9</w:t>
            </w:r>
          </w:p>
        </w:tc>
        <w:tc>
          <w:tcPr>
            <w:tcW w:w="1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Limit on Remedies</w:t>
            </w:r>
          </w:p>
        </w:tc>
        <w:tc>
          <w:tcPr>
            <w:tcW w:w="100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rPr>
              <w:t>70</w:t>
            </w:r>
          </w:p>
        </w:tc>
        <w:tc>
          <w:tcPr>
            <w:tcW w:w="3020" w:type="dxa"/>
            <w:vAlign w:val="bottom"/>
          </w:tcPr>
          <w:p>
            <w:pPr>
              <w:spacing w:after="0"/>
              <w:rPr>
                <w:sz w:val="24"/>
                <w:szCs w:val="24"/>
                <w:color w:val="auto"/>
              </w:rPr>
            </w:pPr>
          </w:p>
        </w:tc>
      </w:tr>
      <w:tr>
        <w:trPr>
          <w:trHeight w:val="365"/>
        </w:trPr>
        <w:tc>
          <w:tcPr>
            <w:tcW w:w="3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ARTICLE 12 MISCELLANEOUS</w:t>
            </w:r>
          </w:p>
        </w:tc>
        <w:tc>
          <w:tcPr>
            <w:tcW w:w="74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i w:val="1"/>
                <w:iCs w:val="1"/>
                <w:color w:val="auto"/>
                <w:w w:val="99"/>
              </w:rPr>
              <w:t>71</w:t>
            </w:r>
          </w:p>
        </w:tc>
        <w:tc>
          <w:tcPr>
            <w:tcW w:w="3020" w:type="dxa"/>
            <w:vAlign w:val="bottom"/>
          </w:tcPr>
          <w:p>
            <w:pPr>
              <w:spacing w:after="0"/>
              <w:rPr>
                <w:sz w:val="24"/>
                <w:szCs w:val="24"/>
                <w:color w:val="auto"/>
              </w:rPr>
            </w:pPr>
          </w:p>
        </w:tc>
      </w:tr>
      <w:tr>
        <w:trPr>
          <w:trHeight w:val="339"/>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Notices  71</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12.2</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Entire Agreement</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72</w:t>
            </w:r>
          </w:p>
        </w:tc>
        <w:tc>
          <w:tcPr>
            <w:tcW w:w="74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12.3</w:t>
            </w:r>
          </w:p>
        </w:tc>
        <w:tc>
          <w:tcPr>
            <w:tcW w:w="28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Amendment and Waiver  72</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12.4</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Binding Effect; Assignment; No Third Party Benefit  73</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12.5</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Severability  73</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12.6</w:t>
            </w:r>
          </w:p>
        </w:tc>
        <w:tc>
          <w:tcPr>
            <w:tcW w:w="584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w w:val="99"/>
              </w:rPr>
              <w:t>Governing Law; Consent to Jurisdiction; Waiver of Jury Trial  73</w:t>
            </w: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12.7</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Specific Performance</w:t>
            </w: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12.8</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Time of the Essence</w:t>
            </w:r>
          </w:p>
        </w:tc>
        <w:tc>
          <w:tcPr>
            <w:tcW w:w="1000" w:type="dxa"/>
            <w:vAlign w:val="bottom"/>
            <w:gridSpan w:val="2"/>
          </w:tcPr>
          <w:p>
            <w:pPr>
              <w:jc w:val="right"/>
              <w:ind w:right="45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12.9</w:t>
            </w:r>
          </w:p>
        </w:tc>
        <w:tc>
          <w:tcPr>
            <w:tcW w:w="18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Further Assurances</w:t>
            </w:r>
          </w:p>
        </w:tc>
        <w:tc>
          <w:tcPr>
            <w:tcW w:w="100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12.10</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Disclosure Schedules</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74</w:t>
            </w:r>
          </w:p>
        </w:tc>
        <w:tc>
          <w:tcPr>
            <w:tcW w:w="302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12.11</w:t>
            </w:r>
          </w:p>
        </w:tc>
        <w:tc>
          <w:tcPr>
            <w:tcW w:w="58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Counterparts and Electronic Signatures  75</w:t>
            </w:r>
          </w:p>
        </w:tc>
      </w:tr>
      <w:tr>
        <w:trPr>
          <w:trHeight w:val="270"/>
        </w:trPr>
        <w:tc>
          <w:tcPr>
            <w:tcW w:w="328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12.12  Non-Recourse  75</w:t>
            </w:r>
          </w:p>
        </w:tc>
        <w:tc>
          <w:tcPr>
            <w:tcW w:w="74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12.13</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Legal Representation</w:t>
            </w: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75</w:t>
            </w:r>
          </w:p>
        </w:tc>
        <w:tc>
          <w:tcPr>
            <w:tcW w:w="302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12.14</w:t>
            </w:r>
          </w:p>
        </w:tc>
        <w:tc>
          <w:tcPr>
            <w:tcW w:w="2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Privileged Communications</w:t>
            </w:r>
          </w:p>
        </w:tc>
        <w:tc>
          <w:tcPr>
            <w:tcW w:w="3020" w:type="dxa"/>
            <w:vAlign w:val="bottom"/>
          </w:tcPr>
          <w:p>
            <w:pPr>
              <w:jc w:val="right"/>
              <w:ind w:right="2692"/>
              <w:spacing w:after="0"/>
              <w:rPr>
                <w:sz w:val="20"/>
                <w:szCs w:val="20"/>
                <w:color w:val="auto"/>
              </w:rPr>
            </w:pPr>
            <w:r>
              <w:rPr>
                <w:rFonts w:ascii="Times New Roman" w:cs="Times New Roman" w:eastAsia="Times New Roman" w:hAnsi="Times New Roman"/>
                <w:sz w:val="22"/>
                <w:szCs w:val="22"/>
                <w:color w:val="auto"/>
                <w:w w:val="90"/>
              </w:rPr>
              <w:t>76</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12.15</w:t>
            </w:r>
          </w:p>
        </w:tc>
        <w:tc>
          <w:tcPr>
            <w:tcW w:w="28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7"/>
              </w:rPr>
              <w:t>Liability of Financing Sources</w:t>
            </w:r>
          </w:p>
        </w:tc>
        <w:tc>
          <w:tcPr>
            <w:tcW w:w="3020" w:type="dxa"/>
            <w:vAlign w:val="bottom"/>
          </w:tcPr>
          <w:p>
            <w:pPr>
              <w:jc w:val="right"/>
              <w:ind w:right="2492"/>
              <w:spacing w:after="0"/>
              <w:rPr>
                <w:sz w:val="20"/>
                <w:szCs w:val="20"/>
                <w:color w:val="auto"/>
              </w:rPr>
            </w:pPr>
            <w:r>
              <w:rPr>
                <w:rFonts w:ascii="Times New Roman" w:cs="Times New Roman" w:eastAsia="Times New Roman" w:hAnsi="Times New Roman"/>
                <w:sz w:val="22"/>
                <w:szCs w:val="22"/>
                <w:color w:val="auto"/>
              </w:rPr>
              <w:t>76</w:t>
            </w: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12.16</w:t>
            </w:r>
          </w:p>
        </w:tc>
        <w:tc>
          <w:tcPr>
            <w:tcW w:w="20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Wrong Pocket  77</w:t>
            </w:r>
          </w:p>
        </w:tc>
        <w:tc>
          <w:tcPr>
            <w:tcW w:w="74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122" w:right="339" w:bottom="1440" w:gutter="0" w:footer="0" w:header="0"/>
        </w:sectPr>
      </w:pPr>
    </w:p>
    <w:bookmarkStart w:id="71" w:name="page72"/>
    <w:bookmarkEnd w:id="71"/>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Exhibits:</w:t>
            </w:r>
          </w:p>
        </w:tc>
        <w:tc>
          <w:tcPr>
            <w:tcW w:w="4460" w:type="dxa"/>
            <w:vAlign w:val="bottom"/>
          </w:tcPr>
          <w:p>
            <w:pPr>
              <w:spacing w:after="0"/>
              <w:rPr>
                <w:sz w:val="22"/>
                <w:szCs w:val="2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79"/>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Definitions</w:t>
            </w:r>
          </w:p>
        </w:tc>
      </w:tr>
      <w:tr>
        <w:trPr>
          <w:trHeight w:val="270"/>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Assignment of Purchased Shares</w:t>
            </w:r>
          </w:p>
        </w:tc>
      </w:tr>
      <w:tr>
        <w:trPr>
          <w:trHeight w:val="256"/>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C</w:t>
            </w:r>
          </w:p>
        </w:tc>
        <w:tc>
          <w:tcPr>
            <w:tcW w:w="44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Principles for Transition Services Agreement</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D</w:t>
            </w:r>
          </w:p>
        </w:tc>
        <w:tc>
          <w:tcPr>
            <w:tcW w:w="4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R&amp;W Binder Agreement</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E</w:t>
            </w:r>
          </w:p>
        </w:tc>
        <w:tc>
          <w:tcPr>
            <w:tcW w:w="44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[Reserved]</w:t>
            </w:r>
          </w:p>
        </w:tc>
      </w:tr>
      <w:tr>
        <w:trPr>
          <w:trHeight w:val="257"/>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F</w:t>
            </w:r>
          </w:p>
        </w:tc>
        <w:tc>
          <w:tcPr>
            <w:tcW w:w="44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Form of Confidentiality Agreements Termination</w:t>
            </w:r>
          </w:p>
        </w:tc>
      </w:tr>
      <w:tr>
        <w:trPr>
          <w:trHeight w:val="282"/>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G</w:t>
            </w:r>
          </w:p>
        </w:tc>
        <w:tc>
          <w:tcPr>
            <w:tcW w:w="44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Form of Butane Supply Agreement</w:t>
            </w:r>
          </w:p>
        </w:tc>
      </w:tr>
    </w:tbl>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 - 1</w:t>
      </w:r>
      <w:r>
        <w:rPr>
          <w:sz w:val="20"/>
          <w:szCs w:val="20"/>
          <w:color w:val="auto"/>
        </w:rPr>
        <w:tab/>
      </w:r>
      <w:r>
        <w:rPr>
          <w:rFonts w:ascii="Times New Roman" w:cs="Times New Roman" w:eastAsia="Times New Roman" w:hAnsi="Times New Roman"/>
          <w:sz w:val="21"/>
          <w:szCs w:val="21"/>
          <w:color w:val="auto"/>
        </w:rPr>
        <w:t>Inventory Measurement Procedures</w:t>
      </w:r>
    </w:p>
    <w:p>
      <w:pPr>
        <w:spacing w:after="0" w:line="1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2"/>
          <w:szCs w:val="22"/>
          <w:color w:val="auto"/>
        </w:rPr>
        <w:t>EXHIBIT H - 2</w:t>
      </w:r>
      <w:r>
        <w:rPr>
          <w:sz w:val="20"/>
          <w:szCs w:val="20"/>
          <w:color w:val="auto"/>
        </w:rPr>
        <w:tab/>
      </w:r>
      <w:r>
        <w:rPr>
          <w:rFonts w:ascii="Times New Roman" w:cs="Times New Roman" w:eastAsia="Times New Roman" w:hAnsi="Times New Roman"/>
          <w:sz w:val="21"/>
          <w:szCs w:val="21"/>
          <w:color w:val="auto"/>
        </w:rPr>
        <w:t>Inventory Valuation Methodology</w:t>
      </w:r>
    </w:p>
    <w:tbl>
      <w:tblPr>
        <w:tblLayout w:type="fixed"/>
        <w:tblInd w:w="0" w:type="dxa"/>
        <w:tblCellMar>
          <w:top w:w="0" w:type="dxa"/>
          <w:left w:w="0" w:type="dxa"/>
          <w:bottom w:w="0" w:type="dxa"/>
          <w:right w:w="0" w:type="dxa"/>
        </w:tblCellMar>
      </w:tblPr>
      <w:tr>
        <w:trPr>
          <w:trHeight w:val="236"/>
        </w:trPr>
        <w:tc>
          <w:tcPr>
            <w:tcW w:w="13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EXHIBIT I</w:t>
            </w:r>
          </w:p>
        </w:tc>
        <w:tc>
          <w:tcPr>
            <w:tcW w:w="3660" w:type="dxa"/>
            <w:vAlign w:val="bottom"/>
          </w:tcPr>
          <w:p>
            <w:pPr>
              <w:ind w:left="120"/>
              <w:spacing w:after="0" w:line="236" w:lineRule="exact"/>
              <w:rPr>
                <w:sz w:val="20"/>
                <w:szCs w:val="20"/>
                <w:color w:val="auto"/>
              </w:rPr>
            </w:pPr>
            <w:r>
              <w:rPr>
                <w:rFonts w:ascii="Times New Roman" w:cs="Times New Roman" w:eastAsia="Times New Roman" w:hAnsi="Times New Roman"/>
                <w:sz w:val="22"/>
                <w:szCs w:val="22"/>
                <w:color w:val="auto"/>
              </w:rPr>
              <w:t>Reorganization Summary</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J</w:t>
            </w:r>
          </w:p>
        </w:tc>
        <w:tc>
          <w:tcPr>
            <w:tcW w:w="36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Accounting Principles</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K</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Special Indemnity Matters</w:t>
            </w:r>
          </w:p>
        </w:tc>
      </w:tr>
      <w:tr>
        <w:trPr>
          <w:trHeight w:val="270"/>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L</w:t>
            </w:r>
          </w:p>
        </w:tc>
        <w:tc>
          <w:tcPr>
            <w:tcW w:w="36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[Reserved]</w:t>
            </w:r>
          </w:p>
        </w:tc>
      </w:tr>
      <w:tr>
        <w:trPr>
          <w:trHeight w:val="256"/>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M</w:t>
            </w:r>
          </w:p>
        </w:tc>
        <w:tc>
          <w:tcPr>
            <w:tcW w:w="3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Tax Conduct Agreement</w:t>
            </w:r>
          </w:p>
        </w:tc>
      </w:tr>
      <w:tr>
        <w:trPr>
          <w:trHeight w:val="257"/>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8"/>
              </w:rPr>
              <w:t>Form of Frac Spread Hedge Agreement</w:t>
            </w:r>
          </w:p>
        </w:tc>
      </w:tr>
      <w:tr>
        <w:trPr>
          <w:trHeight w:val="282"/>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O</w:t>
            </w:r>
          </w:p>
        </w:tc>
        <w:tc>
          <w:tcPr>
            <w:tcW w:w="36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Performance Standard; Capital Forecast</w:t>
            </w:r>
          </w:p>
        </w:tc>
      </w:tr>
      <w:tr>
        <w:trPr>
          <w:trHeight w:val="420"/>
        </w:trPr>
        <w:tc>
          <w:tcPr>
            <w:tcW w:w="1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Attachments:</w:t>
            </w:r>
          </w:p>
        </w:tc>
        <w:tc>
          <w:tcPr>
            <w:tcW w:w="3660" w:type="dxa"/>
            <w:vAlign w:val="bottom"/>
          </w:tcPr>
          <w:p>
            <w:pPr>
              <w:spacing w:after="0"/>
              <w:rPr>
                <w:sz w:val="24"/>
                <w:szCs w:val="24"/>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ATTACHMENT 1</w:t>
      </w:r>
      <w:r>
        <w:rPr>
          <w:sz w:val="20"/>
          <w:szCs w:val="20"/>
          <w:color w:val="auto"/>
        </w:rPr>
        <w:tab/>
      </w:r>
      <w:r>
        <w:rPr>
          <w:rFonts w:ascii="Times New Roman" w:cs="Times New Roman" w:eastAsia="Times New Roman" w:hAnsi="Times New Roman"/>
          <w:sz w:val="21"/>
          <w:szCs w:val="21"/>
          <w:color w:val="auto"/>
        </w:rPr>
        <w:t>Seller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40" w:right="1440" w:bottom="1440" w:gutter="0" w:footer="0" w:header="0"/>
        </w:sectPr>
      </w:pPr>
    </w:p>
    <w:bookmarkStart w:id="72" w:name="page73"/>
    <w:bookmarkEnd w:id="72"/>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PURCHASE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SHARE PURCHASE AGREEMENT is entered into as of June 17, 2025 (the “</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by and between Plains Midstream Luxembourg, a Luxembourg société à responsabilité limitée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and Keyera Corp., an Alberta corporation (“</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Each of the parties to this Agreement is sometimes referred to individually in this Agreement as a “</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all of the parties to this Agreement are sometimes collectively referred to in this Agreement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of the Execution Date, (a) Plains Marketing, L.P. owns one hundred percent (100%) of the issued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preferred shares (the “</w:t>
      </w:r>
      <w:r>
        <w:rPr>
          <w:rFonts w:ascii="Times New Roman" w:cs="Times New Roman" w:eastAsia="Times New Roman" w:hAnsi="Times New Roman"/>
          <w:sz w:val="22"/>
          <w:szCs w:val="22"/>
          <w:b w:val="1"/>
          <w:bCs w:val="1"/>
          <w:i w:val="1"/>
          <w:iCs w:val="1"/>
          <w:color w:val="auto"/>
        </w:rPr>
        <w:t>Preferred Shares</w:t>
      </w:r>
      <w:r>
        <w:rPr>
          <w:rFonts w:ascii="Times New Roman" w:cs="Times New Roman" w:eastAsia="Times New Roman" w:hAnsi="Times New Roman"/>
          <w:sz w:val="22"/>
          <w:szCs w:val="22"/>
          <w:color w:val="auto"/>
        </w:rPr>
        <w:t>”) in the capital of Plains Midstream Canada ULC, a British Columbia unlimited liability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(b) Seller owns one hundred percent (100%) of the issued and outstanding common shares in the capital of the Company;</w:t>
      </w:r>
    </w:p>
    <w:p>
      <w:pPr>
        <w:spacing w:after="0" w:line="16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at or prior to the Closing, Seller and certain of its Affiliates, including the Company, will consummate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certain reorganization transactions in accordance with the Reorganization Summary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Reorganization Summary</w:t>
      </w:r>
      <w:r>
        <w:rPr>
          <w:rFonts w:ascii="Times New Roman" w:cs="Times New Roman" w:eastAsia="Times New Roman" w:hAnsi="Times New Roman"/>
          <w:sz w:val="22"/>
          <w:szCs w:val="22"/>
          <w:color w:val="auto"/>
        </w:rPr>
        <w:t>”, and the reorganization transactions contemplated by the Reorganization Summary, subject to any Permitted Amendments, the “</w:t>
      </w:r>
      <w:r>
        <w:rPr>
          <w:rFonts w:ascii="Times New Roman" w:cs="Times New Roman" w:eastAsia="Times New Roman" w:hAnsi="Times New Roman"/>
          <w:sz w:val="22"/>
          <w:szCs w:val="22"/>
          <w:b w:val="1"/>
          <w:bCs w:val="1"/>
          <w:i w:val="1"/>
          <w:iCs w:val="1"/>
          <w:color w:val="auto"/>
        </w:rPr>
        <w:t>Pre-Closing Reorganization</w:t>
      </w:r>
      <w:r>
        <w:rPr>
          <w:rFonts w:ascii="Times New Roman" w:cs="Times New Roman" w:eastAsia="Times New Roman" w:hAnsi="Times New Roman"/>
          <w:sz w:val="22"/>
          <w:szCs w:val="22"/>
          <w:color w:val="auto"/>
        </w:rPr>
        <w:t>”), including the transfer of certain crude oil assets, owned, directly or indirectly, by the Company as of the Execution Date to an Affiliate of Seller (such Affiliate of Seller, “</w:t>
      </w:r>
      <w:r>
        <w:rPr>
          <w:rFonts w:ascii="Times New Roman" w:cs="Times New Roman" w:eastAsia="Times New Roman" w:hAnsi="Times New Roman"/>
          <w:sz w:val="22"/>
          <w:szCs w:val="22"/>
          <w:b w:val="1"/>
          <w:bCs w:val="1"/>
          <w:i w:val="1"/>
          <w:iCs w:val="1"/>
          <w:color w:val="auto"/>
        </w:rPr>
        <w:t>CrudeCo</w:t>
      </w:r>
      <w:r>
        <w:rPr>
          <w:rFonts w:ascii="Times New Roman" w:cs="Times New Roman" w:eastAsia="Times New Roman" w:hAnsi="Times New Roman"/>
          <w:sz w:val="22"/>
          <w:szCs w:val="22"/>
          <w:color w:val="auto"/>
        </w:rPr>
        <w:t>”) as Seller Retained Assets and the transfer of the Preferred Shares to Seller, and after the Pre-Closing Reorganization, Seller shall own one hundred percent (100%) of the issued and outstanding shares of the Company, including the common shares of the Company and the Preferred Shares (collectively, the “</w:t>
      </w:r>
      <w:r>
        <w:rPr>
          <w:rFonts w:ascii="Times New Roman" w:cs="Times New Roman" w:eastAsia="Times New Roman" w:hAnsi="Times New Roman"/>
          <w:sz w:val="22"/>
          <w:szCs w:val="22"/>
          <w:b w:val="1"/>
          <w:bCs w:val="1"/>
          <w:i w:val="1"/>
          <w:iCs w:val="1"/>
          <w:color w:val="auto"/>
        </w:rPr>
        <w:t>Purchased Shares</w:t>
      </w:r>
      <w:r>
        <w:rPr>
          <w:rFonts w:ascii="Times New Roman" w:cs="Times New Roman" w:eastAsia="Times New Roman" w:hAnsi="Times New Roman"/>
          <w:sz w:val="22"/>
          <w:szCs w:val="22"/>
          <w:color w:val="auto"/>
        </w:rPr>
        <w:t>”) and CrudeCo, and the Company shall: (a) continue to own one hundred percent (100%) of the outstanding equity interests in Plains Midstream Superior LLC, a Texas limited liability company (“</w:t>
      </w:r>
      <w:r>
        <w:rPr>
          <w:rFonts w:ascii="Times New Roman" w:cs="Times New Roman" w:eastAsia="Times New Roman" w:hAnsi="Times New Roman"/>
          <w:sz w:val="22"/>
          <w:szCs w:val="22"/>
          <w:b w:val="1"/>
          <w:bCs w:val="1"/>
          <w:i w:val="1"/>
          <w:iCs w:val="1"/>
          <w:color w:val="auto"/>
        </w:rPr>
        <w:t>Plains Midstream Superior</w:t>
      </w:r>
      <w:r>
        <w:rPr>
          <w:rFonts w:ascii="Times New Roman" w:cs="Times New Roman" w:eastAsia="Times New Roman" w:hAnsi="Times New Roman"/>
          <w:sz w:val="22"/>
          <w:szCs w:val="22"/>
          <w:color w:val="auto"/>
        </w:rPr>
        <w:t>”) and (b) then own one hundred percent (100%) of the outstanding equity interests in a to-be-formed limited liability company (“</w:t>
      </w:r>
      <w:r>
        <w:rPr>
          <w:rFonts w:ascii="Times New Roman" w:cs="Times New Roman" w:eastAsia="Times New Roman" w:hAnsi="Times New Roman"/>
          <w:sz w:val="22"/>
          <w:szCs w:val="22"/>
          <w:b w:val="1"/>
          <w:bCs w:val="1"/>
          <w:i w:val="1"/>
          <w:iCs w:val="1"/>
          <w:color w:val="auto"/>
        </w:rPr>
        <w:t>US NGL Co</w:t>
      </w:r>
      <w:r>
        <w:rPr>
          <w:rFonts w:ascii="Times New Roman" w:cs="Times New Roman" w:eastAsia="Times New Roman" w:hAnsi="Times New Roman"/>
          <w:sz w:val="22"/>
          <w:szCs w:val="22"/>
          <w:color w:val="auto"/>
        </w:rPr>
        <w:t>”, and together with Plains Midstream Superior, each a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Agreement, Seller desires to sell, assign, transfer and convey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 and Buyer desires to purchase and acquire from Seller, the Purchased Shares; and</w:t>
      </w:r>
    </w:p>
    <w:p>
      <w:pPr>
        <w:spacing w:after="0" w:line="16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the execution of this Agreement, Seller Parent has executed and delivered to Buyer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Parent Guarantee.</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representations, warranties,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herein, and for other valuable consideration, the receipt and sufficiency of which are hereby acknowledged, the Parties, intending to be legally bound by the terms hereof,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73" w:name="page74"/>
    <w:bookmarkEnd w:id="73"/>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 Definitions</w:t>
      </w:r>
      <w:r>
        <w:rPr>
          <w:rFonts w:ascii="Times New Roman" w:cs="Times New Roman" w:eastAsia="Times New Roman" w:hAnsi="Times New Roman"/>
          <w:sz w:val="22"/>
          <w:szCs w:val="22"/>
          <w:color w:val="auto"/>
        </w:rPr>
        <w:t>. Capitalized terms used in this Agreement, but not defined in the body of this Agreement,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meanings ascribed to them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Capitalized terms defined in the body of this Agreement are listed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reference to the location of the definitions of such terms in the body of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Interpretations</w:t>
      </w:r>
      <w:r>
        <w:rPr>
          <w:rFonts w:ascii="Times New Roman" w:cs="Times New Roman" w:eastAsia="Times New Roman" w:hAnsi="Times New Roman"/>
          <w:sz w:val="21"/>
          <w:szCs w:val="21"/>
          <w:color w:val="auto"/>
        </w:rPr>
        <w:t>. The following rules of construction shall apply to the interpretation of this Agreement:</w:t>
      </w:r>
    </w:p>
    <w:p>
      <w:pPr>
        <w:spacing w:after="0" w:line="183" w:lineRule="exact"/>
        <w:rPr>
          <w:sz w:val="20"/>
          <w:szCs w:val="20"/>
          <w:color w:val="auto"/>
        </w:rPr>
      </w:pPr>
    </w:p>
    <w:p>
      <w:pPr>
        <w:jc w:val="both"/>
        <w:ind w:firstLine="1304"/>
        <w:spacing w:after="0" w:line="22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“herein,” “hereof,” “hereby” and “hereunder,” or other similar terms, refer to this Agreement as a whole (including all Exhibits and Attachments attached hereto) and not to any particular Article, Section, subsection or other subdivision of, or Exhibit or Attachment to, this Agreement unless expressly so limited;</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indicated herein, references to Articles, Sections, Exhibits, Attachments and other subdivisions refer to the Articles, Sections, Exhibits, Attachments and other subdivisions of this Agreement and the Seller Disclosure Schedules and any subdivisions thereof refer to the Seller Disclosure Schedules attached to this Agreement and the subdivisions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accounting terms not otherwise defined herein have the meanings assigned to them in accordance with GAAP, unless IFRS is used as the accounting standard under the applicable agreement in question, in which event such accounting terms will have the meanings assigned to them in accordance with IFRS;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consideration shall be given to the captions of the articles, sections, subsections or clauses, which are inserted for convenience in locating the provisions of this Agreement and not as an aid in the construction thereof;</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“or” is not exclusive, and the word “includes” and its syntactical variants mean “includes, but is not limited to,” and corresponding syntactical variant expressions;</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“shall” and “will” are used interchangeably herein unless the context requires otherwise;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plural shall be deemed to include the singular, and vice versa;</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9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“day” and “days” mean and refer to calendar day(s), the terms “month” and “months” mean and refer to calendar month(s), the terms “year” and “years” mean and refer to calendar year(s) and if any action is to be taken or given on or by a particular calendar day, and such calendar day is not a Business Day, then such action shall be deferred until the next Business Day;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“C$” or “Dollars” shall be deemed references to Canadian Dollars, and all references to “US$” or “USD” shall be deemed references to United States Dollars;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Exhibit and Attachment to this Agreement is a part of this Agreement and incorporated herein for all purposes (including in the corresponding Sections, if applicable), but if there is any conflict or inconsistency between the main body of this Agreement and any Exhibit or Attachment, the provisions of the main body of this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4" w:name="page75"/>
    <w:bookmarkEnd w:id="74"/>
    <w:p>
      <w:pPr>
        <w:spacing w:after="0" w:line="63" w:lineRule="exact"/>
        <w:rPr>
          <w:sz w:val="20"/>
          <w:szCs w:val="20"/>
          <w:color w:val="auto"/>
        </w:rPr>
      </w:pPr>
    </w:p>
    <w:p>
      <w:pPr>
        <w:jc w:val="both"/>
        <w:ind w:firstLine="1304"/>
        <w:spacing w:after="0" w:line="220"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a statute refers to the statute, any amendments or successor legislation, and all regulations promulgated thereunder, as in effect at the relevant time, and any reference to a Contract, instrument or other document as of a given date means the Contract, instrument or other document as amended, supplemented, and modified from time to time through such date;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reference in this Agreement to information or documents having been “made available to Buyer”, being “in the Data Room”, or similar expressions shall mean such information or documents contained in the Data Room as of 5:00 p.m. Mountain Time one (1) day before the Execution Date. For greater certainty, information and documentation provided by Seller to Buyer pursuant to </w:t>
      </w:r>
      <w:r>
        <w:rPr>
          <w:rFonts w:ascii="Times New Roman" w:cs="Times New Roman" w:eastAsia="Times New Roman" w:hAnsi="Times New Roman"/>
          <w:sz w:val="22"/>
          <w:szCs w:val="22"/>
          <w:u w:val="single" w:color="auto"/>
          <w:color w:val="auto"/>
        </w:rPr>
        <w:t>Section 6.25</w:t>
      </w:r>
      <w:r>
        <w:rPr>
          <w:rFonts w:ascii="Times New Roman" w:cs="Times New Roman" w:eastAsia="Times New Roman" w:hAnsi="Times New Roman"/>
          <w:sz w:val="22"/>
          <w:szCs w:val="22"/>
          <w:color w:val="auto"/>
        </w:rPr>
        <w:t xml:space="preserve"> shall not modify, supplement or in any manner alter the Seller Disclosure Schedules delivered as at the Execution Date or the representations and warranties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THE TRANSACTION; PURCHASE PRICE</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2.1 Sale and Purchase</w:t>
      </w:r>
      <w:r>
        <w:rPr>
          <w:rFonts w:ascii="Times New Roman" w:cs="Times New Roman" w:eastAsia="Times New Roman" w:hAnsi="Times New Roman"/>
          <w:sz w:val="22"/>
          <w:szCs w:val="22"/>
          <w:color w:val="auto"/>
        </w:rPr>
        <w:t>. At the Closing, subject to the terms and conditions in this Agreement, Seller shall sell, assign,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convey and transfer to Buyer, and Buyer shall purchase and accept from Seller, the Purchased Shares, free and clear of any Encumbrances (other than restrictions on transfer that may be imposed by applicable Law or the Company’s Organizational Documents).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2.2 Purchase Price</w:t>
      </w:r>
      <w:r>
        <w:rPr>
          <w:rFonts w:ascii="Times New Roman" w:cs="Times New Roman" w:eastAsia="Times New Roman" w:hAnsi="Times New Roman"/>
          <w:sz w:val="22"/>
          <w:szCs w:val="22"/>
          <w:color w:val="auto"/>
        </w:rPr>
        <w:t>. The purchase price for the Purchased Shares shall be Five Billion, One Hundred Fifty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(C$5,150,000,000) (the “</w:t>
      </w:r>
      <w:r>
        <w:rPr>
          <w:rFonts w:ascii="Times New Roman" w:cs="Times New Roman" w:eastAsia="Times New Roman" w:hAnsi="Times New Roman"/>
          <w:sz w:val="22"/>
          <w:szCs w:val="22"/>
          <w:b w:val="1"/>
          <w:bCs w:val="1"/>
          <w:i w:val="1"/>
          <w:iCs w:val="1"/>
          <w:color w:val="auto"/>
        </w:rPr>
        <w:t>Base Purchase Price</w:t>
      </w:r>
      <w:r>
        <w:rPr>
          <w:rFonts w:ascii="Times New Roman" w:cs="Times New Roman" w:eastAsia="Times New Roman" w:hAnsi="Times New Roman"/>
          <w:sz w:val="22"/>
          <w:szCs w:val="22"/>
          <w:color w:val="auto"/>
        </w:rPr>
        <w:t xml:space="preserve">”), as adjusted in accordance with </w:t>
      </w:r>
      <w:r>
        <w:rPr>
          <w:rFonts w:ascii="Times New Roman" w:cs="Times New Roman" w:eastAsia="Times New Roman" w:hAnsi="Times New Roman"/>
          <w:sz w:val="22"/>
          <w:szCs w:val="22"/>
          <w:u w:val="single" w:color="auto"/>
          <w:color w:val="auto"/>
        </w:rPr>
        <w:t>Section 2.3, Section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(as so adjusted, the “</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xml:space="preserve">”) and subject to allocation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2.3 Closing Adjustment </w:t>
      </w:r>
      <w:r>
        <w:rPr>
          <w:rFonts w:ascii="Times New Roman" w:cs="Times New Roman" w:eastAsia="Times New Roman" w:hAnsi="Times New Roman"/>
          <w:sz w:val="22"/>
          <w:szCs w:val="22"/>
          <w:color w:val="auto"/>
        </w:rPr>
        <w:t>. Not later than eight (8) Business Days prior to the expected Closing Date, Seller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to Buyer a written statement (the “</w:t>
      </w:r>
      <w:r>
        <w:rPr>
          <w:rFonts w:ascii="Times New Roman" w:cs="Times New Roman" w:eastAsia="Times New Roman" w:hAnsi="Times New Roman"/>
          <w:sz w:val="22"/>
          <w:szCs w:val="22"/>
          <w:b w:val="1"/>
          <w:bCs w:val="1"/>
          <w:i w:val="1"/>
          <w:iCs w:val="1"/>
          <w:color w:val="auto"/>
        </w:rPr>
        <w:t>Pre-Closing Statement</w:t>
      </w:r>
      <w:r>
        <w:rPr>
          <w:rFonts w:ascii="Times New Roman" w:cs="Times New Roman" w:eastAsia="Times New Roman" w:hAnsi="Times New Roman"/>
          <w:sz w:val="22"/>
          <w:szCs w:val="22"/>
          <w:color w:val="auto"/>
        </w:rPr>
        <w:t>”) setting forth in reasonable detail Seller’s good-faith estimate based on information then available to Seller of Closing Working Capital (the “</w:t>
      </w:r>
      <w:r>
        <w:rPr>
          <w:rFonts w:ascii="Times New Roman" w:cs="Times New Roman" w:eastAsia="Times New Roman" w:hAnsi="Times New Roman"/>
          <w:sz w:val="22"/>
          <w:szCs w:val="22"/>
          <w:b w:val="1"/>
          <w:bCs w:val="1"/>
          <w:i w:val="1"/>
          <w:iCs w:val="1"/>
          <w:color w:val="auto"/>
        </w:rPr>
        <w:t>Estimated Closing Working Capital</w:t>
      </w:r>
      <w:r>
        <w:rPr>
          <w:rFonts w:ascii="Times New Roman" w:cs="Times New Roman" w:eastAsia="Times New Roman" w:hAnsi="Times New Roman"/>
          <w:sz w:val="22"/>
          <w:szCs w:val="22"/>
          <w:color w:val="auto"/>
        </w:rPr>
        <w:t>”), Closing Operating NGL Inventory Volume (the “</w:t>
      </w:r>
      <w:r>
        <w:rPr>
          <w:rFonts w:ascii="Times New Roman" w:cs="Times New Roman" w:eastAsia="Times New Roman" w:hAnsi="Times New Roman"/>
          <w:sz w:val="22"/>
          <w:szCs w:val="22"/>
          <w:b w:val="1"/>
          <w:bCs w:val="1"/>
          <w:i w:val="1"/>
          <w:iCs w:val="1"/>
          <w:color w:val="auto"/>
        </w:rPr>
        <w:t>Estimated Closing Operating NGL Inventory Volume</w:t>
      </w:r>
      <w:r>
        <w:rPr>
          <w:rFonts w:ascii="Times New Roman" w:cs="Times New Roman" w:eastAsia="Times New Roman" w:hAnsi="Times New Roman"/>
          <w:sz w:val="22"/>
          <w:szCs w:val="22"/>
          <w:color w:val="auto"/>
        </w:rPr>
        <w:t>”), Closing Operating NGL Inventory Adjustment Amount (the “</w:t>
      </w:r>
      <w:r>
        <w:rPr>
          <w:rFonts w:ascii="Times New Roman" w:cs="Times New Roman" w:eastAsia="Times New Roman" w:hAnsi="Times New Roman"/>
          <w:sz w:val="22"/>
          <w:szCs w:val="22"/>
          <w:b w:val="1"/>
          <w:bCs w:val="1"/>
          <w:i w:val="1"/>
          <w:iCs w:val="1"/>
          <w:color w:val="auto"/>
        </w:rPr>
        <w:t>Estimated Closing Operating NGL Inventory Adjustment Amount</w:t>
      </w:r>
      <w:r>
        <w:rPr>
          <w:rFonts w:ascii="Times New Roman" w:cs="Times New Roman" w:eastAsia="Times New Roman" w:hAnsi="Times New Roman"/>
          <w:sz w:val="22"/>
          <w:szCs w:val="22"/>
          <w:color w:val="auto"/>
        </w:rPr>
        <w:t>”), Tax Pool Adjustment Amount (the “</w:t>
      </w:r>
      <w:r>
        <w:rPr>
          <w:rFonts w:ascii="Times New Roman" w:cs="Times New Roman" w:eastAsia="Times New Roman" w:hAnsi="Times New Roman"/>
          <w:sz w:val="22"/>
          <w:szCs w:val="22"/>
          <w:b w:val="1"/>
          <w:bCs w:val="1"/>
          <w:i w:val="1"/>
          <w:iCs w:val="1"/>
          <w:color w:val="auto"/>
        </w:rPr>
        <w:t>Estimated Tax Pool Adjustment Amount</w:t>
      </w:r>
      <w:r>
        <w:rPr>
          <w:rFonts w:ascii="Times New Roman" w:cs="Times New Roman" w:eastAsia="Times New Roman" w:hAnsi="Times New Roman"/>
          <w:sz w:val="22"/>
          <w:szCs w:val="22"/>
          <w:color w:val="auto"/>
        </w:rPr>
        <w:t>”) and Capex Adjustment Amount (the “</w:t>
      </w:r>
      <w:r>
        <w:rPr>
          <w:rFonts w:ascii="Times New Roman" w:cs="Times New Roman" w:eastAsia="Times New Roman" w:hAnsi="Times New Roman"/>
          <w:sz w:val="22"/>
          <w:szCs w:val="22"/>
          <w:b w:val="1"/>
          <w:bCs w:val="1"/>
          <w:i w:val="1"/>
          <w:iCs w:val="1"/>
          <w:color w:val="auto"/>
        </w:rPr>
        <w:t>Estimated Capex 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Amount</w:t>
      </w:r>
      <w:r>
        <w:rPr>
          <w:rFonts w:ascii="Times New Roman" w:cs="Times New Roman" w:eastAsia="Times New Roman" w:hAnsi="Times New Roman"/>
          <w:sz w:val="22"/>
          <w:szCs w:val="22"/>
          <w:color w:val="auto"/>
        </w:rPr>
        <w:t>”), together with reasonable supporting documents. The Pre-Closing Statement shall be prepared in accordance with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adjustments, principles and methodologies set forth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Buyer shall have the opportunity to review and comment on the Pre-Closing Statement, and the Parties will work together in good faith to resolve any questions, comments or disputes related to such statement;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in the event any question, comment or dispute remains unresolved as of the Closing Date, the amounts set forth in the Post-Closing Statement provided by Seller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prevail, adjusted as agreed by Buyer and Seller for any questions, comments or disputes raised by Buyer. If the Estimated Closing Working Capital plus the Estimated Closing Operating NGL Inventory Adjustment Amount plus the Estimated Tax Pool Adjustment Amount plus the Estimated Capex Adjustment Amount is a positive number, the Base Purchase Price shall be increased by such amount or a negative number, the Base Purchase Price shall be decreased by such amount, and at Closing, Buyer shall pay to Seller an amount equal to the Base Purchase Price as so adjusted pursuant to this sentence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Closing Payment</w:t>
      </w:r>
      <w:r>
        <w:rPr>
          <w:rFonts w:ascii="Times New Roman" w:cs="Times New Roman" w:eastAsia="Times New Roman" w:hAnsi="Times New Roman"/>
          <w:sz w:val="22"/>
          <w:szCs w:val="22"/>
          <w:color w:val="auto"/>
        </w:rPr>
        <w:t>”), by wire transfer of immediately available funds to a bank account or accounts to be designated in writing by Seller in the Pre-Closing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5" w:name="page76"/>
    <w:bookmarkEnd w:id="75"/>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Post-Closing Adjustment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1"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Adjustments</w:t>
      </w:r>
      <w:r>
        <w:rPr>
          <w:rFonts w:ascii="Times New Roman" w:cs="Times New Roman" w:eastAsia="Times New Roman" w:hAnsi="Times New Roman"/>
          <w:sz w:val="22"/>
          <w:szCs w:val="22"/>
          <w:color w:val="auto"/>
        </w:rPr>
        <w:t>. As promptly as practicable after the Closing Date, and in any event not later than ninety (90) days after the Closing Date, Buyer shall deliver to Seller a statement (the “</w:t>
      </w:r>
      <w:r>
        <w:rPr>
          <w:rFonts w:ascii="Times New Roman" w:cs="Times New Roman" w:eastAsia="Times New Roman" w:hAnsi="Times New Roman"/>
          <w:sz w:val="22"/>
          <w:szCs w:val="22"/>
          <w:b w:val="1"/>
          <w:bCs w:val="1"/>
          <w:i w:val="1"/>
          <w:iCs w:val="1"/>
          <w:color w:val="auto"/>
        </w:rPr>
        <w:t>Post-Closing Statement</w:t>
      </w:r>
      <w:r>
        <w:rPr>
          <w:rFonts w:ascii="Times New Roman" w:cs="Times New Roman" w:eastAsia="Times New Roman" w:hAnsi="Times New Roman"/>
          <w:sz w:val="22"/>
          <w:szCs w:val="22"/>
          <w:color w:val="auto"/>
        </w:rPr>
        <w:t>”) setting forth in reasonable detail Buyer’s good-faith calculation of: Closing Working Capital; Closing Operating NGL Inventory Volume; Closing Operating NGL Inventory Adjustment Amount; Tax Pool Adjustment Amount; and (v) Capex Adjustment Amount. To the extent not in the possession of Buyer, Seller shall provide Buyer and its Representatives reasonable access during normal business hours to such employees and such books and records of Seller and its Affiliates as are reasonably requested by Buyer to allow it and its Representatives to prepare the Post-Closing Statement. Buyer shall provide Seller and its authorized Representatives reasonable access during normal business hours to such employees and such books and records of Buyer or the Company Group as are reasonably requested by Seller to allow it and its authorized Representatives to verify the amounts set forth in the Post-Closing Statement.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05"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Procedures</w:t>
      </w:r>
      <w:r>
        <w:rPr>
          <w:rFonts w:ascii="Times New Roman" w:cs="Times New Roman" w:eastAsia="Times New Roman" w:hAnsi="Times New Roman"/>
          <w:sz w:val="22"/>
          <w:szCs w:val="22"/>
          <w:color w:val="auto"/>
        </w:rPr>
        <w:t>. The Post-Closing Statement shall become final and binding on Seller and Buyer on the forty-fifth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the Post-Closing Statement is received by Seller, unless prior to such date Seller delivers written notice to Buyer of its disagreement. Seller’s notice shall set forth in reasonable detail all of Seller’s disputed items and the reasons therefor, together with Seller’s proposed changes thereto, including an explanation in reasonable detail of the basis on which Seller proposes such changes. Seller shall be deemed to have agreed with all items and amounts contained in the Post-Closing Statement that are not specifically identified as disputed items in such notice of disagreement. If Seller timely delivers a notice of disagreement, then Buyer and Seller shall use their good-faith efforts to reach agreement on the disputed items.</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Independent Accountants</w:t>
      </w:r>
      <w:r>
        <w:rPr>
          <w:rFonts w:ascii="Times New Roman" w:cs="Times New Roman" w:eastAsia="Times New Roman" w:hAnsi="Times New Roman"/>
          <w:sz w:val="21"/>
          <w:szCs w:val="21"/>
          <w:color w:val="auto"/>
        </w:rPr>
        <w:t>. If Buyer and Seller have not resolved the disputed items by the forty-fifth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Buyer’s receipt of a notice of disagreement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(such period, the “</w:t>
      </w:r>
      <w:r>
        <w:rPr>
          <w:rFonts w:ascii="Times New Roman" w:cs="Times New Roman" w:eastAsia="Times New Roman" w:hAnsi="Times New Roman"/>
          <w:sz w:val="21"/>
          <w:szCs w:val="21"/>
          <w:b w:val="1"/>
          <w:bCs w:val="1"/>
          <w:i w:val="1"/>
          <w:iCs w:val="1"/>
          <w:color w:val="auto"/>
        </w:rPr>
        <w:t>Resolution Period</w:t>
      </w:r>
      <w:r>
        <w:rPr>
          <w:rFonts w:ascii="Times New Roman" w:cs="Times New Roman" w:eastAsia="Times New Roman" w:hAnsi="Times New Roman"/>
          <w:sz w:val="21"/>
          <w:szCs w:val="21"/>
          <w:color w:val="auto"/>
        </w:rPr>
        <w:t>”), then the total amount of the unresolved disputed items set forth in the notice of disagreement (the “</w:t>
      </w:r>
      <w:r>
        <w:rPr>
          <w:rFonts w:ascii="Times New Roman" w:cs="Times New Roman" w:eastAsia="Times New Roman" w:hAnsi="Times New Roman"/>
          <w:sz w:val="21"/>
          <w:szCs w:val="21"/>
          <w:b w:val="1"/>
          <w:bCs w:val="1"/>
          <w:i w:val="1"/>
          <w:iCs w:val="1"/>
          <w:color w:val="auto"/>
        </w:rPr>
        <w:t>Disputed Amount</w:t>
      </w:r>
      <w:r>
        <w:rPr>
          <w:rFonts w:ascii="Times New Roman" w:cs="Times New Roman" w:eastAsia="Times New Roman" w:hAnsi="Times New Roman"/>
          <w:sz w:val="21"/>
          <w:szCs w:val="21"/>
          <w:color w:val="auto"/>
        </w:rPr>
        <w:t>”) may be submitted by Buyer or Seller to the Independent Accountants for resolution at any time after the end of the Resolution Period. In such event, Seller and Buyer will each submit to the Independent Accountants their calculations in respect of the Disputed Amount together with detailed written supporting documentation as it deems appropriate within five (5) Business Days of the appointment of the Independent Accountants. The Independent Accountants shall act as an expert and not as an arbitrator. In making such determination, the Independent Accountants shall consider only the Disputed Amount and the written submissions of Buyer and Seller that are received by the Independent Accountants within the time period specified. Buyer and Seller shall be afforded a reasonable opportunity to discuss the disputed matters and the submissions with the Independent Accountants but the Independent Accountants shall not conduct a formal evidentiary hearing. The Independent Accountants shall attempt to render their determination within thirty (30) days of their engagement, or such other, longer period that the Independent Accountants shall determine, in consultation with Buyer and Seller. The fees and expenses of the Independent Accountants shall be borne fifty percent (50%) by Seller and fifty percent (50%) by Buyer. In no event shall the Disputed Amount, as determined by the Independent Accountants, be more favorable to Buyer than reflected on the Post-Closing Statement prepared by Buyer or more favorable to Seller than shown in the proposed changes delivered by Seller pursuant to its notice of disagreement.</w:t>
      </w:r>
    </w:p>
    <w:p>
      <w:pPr>
        <w:spacing w:after="0" w:line="154"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xml:space="preserve">. If a notice of disagreement is timely given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the Purchase Price shall be deemed determined on the date that the Independent Accountants give notice to Buyer and Seller of their determination regarding the Disputed Amount, or, if earlier, the date on which Seller and Buyer agree in writing on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6" w:name="page77"/>
    <w:bookmarkEnd w:id="76"/>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Closing Working Capital, Closing Operating NGL Inventory Volume, Closing Operating NGL Inventory Adjustment Amount, Tax Pool Adjustment Amount and Capex Adjustment Amount, in which case the Purchase Price shall be calculated in accordance with such determination or agreement, as the case may be. Any determination of disputed items constituting part of the Closing Working Capital, the Closing Operating NGL Inventory Volume, Closing Operating NGL Inventory Adjustment Amount, Tax Pool Adjustment Amount and Capex Adjustment Amount by the Independent Accountants shall be final and binding upon Buyer and Seller.</w:t>
      </w:r>
    </w:p>
    <w:p>
      <w:pPr>
        <w:spacing w:after="0" w:line="152" w:lineRule="exact"/>
        <w:rPr>
          <w:sz w:val="20"/>
          <w:szCs w:val="20"/>
          <w:color w:val="auto"/>
        </w:rPr>
      </w:pPr>
    </w:p>
    <w:p>
      <w:pPr>
        <w:jc w:val="both"/>
        <w:ind w:firstLine="1304"/>
        <w:spacing w:after="0" w:line="219" w:lineRule="auto"/>
        <w:tabs>
          <w:tab w:leader="none" w:pos="194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xml:space="preserve">.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exceeds the Estimated Closing Working Capital plus the Estimated Closing Operating NGL Inventory Adjustment Amount plus the Estimated Tax Pool Adjustment Amount plus the Estimated Capex Adjustment Amount, then the Base Purchase Price shall be increased by, and Buyer shall pay to Seller, the amount of such excess.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is less than the Estimated Closing Working Capital plus the Estimated Closing Operating NGL Inventory Adjustment Amount plus the Estimated Tax Pool Adjustment Amount plus the Estimated Capex Adjustment Amount, then the Base Purchase Price shall be decreased by, and Seller shall pay to Buyer, the amount of such deficiency. Any payment required pursuant to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be made within five (5) Business Days after the date the Purchase Price is deemed to be finally determined pursuant to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2.4(d)</w:t>
      </w:r>
      <w:r>
        <w:rPr>
          <w:rFonts w:ascii="Times New Roman" w:cs="Times New Roman" w:eastAsia="Times New Roman" w:hAnsi="Times New Roman"/>
          <w:sz w:val="21"/>
          <w:szCs w:val="21"/>
          <w:color w:val="auto"/>
        </w:rPr>
        <w:t xml:space="preserve">, as the case may be, and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shall be made by wire transfer of immediately available funds to a bank account or accounts to be designated in writing by the Party receiving such payment.</w:t>
      </w:r>
    </w:p>
    <w:p>
      <w:pPr>
        <w:spacing w:after="0" w:line="159"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Closing, the Buyer shall use commercially reasonable efforts to collect from the applicable third parties any accounts receivable of the Company Group. Buyer shall remit to the Seller any and all accounts receivable collected during the period starting on the 91st day following the Closing Date and ending on the 180th day following the Closing Date (the “</w:t>
      </w:r>
      <w:r>
        <w:rPr>
          <w:rFonts w:ascii="Times New Roman" w:cs="Times New Roman" w:eastAsia="Times New Roman" w:hAnsi="Times New Roman"/>
          <w:sz w:val="22"/>
          <w:szCs w:val="22"/>
          <w:b w:val="1"/>
          <w:bCs w:val="1"/>
          <w:i w:val="1"/>
          <w:iCs w:val="1"/>
          <w:color w:val="auto"/>
        </w:rPr>
        <w:t>Collection Period</w:t>
      </w:r>
      <w:r>
        <w:rPr>
          <w:rFonts w:ascii="Times New Roman" w:cs="Times New Roman" w:eastAsia="Times New Roman" w:hAnsi="Times New Roman"/>
          <w:sz w:val="22"/>
          <w:szCs w:val="22"/>
          <w:color w:val="auto"/>
        </w:rPr>
        <w:t xml:space="preserve">”) that (i) were not collected by the Buyer within ninety (90) days following the Closing Date, and (ii) were not included in the determination of the Closing Working Capital. All amounts to be remitted by the Buyer in accordance with this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shall be remitted by the Buyer to the Seller within five (5) Business Days following receipt by Buyer of such accounts receivable by wire transfer of immediately available funds to an account designated in writing by the Seller.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Intended U.S. Tax Treatment; U.S. Income Tax Allocation of Purchase Price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U.S. federal income tax purposes, Seller and Buyer intend that the purchase and sale of the Purchased Shares shall constitute a purchase and sale of all of the assets of the Company Group for U.S. federal income tax purposes (the “</w:t>
      </w:r>
      <w:r>
        <w:rPr>
          <w:rFonts w:ascii="Times New Roman" w:cs="Times New Roman" w:eastAsia="Times New Roman" w:hAnsi="Times New Roman"/>
          <w:sz w:val="22"/>
          <w:szCs w:val="22"/>
          <w:b w:val="1"/>
          <w:bCs w:val="1"/>
          <w:i w:val="1"/>
          <w:iCs w:val="1"/>
          <w:color w:val="auto"/>
        </w:rPr>
        <w:t>Intended U.S. Tax Treatment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prepare and deliver to Buyer no less than sixty (60) days after the date the Purchase Price is finally determined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 draft allocation of the Purchase Price for U.S. federal income Tax purposes (taking into account any other items constituting consideration for U.S. federal income Tax purposes (to the extent known at such time)), in the aggregate, among the assets of the Company Group in a manner consistent with Section 1060 of the U.S. Tax Code and the U.S. Treasury Regulations promulgated thereunder utilizing Seller’s historical methodology for allocating value among Seller’s assets (the “</w:t>
      </w:r>
      <w:r>
        <w:rPr>
          <w:rFonts w:ascii="Times New Roman" w:cs="Times New Roman" w:eastAsia="Times New Roman" w:hAnsi="Times New Roman"/>
          <w:sz w:val="22"/>
          <w:szCs w:val="22"/>
          <w:b w:val="1"/>
          <w:bCs w:val="1"/>
          <w:i w:val="1"/>
          <w:iCs w:val="1"/>
          <w:color w:val="auto"/>
        </w:rPr>
        <w:t>Draft Allocation</w:t>
      </w:r>
      <w:r>
        <w:rPr>
          <w:rFonts w:ascii="Times New Roman" w:cs="Times New Roman" w:eastAsia="Times New Roman" w:hAnsi="Times New Roman"/>
          <w:sz w:val="22"/>
          <w:szCs w:val="22"/>
          <w:color w:val="auto"/>
        </w:rPr>
        <w:t>”). Buyer shall review and provide any comments to such Draft Allocation within thirty (30) days of its receipt thereof. If Buyer provides comments within such thirty (30)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6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period, then within thirty (30) days of receiving Buyer’s comments, Seller shall have the opportunity to respond to Buyer’s comments. If Seller has not provided comments during such thirty (30) day period or if Buyer does not provide comments within thirty (30) days of its receipt of the Draft Allocation, the Draft Allocation as revised by Buyer’s comments or as proposed by Seller, as applicable, shall be final and binding on the Parties. If within thirty (30) days of receiving Buyer’s comments, Seller objects to Buyer’s comments on the Draft Allocation, the Parties agree to use good faith efforts to agree upon a final version of the Draft Allocation. The final version of the Draft Allocation, whether deemed to be final or as agreed between the Parties in accordance with the preceding two sentences, respectively, is referred to as the “</w:t>
      </w:r>
      <w:r>
        <w:rPr>
          <w:rFonts w:ascii="Times New Roman" w:cs="Times New Roman" w:eastAsia="Times New Roman" w:hAnsi="Times New Roman"/>
          <w:sz w:val="22"/>
          <w:szCs w:val="22"/>
          <w:b w:val="1"/>
          <w:bCs w:val="1"/>
          <w:i w:val="1"/>
          <w:iCs w:val="1"/>
          <w:color w:val="auto"/>
        </w:rPr>
        <w:t>Final Allocation</w:t>
      </w:r>
      <w:r>
        <w:rPr>
          <w:rFonts w:ascii="Times New Roman" w:cs="Times New Roman" w:eastAsia="Times New Roman" w:hAnsi="Times New Roman"/>
          <w:sz w:val="22"/>
          <w:szCs w:val="22"/>
          <w:color w:val="auto"/>
        </w:rPr>
        <w:t>”. In the event agreement has not been reached within such thirty (30)-day period (or such other time as mutually agreed upon by the Parties in writing), each Party shall be entitled to determine its own allocation and report consistently therewith.</w:t>
      </w:r>
    </w:p>
    <w:p>
      <w:pPr>
        <w:spacing w:after="0" w:line="158" w:lineRule="exact"/>
        <w:rPr>
          <w:sz w:val="20"/>
          <w:szCs w:val="20"/>
          <w:color w:val="auto"/>
        </w:rPr>
      </w:pPr>
    </w:p>
    <w:p>
      <w:pPr>
        <w:jc w:val="both"/>
        <w:ind w:firstLine="1304"/>
        <w:spacing w:after="0" w:line="209"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U.S. federal and applicable state income Tax purposes, Seller and Buyer shall, and shall cause their Affiliates to, report consistently with the Intended U.S. Tax Treatment and, if the Parties agree to a Final Allocation, the Final Allocation, as finally determined, in all applicable U.S. federal and applicable state income Tax Returns, including IRS Form 8594, if any such Tax Returns are required to be filed by Seller or Buyer (or any of their Affiliates). If any such U.S. Tax Returns are required to be filed by Seller or Buyer (or any of their Affiliates), neither Seller nor Buyer shall take any position in any such U.S. Tax Return that is inconsistent with the Intended U.S. Tax Treatment and, if applicable, the Final Allocation, and Buyer and Seller shall promptly inform one another in writing of any Tax Proceeding related to the matters in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consult and keep one another informed with respect to the status of such Tax Proceeding, in each case, unless required to do so by a final “determination” as defined in Section 1313 of the U.S. Tax Code;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applicable, nothing in this Agreement shall prevent either Party from settling any proposed deficiency or adjustment from a Governmental Entity arising from the Final Allocation or a Party’s own allocation as permitted by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 xml:space="preserve"> and neither Party shall be required to litigate any proposed deficiency or adjustment from a Governmental Entity arising from the Final Allocation or a Party’s own allocation as permitted by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Section 116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acknowledges that Seller has made the representations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and agrees to not withhold, pursuant to section 116 of the Canadian Tax Act, any portion of the Purchase Price, unless expressly permitted under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request a certificate of compliance issued under section 116 of the Canadian Tax Act (a “</w:t>
      </w:r>
      <w:r>
        <w:rPr>
          <w:rFonts w:ascii="Times New Roman" w:cs="Times New Roman" w:eastAsia="Times New Roman" w:hAnsi="Times New Roman"/>
          <w:sz w:val="22"/>
          <w:szCs w:val="22"/>
          <w:b w:val="1"/>
          <w:bCs w:val="1"/>
          <w:i w:val="1"/>
          <w:iCs w:val="1"/>
          <w:color w:val="auto"/>
        </w:rPr>
        <w:t>Section 116 Certificate</w:t>
      </w:r>
      <w:r>
        <w:rPr>
          <w:rFonts w:ascii="Times New Roman" w:cs="Times New Roman" w:eastAsia="Times New Roman" w:hAnsi="Times New Roman"/>
          <w:sz w:val="22"/>
          <w:szCs w:val="22"/>
          <w:color w:val="auto"/>
        </w:rPr>
        <w:t>”) in respect of the sale of the Purchased Shares hereunder not later than ten (10) Business Days after the Execution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shall deliver or cause to be delivered to Buyer at Closing, a CRA Form T2062C - “Notification of an Acquisition of Treaty-Protected Property From a Non-Resident Seller” with Parts A and B duly completed and Part D duly signed by Seller in the event a Section 116 Certificate is not delivered at Closing. Subject to delivery by Seller to Buyer at Closing of the Certificate of Residence described in Section 8.2(f) and the representations of Seller contained in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being true and accurate in all respects at Closing, Buyer agrees to complete Part C of the CRA Form T2062C - “Notification of an Acquisition of Treaty-Protected Property From a Non-Resident Seller” with all of the necessary information relating to Buyer and thereafter file such CRA Form T2062C within thirty (30) days of the Closing Date. The Parties agree that the delivery and filing of the CRA Form T2062C by Buyer will not preclude Buyer from relying on and enforcing the provisions of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78" w:name="page79"/>
    <w:bookmarkEnd w:id="78"/>
    <w:p>
      <w:pPr>
        <w:spacing w:after="0" w:line="63" w:lineRule="exact"/>
        <w:rPr>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covenant regarding withholding tax liability redacted].</w:t>
      </w:r>
    </w:p>
    <w:p>
      <w:pPr>
        <w:spacing w:after="0" w:line="16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3</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REGARDING SELLER</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and the exceptions and matters set forth in the Seller Disclosure Schedules, Seller hereby represents and warrants to Buyer as of the Execution Date (other than representations and warranties made as of another specified date, in which case, as of such specified date) and giving effect to the transactions contemplated by the Pre-Closing Reorganization as if they had occurred prior to the Execution Date and the Closing Date and acknowledges that Buyer is relying upon such representations and warranties in entering into this Agreement and consummating the transactions contemplated by the Transaction Documents, as follows:</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3.1 Organization; Qualification</w:t>
      </w:r>
      <w:r>
        <w:rPr>
          <w:rFonts w:ascii="Times New Roman" w:cs="Times New Roman" w:eastAsia="Times New Roman" w:hAnsi="Times New Roman"/>
          <w:sz w:val="22"/>
          <w:szCs w:val="22"/>
          <w:color w:val="auto"/>
        </w:rPr>
        <w:t>. Seller is a société à responsabilité limitée duly formed, validly existing and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under the Laws of Luxembourg and has all requisite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transactions contemplated by the Transaction Documents to which it is, or will be, a party.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Authority; Enforceability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the requisite power and authority to execute and deliver the Transaction Documents to which it is, or will be, a party, and to consummate the transactions contemplated hereby and thereby. The execution and delivery by Seller of the Transaction Documents to which it is, or will be, a party, and the consummation by Seller of the transactions contemplated hereby and thereby, have been duly authorized by all requisite organizational action of Seller, and no other proceedings on the part of Seller are necessary to authorize the Transaction Documents to which it is, or will be, a party or to consummate the transaction contemplated by the Transaction Documents to which it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79" w:name="page80"/>
    <w:bookmarkEnd w:id="79"/>
    <w:p>
      <w:pPr>
        <w:spacing w:after="0" w:line="63" w:lineRule="exact"/>
        <w:rPr>
          <w:sz w:val="20"/>
          <w:szCs w:val="20"/>
          <w:color w:val="auto"/>
        </w:rPr>
      </w:pPr>
    </w:p>
    <w:p>
      <w:pPr>
        <w:jc w:val="both"/>
        <w:ind w:firstLine="1304"/>
        <w:spacing w:after="0" w:line="212"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Documents to which Seller is, or will be, a party have been (or will be, when executed and delivered at the Closing) duly executed and delivered by Seller, and, assuming the due authorization, execution and delivery by the other parties thereto, each Transaction Document to which Seller is, or will be, a party constitutes (or will constitute, when executed and delivered at the Closing) the valid and binding agreement of Seller, enforceable against Seller in accordance with its terms, except as such enforceability may be limited by applicable bankruptcy, insolvency, fraudulent transfer, reorganization, moratorium and similar Laws relating to or affecting creditors’ rights generally and subject, as to enforceability, to general principles of equity (regardless of whether such enforceability is considered in a proceeding in equity or at law) (collectively, “</w:t>
      </w:r>
      <w:r>
        <w:rPr>
          <w:rFonts w:ascii="Times New Roman" w:cs="Times New Roman" w:eastAsia="Times New Roman" w:hAnsi="Times New Roman"/>
          <w:sz w:val="22"/>
          <w:szCs w:val="22"/>
          <w:b w:val="1"/>
          <w:bCs w:val="1"/>
          <w:i w:val="1"/>
          <w:iCs w:val="1"/>
          <w:color w:val="auto"/>
        </w:rPr>
        <w:t>Creditors’ Rights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3.3 Non-Contravention</w:t>
      </w:r>
      <w:r>
        <w:rPr>
          <w:rFonts w:ascii="Times New Roman" w:cs="Times New Roman" w:eastAsia="Times New Roman" w:hAnsi="Times New Roman"/>
          <w:sz w:val="22"/>
          <w:szCs w:val="22"/>
          <w:color w:val="auto"/>
        </w:rPr>
        <w:t>. The execution, delivery and performance of the Transaction Documents to which Seller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will be, a party by Seller and the consummation by Seller of the transactions contemplated hereby or thereby does not and will not: result in any breach of any provision of the Organizational Documents of Seller; constitute a default (or an event that with notice or passage of time or both would give rise to a default) under, or give rise to any right of termination, cancellation, amendment or acceleration (with or without the giving of notice or passage of time or both) under, or cause the loss of any material benefit under any of the terms, conditions or provisions of any material Contract to which Seller is a party or by which any property or asset of Seller is bound or affected; except for any Required Regulatory Approvals, violate any Law to which Seller is subject or by which any of Seller’s properties or assets is bound; or result in the creation of any Encumbrance (other than Permitted Encumbrances) on any of the properties or assets of Seller, except, in the case of </w:t>
      </w:r>
      <w:r>
        <w:rPr>
          <w:rFonts w:ascii="Times New Roman" w:cs="Times New Roman" w:eastAsia="Times New Roman" w:hAnsi="Times New Roman"/>
          <w:sz w:val="22"/>
          <w:szCs w:val="22"/>
          <w:u w:val="single" w:color="auto"/>
          <w:color w:val="auto"/>
        </w:rPr>
        <w:t>clauses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and , for such defaults or rights of termination, cancellation, amendment or acceleration or violations or any Encumbrance as would not reasonably be expected to prevent or materially delay the consummation of the transactions contemplated by the Transaction Documents to which Seller is, or will be, a party.</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3.4 Solvency</w:t>
      </w:r>
      <w:r>
        <w:rPr>
          <w:rFonts w:ascii="Times New Roman" w:cs="Times New Roman" w:eastAsia="Times New Roman" w:hAnsi="Times New Roman"/>
          <w:sz w:val="22"/>
          <w:szCs w:val="22"/>
          <w:color w:val="auto"/>
        </w:rPr>
        <w:t>. No actions have been taken or authorized by Seller to initiate proceedings for or in respect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bankruptcy, insolvency, reorganization, receivership, liquidation, dissolution or winding up of Seller, including any proposal of any compromise or arrangement with creditors or any petition to have a receiver or trustee appointed under any applicable insolvency Laws, and no such proceedings have been taken or, as of the date hereof, threatened by any other Person in writing and as of the Closing and immediately after consummating the transactions contemplated hereby, Seller will not be insolvent as a result of its inability to pay its debts and liabilities as they become due.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3.5 Governmental Approvals</w:t>
      </w:r>
      <w:r>
        <w:rPr>
          <w:rFonts w:ascii="Times New Roman" w:cs="Times New Roman" w:eastAsia="Times New Roman" w:hAnsi="Times New Roman"/>
          <w:sz w:val="22"/>
          <w:szCs w:val="22"/>
          <w:color w:val="auto"/>
        </w:rPr>
        <w:t>. No Governmental Approval is necessary for the consummation by Seller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contemplated by the Transaction Documents to which it is, or will be, a party, other than: in respect of the Required Regulatory Approvals; and such other declarations, filings, registrations, notices, authorizations, consents or approvals that are customarily made or obtained after the consummation of transactions similar to the Closing or if not obtained or made, would not reasonably be expected to prevent or materially delay the consummation of the transactions contemplated by the Transaction Documents to which Seller is, or will be, a party.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3.6 Legal Proceedings; Orders</w:t>
      </w:r>
      <w:r>
        <w:rPr>
          <w:rFonts w:ascii="Times New Roman" w:cs="Times New Roman" w:eastAsia="Times New Roman" w:hAnsi="Times New Roman"/>
          <w:sz w:val="22"/>
          <w:szCs w:val="22"/>
          <w:color w:val="auto"/>
        </w:rPr>
        <w:t>. There are no Proceedings pending or, to Seller’s Knowledge, threatened,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Seller and there is no judgment, order, writ, injunction, or decree of any Governmental Entity binding upon Seller or to which Seller or any of its assets or properties are subject, that, in each case of </w:t>
      </w:r>
      <w:r>
        <w:rPr>
          <w:rFonts w:ascii="Times New Roman" w:cs="Times New Roman" w:eastAsia="Times New Roman" w:hAnsi="Times New Roman"/>
          <w:sz w:val="22"/>
          <w:szCs w:val="22"/>
          <w:u w:val="single" w:color="auto"/>
          <w:color w:val="auto"/>
        </w:rPr>
        <w:t>clauses 3.6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would, individually or in the aggregate, reasonably be expected to materially delay the consummation of the transactions contemplated by the Transaction Documents to which Seller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80" w:name="page81"/>
    <w:bookmarkEnd w:id="80"/>
    <w:p>
      <w:pPr>
        <w:spacing w:after="0" w:line="5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3.7 Ownership of Purchased Shares</w:t>
      </w:r>
      <w:r>
        <w:rPr>
          <w:rFonts w:ascii="Times New Roman" w:cs="Times New Roman" w:eastAsia="Times New Roman" w:hAnsi="Times New Roman"/>
          <w:sz w:val="22"/>
          <w:szCs w:val="22"/>
          <w:color w:val="auto"/>
        </w:rPr>
        <w:t>. Seller is the registered and beneficial owner of the Purchased Shares, and owns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Purchased Shares free and clear of all Encumbrances other than Encumbrances set forth in the Seller Disclosure Schedules, any transfer restrictions imposed by any applicable securities Laws, any transfer restrictions set forth in the Organizational Documents of the Company and Encumbrances created by this Agreement.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3.8 Brokerage Fees</w:t>
      </w:r>
      <w:r>
        <w:rPr>
          <w:rFonts w:ascii="Times New Roman" w:cs="Times New Roman" w:eastAsia="Times New Roman" w:hAnsi="Times New Roman"/>
          <w:sz w:val="22"/>
          <w:szCs w:val="22"/>
          <w:color w:val="auto"/>
        </w:rPr>
        <w:t>. No broker, investment banker, financial advisor or other Person is entitled to any 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finder’s, financial advisor’s or other similar fee or commission in connection with the transactions contemplated by this Agreement based upon arrangements made by or on behalf of Seller for which Buyer or the Company Group (following the Closing) shall have any responsibility.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Seller Tax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(i) a non-resident of Canada for the purposes of the Canadian Tax Act; (ii) a resident of Luxembourg for the purposes of the Convention between the Government of Canada and the Government of the Grand Duchy of Luxembourg for the Avoidance of Double Taxation and the Prevention of Fiscal Evasion with Respect to Taxes on Income and on Capital, as amended (the “</w:t>
      </w:r>
      <w:r>
        <w:rPr>
          <w:rFonts w:ascii="Times New Roman" w:cs="Times New Roman" w:eastAsia="Times New Roman" w:hAnsi="Times New Roman"/>
          <w:sz w:val="22"/>
          <w:szCs w:val="22"/>
          <w:b w:val="1"/>
          <w:bCs w:val="1"/>
          <w:i w:val="1"/>
          <w:iCs w:val="1"/>
          <w:color w:val="auto"/>
        </w:rPr>
        <w:t>Treaty</w:t>
      </w:r>
      <w:r>
        <w:rPr>
          <w:rFonts w:ascii="Times New Roman" w:cs="Times New Roman" w:eastAsia="Times New Roman" w:hAnsi="Times New Roman"/>
          <w:sz w:val="22"/>
          <w:szCs w:val="22"/>
          <w:color w:val="auto"/>
        </w:rPr>
        <w:t>”); and (iii) entitled to the benefits of the Treaty.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constitute “treaty-exempt property” of Seller within the meaning of subsection 116(6.1) and paragraph 116(6)(i) of the Canadian Tax Act.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“adjusted cost base” for purposes of the Canadian Tax Act of the Purchased Shares is not less than the Base Purchase Price.</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4</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REGARDING THE COMPANY GROUP</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and the exceptions and matters set forth on the Seller Disclosure Schedules, Seller hereby represents and warrants to Buyer as of the Execution Date (other than representations and warranties made as of another specified date, in which case, as of such specified date) and after giving effect to the transactions contemplated by the Pre-Closing Reorganization as if they had occurred prior to the Execution Date (or, as applicable, any such earlier specified date, including any lookback period) and the Closing Date and acknowledges that Buyer is relying upon such representations and warranties in entering into this Agreement and consummating the transactions contemplated by the Transaction Documents, as follows: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Organization; Qualification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is a legal entity duly organized, validly existing and in good standing under the Laws of its jurisdiction of organization.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has all requisite organizational power and authority to own, lease and operate the assets and properties it now owns, leases or operates and to carry on its business as and where such assets and properties are now owned, leased or operated and such business is now conducted, and each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(i) prevent or materially delay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81" w:name="page82"/>
    <w:bookmarkEnd w:id="81"/>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of the transactions contemplated by the Transaction Documents to which it is, or will be, a party or (ii) result in, individually or in the aggregate, the Company Group incurring any material Liability.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of the Seller Disclosure Schedules set forth true and complete copies of the Organizational Documents of the Company and Plains Midstream Superior in effect as of the Execution Date, and, as of the Closing, Seller will provide or have previously provided true and complete copies of the Organizational Documents of US NGL Co and any other entity formed pursuant to the Pre-Closing Reorganization that is a direct or indirect subsidiary of the Company as of the Closing.</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4.2 Non-Contravention</w:t>
      </w:r>
      <w:r>
        <w:rPr>
          <w:rFonts w:ascii="Times New Roman" w:cs="Times New Roman" w:eastAsia="Times New Roman" w:hAnsi="Times New Roman"/>
          <w:sz w:val="22"/>
          <w:szCs w:val="22"/>
          <w:color w:val="auto"/>
        </w:rPr>
        <w:t>. The execution, delivery and performance of the Transaction Documents by Seller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member of the Company Group and the consummation of the transactions contemplated hereby or thereby does not and will not: result in any breach of any provision of the Organizational Documents of any member of the Company Group; constitute a default (or an event that with notice or passage of time or both would give rise to a default) under, or give rise to any right of termination, cancellation, amendment or acceleration (with or without the giving of notice, or the passage of time or both) under, or loss of any material benefit under, any of the terms, conditions or provisions of any Material Contract to which any member of the Company Group is a party or by which any property or asset of any member of the Company Group is bound or affected; except for the Required Regulatory Approvals described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violate any Law to which any member of the Company Group is subject or by which any member of the Company Group’s properties or assets is bound; or constitute (with or without the giving of notice or the passage of time or both) an event which would result in the creation of any Encumbrance (other than Permitted Encumbrances) on any asset of the Company Group, except, in the cases of </w:t>
      </w:r>
      <w:r>
        <w:rPr>
          <w:rFonts w:ascii="Times New Roman" w:cs="Times New Roman" w:eastAsia="Times New Roman" w:hAnsi="Times New Roman"/>
          <w:sz w:val="22"/>
          <w:szCs w:val="22"/>
          <w:u w:val="single" w:color="auto"/>
          <w:color w:val="auto"/>
        </w:rPr>
        <w:t>clauses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or for such defaults or rights of termination, cancellation, amendment or acceleration, violations or Encumbrances, as would not individually or in the aggregate, be material to the Company Group (taken as a whole).</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4.3 Solvency</w:t>
      </w:r>
      <w:r>
        <w:rPr>
          <w:rFonts w:ascii="Times New Roman" w:cs="Times New Roman" w:eastAsia="Times New Roman" w:hAnsi="Times New Roman"/>
          <w:sz w:val="22"/>
          <w:szCs w:val="22"/>
          <w:color w:val="auto"/>
        </w:rPr>
        <w:t>. No actions have been taken or authorized by any member of the Company Group to initiate proceedings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or in respect of the bankruptcy, insolvency, reorganization (other than the Pre-Closing Reorganization or any Buyer Reorganization), receivership, liquidation, dissolution or winding up of such member of the Company Group, including any proposal of any compromise or arrangement with creditors or any petition to have a receiver or trustee appointed under any applicable insolvency Laws, and no such proceedings have been taken or, as of the date hereof, threatened by any other Person in writing and as of the Closing and immediately after consummating the transactions contemplated hereby, no member of the Company Group will be insolvent as a result of its inability to pay its debts and liabilities as they become due.</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4.4 Governmental Approvals</w:t>
      </w:r>
      <w:r>
        <w:rPr>
          <w:rFonts w:ascii="Times New Roman" w:cs="Times New Roman" w:eastAsia="Times New Roman" w:hAnsi="Times New Roman"/>
          <w:sz w:val="22"/>
          <w:szCs w:val="22"/>
          <w:color w:val="auto"/>
        </w:rPr>
        <w:t>. No Governmental Approval needs to be obtained by any member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for the consummation by the Company Group of the transactions contemplated by the Transaction Documents to which any member of the Company Group is, or will be, a party, other than any Required Regulatory Approvals and such other declarations, filings, registrations, notices, authorizations, consents or approvals that are customarily made or obtained after the consummation of transactions similar to the transactions contemplated by this Agreement or if not obtained or made, would not individually or in the aggregate, be material to the Company Group (taken as a whole) or prohibit, restrict delay or otherwise adversely impact the consummation of the transactions contemplated by this Agreement.</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4.5 No Third Party Consents</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no consent,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permit or authorization is required to be obtained by any member of the Company Group from any Person (excluding any Governmental Entity) for the consummation by the Company Group of the transactions contemplated by the Transaction Documents to which any member of the Company Group is, or will be, a party, other than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6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consents, approvals, Permits or authorizations which are not required to be made, given or obtained until after the Closing or if not obtained or made, would not, individually or in the aggregate, be material to the Company Group (taken as a whole).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4.6 Ownership of the Subsidiary Interests</w:t>
      </w:r>
      <w:r>
        <w:rPr>
          <w:rFonts w:ascii="Times New Roman" w:cs="Times New Roman" w:eastAsia="Times New Roman" w:hAnsi="Times New Roman"/>
          <w:sz w:val="22"/>
          <w:szCs w:val="22"/>
          <w:color w:val="auto"/>
        </w:rPr>
        <w:t>. The Company has good and valid title to all of the outstanding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in each Subsidiary (collectively, the “</w:t>
      </w:r>
      <w:r>
        <w:rPr>
          <w:rFonts w:ascii="Times New Roman" w:cs="Times New Roman" w:eastAsia="Times New Roman" w:hAnsi="Times New Roman"/>
          <w:sz w:val="22"/>
          <w:szCs w:val="22"/>
          <w:b w:val="1"/>
          <w:bCs w:val="1"/>
          <w:i w:val="1"/>
          <w:iCs w:val="1"/>
          <w:color w:val="auto"/>
        </w:rPr>
        <w:t>Subsidiary Interests</w:t>
      </w:r>
      <w:r>
        <w:rPr>
          <w:rFonts w:ascii="Times New Roman" w:cs="Times New Roman" w:eastAsia="Times New Roman" w:hAnsi="Times New Roman"/>
          <w:sz w:val="22"/>
          <w:szCs w:val="22"/>
          <w:color w:val="auto"/>
        </w:rPr>
        <w:t>”), free and clear of all Encumbrances, other than Encumbrances set forth in the Seller Disclosure Schedules, any transfer restrictions imposed by federal, provincial or state securities Laws and any transfer restriction set forth in the Organizational Documents of the applicable Subsidiary. Other than the Subsidiaries, neither the Company nor any Subsidiary has any direct or indirect investment or interest in or control over any Person.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1"/>
          <w:szCs w:val="21"/>
          <w:b w:val="1"/>
          <w:bCs w:val="1"/>
          <w:color w:val="auto"/>
        </w:rPr>
        <w:t>Capitalization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and the Subsidiary Interests have been duly authorized and validly issued, and are fully paid and non-assessable.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Purchased Shares and the Subsidiary Interests were either issued to, purchased by or transferred to Seller or a member of the Company Group (as applicable), and to the extent purchased by or transferred to Seller or a member of the Company Group (as applicable), all of the Purchased Shares were so purchased or transferred in compliance with all applicable federal, provincial or state securities Laws and any pre-emptive or other similar rights.</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Shares represent all of the issued and outstanding shares in the capital of the Company, and the Subsidiary Interests represent all of the issued and outstanding membership interests in the Subsidiaries. Except as set forth in the Organizational Documents of any member of the Company Group, there are no outstanding or authorized securities of any member of the Company Group convertible into or exchangeable for shares or other equity interest or voting securities of any member of the Company Group, options or other rights to acquire from Seller or any member of the Company Group, and neither Seller nor any member of the Company Group has any obligation to issue or sell, any shares or other equity interest or voting securities of any member of the Company Group or any securities convertible into or exchangeable for such shares or other equity interest or voting securities, other than the rights of Buyer to acquire the Purchased Shares pursuant to this Agreement or equity equivalents or other similar rights of or with respect to the any member of the Company Group. Neither Seller nor any member of the Company Group is a party to any agreements, arrangements or commitments obligating Seller or any member of the Company Group, as applicable, to grant, deliver or sell, or cause to be granted, delivered or sold, the Purchased Shares or the Subsidiary Interests, by sale, lease, license or otherwise, other than this Agreement and the Organizational Documents of any member of the Company Group. Except as set forth in the Organizational Documents of any member of the Company Group, there are no outstanding contractual obligations of any member of the Company Group to repurchase, redeem, or otherwise acquire any of the foregoing securities, shares, options, equity equivalents, interests or rights and there are no voting agreements, voting trusts, proxies or other similar agreements or understandings with respect to any of the equity interests of any member of the Company Group.</w:t>
      </w:r>
    </w:p>
    <w:p>
      <w:pPr>
        <w:spacing w:after="0" w:line="15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4.8 Legal Proceedings; Orders</w:t>
      </w:r>
      <w:r>
        <w:rPr>
          <w:rFonts w:ascii="Times New Roman" w:cs="Times New Roman" w:eastAsia="Times New Roman" w:hAnsi="Times New Roman"/>
          <w:sz w:val="22"/>
          <w:szCs w:val="22"/>
          <w:color w:val="auto"/>
        </w:rPr>
        <w:t>. There are no Proceedings pending or, to Seller’s Knowledge, threatened in writing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any member of the Company Group or any of their respective assets or properties, and there is no judgment, order, writ, injunction, or decree of any Governmental Entity binding upon any member of the Company Group, or to which any member of the Company Group, or any of their respective assets or properties is subject that, in each case, would, individually or in the aggregate, be material to the Company Group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83" w:name="page84"/>
    <w:bookmarkEnd w:id="83"/>
    <w:p>
      <w:pPr>
        <w:spacing w:after="0" w:line="5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4.9 Absence of Certain Changes</w:t>
      </w:r>
      <w:r>
        <w:rPr>
          <w:rFonts w:ascii="Times New Roman" w:cs="Times New Roman" w:eastAsia="Times New Roman" w:hAnsi="Times New Roman"/>
          <w:sz w:val="22"/>
          <w:szCs w:val="22"/>
          <w:color w:val="auto"/>
        </w:rPr>
        <w:t>. Since the Financial Statement Date, there has not been any event, occurrence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that, individually or in the aggregate, has had, or would reasonably be expected to have, a Material Adverse Effect. Except for customary actions taken in connection with efforts related to the sale process for the sale of the Purchased Shares, from the Financial Statement Date through the Execution Date, each member of the Company Group has conducted its business in all material respects in the ordinary course consistent with past practice.</w:t>
      </w:r>
    </w:p>
    <w:p>
      <w:pPr>
        <w:spacing w:after="0" w:line="14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4.10 Financial Statements; No Undisclosed Liabilities</w:t>
      </w:r>
      <w:r>
        <w:rPr>
          <w:rFonts w:ascii="Times New Roman" w:cs="Times New Roman" w:eastAsia="Times New Roman" w:hAnsi="Times New Roman"/>
          <w:sz w:val="22"/>
          <w:szCs w:val="22"/>
          <w:color w:val="auto"/>
        </w:rPr>
        <w:t>. Seller has made available to Buyer the Financial Statements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respect of the applicable Financial Periods ending on or before the Execution Date, copies of which are attached hereto as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and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shall be updated by Seller to include any Financial Statements prepared and delivered pursuant to </w:t>
      </w:r>
      <w:r>
        <w:rPr>
          <w:rFonts w:ascii="Times New Roman" w:cs="Times New Roman" w:eastAsia="Times New Roman" w:hAnsi="Times New Roman"/>
          <w:sz w:val="22"/>
          <w:szCs w:val="22"/>
          <w:u w:val="single" w:color="auto"/>
          <w:color w:val="auto"/>
        </w:rPr>
        <w:t>Section 6.20(a)(iii)</w:t>
      </w:r>
      <w:r>
        <w:rPr>
          <w:rFonts w:ascii="Times New Roman" w:cs="Times New Roman" w:eastAsia="Times New Roman" w:hAnsi="Times New Roman"/>
          <w:sz w:val="22"/>
          <w:szCs w:val="22"/>
          <w:color w:val="auto"/>
        </w:rPr>
        <w:t xml:space="preserve"> in respect of Financial Periods ending after the Execution Date in connection with the Financings upon delivery of such additional Financial Statements. Except as set forth in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the Financial Statements fairly present, in all material respects, the combined financial position of the Company Group and the results of operations of the Company Group on a consolidated basis, in each case, for the periods covered by the Financial Statements, in accordance with GAAP except that any unaudited Financial Statements are subject to normal adjustments. The Company Group has no Liabilities of the type required to be reflected on a balance sheet prepared in accordance with GAAP, except for Liabilities adequately reflected or reserved against in the Financial Statements, incurred in the ordinary course of business since the Financial Statement Date, assumed by Seller or one of its Affiliates (other than the members of the Company Group) in connection with the Pre-Closing Reorganization; arising in connection with any Buyer Reorganization; otherwise disclosed in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of the Seller Disclosure Schedules or that would not reasonably be expected to have a Material Adverse Effect.</w:t>
      </w:r>
    </w:p>
    <w:p>
      <w:pPr>
        <w:spacing w:after="0" w:line="15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4.11 Related Party Transactions. </w:t>
      </w:r>
      <w:r>
        <w:rPr>
          <w:rFonts w:ascii="Times New Roman" w:cs="Times New Roman" w:eastAsia="Times New Roman" w:hAnsi="Times New Roman"/>
          <w:sz w:val="22"/>
          <w:szCs w:val="22"/>
          <w:color w:val="auto"/>
        </w:rPr>
        <w:t>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Closing Date no member of the Company Group is indebted to or a creditor of, or party to any other transaction or arrangement, with any “related party” (within the meaning of Multilateral Instrument 61-101 – </w:t>
      </w:r>
      <w:r>
        <w:rPr>
          <w:rFonts w:ascii="Times New Roman" w:cs="Times New Roman" w:eastAsia="Times New Roman" w:hAnsi="Times New Roman"/>
          <w:sz w:val="22"/>
          <w:szCs w:val="22"/>
          <w:i w:val="1"/>
          <w:iCs w:val="1"/>
          <w:color w:val="auto"/>
        </w:rPr>
        <w:t>Protection of Minority Security Holders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Special Transactions</w:t>
      </w:r>
      <w:r>
        <w:rPr>
          <w:rFonts w:ascii="Times New Roman" w:cs="Times New Roman" w:eastAsia="Times New Roman" w:hAnsi="Times New Roman"/>
          <w:sz w:val="22"/>
          <w:szCs w:val="22"/>
          <w:color w:val="auto"/>
        </w:rPr>
        <w:t>) of the Company or any of its Affiliates, except for amounts due in the ordinary course as salaries, bonuses,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fees or the reimbursement of expenses.</w:t>
      </w:r>
    </w:p>
    <w:p>
      <w:pPr>
        <w:spacing w:after="0" w:line="14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4.12 Permits</w:t>
      </w:r>
      <w:r>
        <w:rPr>
          <w:rFonts w:ascii="Times New Roman" w:cs="Times New Roman" w:eastAsia="Times New Roman" w:hAnsi="Times New Roman"/>
          <w:sz w:val="22"/>
          <w:szCs w:val="22"/>
          <w:color w:val="auto"/>
        </w:rPr>
        <w:t>. As of the Execution Date, each member of the Company Group holds all Permits necessary to conduct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businesses as currently conducted and operated in material compliance with all applicable Laws (the “</w:t>
      </w:r>
      <w:r>
        <w:rPr>
          <w:rFonts w:ascii="Times New Roman" w:cs="Times New Roman" w:eastAsia="Times New Roman" w:hAnsi="Times New Roman"/>
          <w:sz w:val="22"/>
          <w:szCs w:val="22"/>
          <w:b w:val="1"/>
          <w:bCs w:val="1"/>
          <w:i w:val="1"/>
          <w:iCs w:val="1"/>
          <w:color w:val="auto"/>
        </w:rPr>
        <w:t>Business Permits</w:t>
      </w:r>
      <w:r>
        <w:rPr>
          <w:rFonts w:ascii="Times New Roman" w:cs="Times New Roman" w:eastAsia="Times New Roman" w:hAnsi="Times New Roman"/>
          <w:sz w:val="22"/>
          <w:szCs w:val="22"/>
          <w:color w:val="auto"/>
        </w:rPr>
        <w:t xml:space="preserve">”) and necessary to operate the businesses of the Company Group as currently operated in material compliance with all Environmental Laws (such Permits in </w:t>
      </w:r>
      <w:r>
        <w:rPr>
          <w:rFonts w:ascii="Times New Roman" w:cs="Times New Roman" w:eastAsia="Times New Roman" w:hAnsi="Times New Roman"/>
          <w:sz w:val="22"/>
          <w:szCs w:val="22"/>
          <w:u w:val="single" w:color="auto"/>
          <w:color w:val="auto"/>
        </w:rPr>
        <w:t>clause 4.12,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xml:space="preserve">”, and the Environmental Permits collectively with the Business Permits in </w:t>
      </w:r>
      <w:r>
        <w:rPr>
          <w:rFonts w:ascii="Times New Roman" w:cs="Times New Roman" w:eastAsia="Times New Roman" w:hAnsi="Times New Roman"/>
          <w:sz w:val="22"/>
          <w:szCs w:val="22"/>
          <w:u w:val="single" w:color="auto"/>
          <w:color w:val="auto"/>
        </w:rPr>
        <w:t>clause 4.12</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Company Group Permits</w:t>
      </w:r>
      <w:r>
        <w:rPr>
          <w:rFonts w:ascii="Times New Roman" w:cs="Times New Roman" w:eastAsia="Times New Roman" w:hAnsi="Times New Roman"/>
          <w:sz w:val="22"/>
          <w:szCs w:val="22"/>
          <w:color w:val="auto"/>
        </w:rPr>
        <w:t>”) each of which is valid and in full force and effect. Each member of the Company Group is in compliance with all Company Group Permits applicable to it in all material respects. No member of the Company Group has received any written notice alleging a material violation under any Company Group Permit and there are no Proceedings pending or, to Seller’s Knowledge, threatened by or before any Governmental Entity relating to any alleged material violation of any Company Group Permit other than Proceedings that have been resolved, withdrawn or abandoned. There are no Proceedings in progress, pending or, to Seller’s Knowledge, threatened, that would reasonably be expected to result in the revocation, withdrawal, suspension, cancellation, modification or termination of any Company Group Permit held by any member of the Company Group.</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4.13 Indebtedness</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4.13</w:t>
      </w:r>
      <w:r>
        <w:rPr>
          <w:rFonts w:ascii="Times New Roman" w:cs="Times New Roman" w:eastAsia="Times New Roman" w:hAnsi="Times New Roman"/>
          <w:sz w:val="22"/>
          <w:szCs w:val="22"/>
          <w:color w:val="auto"/>
        </w:rPr>
        <w:t>, no member of the Company Group has Indebtedness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4.14</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Except as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4.14</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Seller Disclosure Schedules:</w:t>
      </w:r>
    </w:p>
    <w:p>
      <w:pPr>
        <w:spacing w:after="0" w:line="183" w:lineRule="exact"/>
        <w:rPr>
          <w:sz w:val="20"/>
          <w:szCs w:val="20"/>
          <w:color w:val="auto"/>
        </w:rPr>
      </w:pPr>
    </w:p>
    <w:p>
      <w:pPr>
        <w:jc w:val="both"/>
        <w:ind w:firstLine="1304"/>
        <w:spacing w:after="0" w:line="22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duly and timely prepared and filed all Tax Returns required by applicable Law to be filed by it prior to the date hereof, and all such Tax Returns have been filed with the appropriate Tax Authorities within the prescribed period in accordance with all applicable Law in all material respects and are true, correct and complete in all material respects.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Taxes that are not yet delinquent or Taxes that are being contested in good faith under rules, policies and procedures provided under applicable Law relating to Taxes and that have been disclosed in the Seller Disclosure Schedules and where reserves were required to be established under GAAP, adequate reserves have been established in the Financial Statements, each member of the Company Group has paid, within the prescribed period, all material Taxes and instalments of material Taxes which are required to be paid to any Tax Authority pursuant to applicable Law (whether or not shown on any Tax Return); no deficiency with respect to the payment of any material Taxes or material Tax instalments has been asserted against any member of the Company Group by any Tax Authority; the Taxes accrued in the Financial Statements are adequate, based on Tax rates in effect on the date hereof, to satisfy all material Liabilities of the Company Group members for such Taxes.</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Financial Statement Date, no Company Group member has incurred any material Liability for Taxes, engaged in any transaction or event which would result in any material Liability for Taxes or realized any income or gain for Tax purposes, other than, in each case, in the ordinary course of business, in connection with or as a result of the Pre-Closing Reorganization or in connection with or as a result of a Buyer Reorganization.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has correctly calculated and duly filed all material claims for federal, state and provincial Tax credits (including refundable or reimbursable Tax credits). No Company Group member has applied for, claimed or received a material refund of Tax (or amount deemed for purposes of the Canadian Tax Act to be an overpayment of Tax) to which they were not entitled pursuant to applicable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has duly and timely withheld and collected all material Taxes required by applicable Law to be withheld or collected by it (including material Taxes and other material amounts required to be withheld by it in respect of any amount paid or credited or deemed to be paid or credited by it to or for the account or benefit of any Person, including any current or former employees, shareholders, officers or directors and any non-resident Person), has duly and timely remitted to the appropriate Tax Authority such Taxes and other amounts required by Law to be remitted by it, and complied with all related information reporting and recordkeeping requirements.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discussions, claims, examinations, audits, assessments or administrative or judicial proceedings regarding any of the Tax Returns or any Taxes of or with respect to any member of the Company Group are currently in progress, pending or have been proposed in writing or, to Seller’s Knowledge have been threatened, and no claim, assessment or levy for Taxes has been made against any member of the Company Group that has not been satisfied by payment or that has not been otherwise withdrawn.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waiver or extension of the statute of limitations has been given with respect to any material amount of Taxes of or with respect to any member of the Company Group or any Tax Returns of or with respect to any member of the Company Group, which period (after giving effect to such extension or waiver) has not yet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63" w:lineRule="exact"/>
        <w:rPr>
          <w:sz w:val="20"/>
          <w:szCs w:val="20"/>
          <w:color w:val="auto"/>
        </w:rPr>
      </w:pPr>
    </w:p>
    <w:p>
      <w:pPr>
        <w:jc w:val="both"/>
        <w:ind w:firstLine="1304"/>
        <w:spacing w:after="0" w:line="225"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closing agreements, rulings or technical advice memoranda, or similar agreements or rulings with respect to Taxes have been entered into or issued by any Tax Authority with respect to any member of the Company Group, other than those already provided by Seller to Buyer.</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will be required to include any item of income in, or exclude any item of deduction from, taxable income for any taxable period (or portion thereof) ending after the Closing Date as a result of any reserve claimed under the Canadian Tax Act or any applicable provincial legislation for any amount which otherwise would have been included in, or excluded from any item of deduction from, the computation of income of the member of the Company Group for any period ending on or before the Closing Date; any change in a method of accounting or use of an improper method of accounting, in each case for a Pre-Closing Tax Period; any installment sale or open transaction occurring on or prior to the Closing Date; any prepaid amount received or deferred revenue accrued on or before the Closing Date; or any “closing agreement” under Section 7121 of the U.S. Tax Code (or similar provision of state, local or non-U.S. Law) or other Tax related Contract executed on or prior to the Closing Date.</w:t>
      </w:r>
    </w:p>
    <w:p>
      <w:pPr>
        <w:spacing w:after="0" w:line="158"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ever been required to file any Tax Return with, and has never been liable to pay a material amount of Taxes to, any Tax Authority of a jurisdiction where such entity does not a file a Tax Return or pay a material amount of Taxes. No request to file a Tax Return has ever been made to a Company Group member by a Tax Authority in a jurisdiction where such entity does not file Tax Returns. No member of the Company Group is subject to Tax in any jurisdiction outside the country of its formation by virtue of having a permanent establishment, taxable presence or place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party to, is bound by or has any obligation under any Tax allocation, Tax sharing, Tax indemnity or similar agreement, arrangement or understanding. No member of the Company Group has been a member of an affiliated, combined, consolidated, unitary or similar group for Tax purposes or filed or been included in a Tax Return with another Person. No member of the Company Group has any liability for Taxes of any other Person under U.S. Treasury Regulations Section 1.1502-6 (or any corresponding provision of state, local or non-U.S. Law), as transferee or successor or otherwise by operation of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directly or indirectly transferred any property to or supplied any services to or acquired any property or services from a Person with whom it was not dealing at arm’s length (for the purposes of the Canadian Tax Act) for consideration other than consideration equal to the fair market value of the property or services at the time of the transfer, supply or acquisition of the property or services.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complied in all material respects with the transfer pricing (including any contemporaneous documentation) provisions of each applicable Law, including for greater certainty, under section 247 of the Canadian Tax Act (and the corresponding provisions of any applicable provincial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sections 78, 80 to 80.04 (inclusive) or 191.3 of the Canadian Tax Act or the equivalent provisions of any comparable legislation of any province or territory of Canada have applied or will apply at any time up to and including the Closing Date to any member of the Company Group and no member of the Company Group has been subject to the interest deduction limitations set forth in section 18.2 or subsection 18(4) of the Canadian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86" w:name="page87"/>
    <w:bookmarkEnd w:id="86"/>
    <w:p>
      <w:pPr>
        <w:spacing w:after="0" w:line="63" w:lineRule="exact"/>
        <w:rPr>
          <w:sz w:val="20"/>
          <w:szCs w:val="20"/>
          <w:color w:val="auto"/>
        </w:rPr>
      </w:pPr>
    </w:p>
    <w:p>
      <w:pPr>
        <w:ind w:firstLine="1304"/>
        <w:spacing w:after="0" w:line="236"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that is subject to taxation under the Canadian Tax Act has filed an election to report its Canadian tax results (as defined in the Canadian Tax Act) in a currency other than Canadian currency.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Encumbrances other than Permitted Encumbrances on any of the assets of any member of the Company Group that arose in connection with any failure (or alleged failure) to pay or remit any Taxes.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January 1, 2025, the Company Group members had available for deduction against future taxable income the undepreciated capital cost allowance balances disclosed in </w:t>
      </w:r>
      <w:r>
        <w:rPr>
          <w:rFonts w:ascii="Times New Roman" w:cs="Times New Roman" w:eastAsia="Times New Roman" w:hAnsi="Times New Roman"/>
          <w:sz w:val="22"/>
          <w:szCs w:val="22"/>
          <w:u w:val="single" w:color="auto"/>
          <w:color w:val="auto"/>
        </w:rPr>
        <w:t>Schedule 4.14(q)</w:t>
      </w:r>
      <w:r>
        <w:rPr>
          <w:rFonts w:ascii="Times New Roman" w:cs="Times New Roman" w:eastAsia="Times New Roman" w:hAnsi="Times New Roman"/>
          <w:sz w:val="22"/>
          <w:szCs w:val="22"/>
          <w:color w:val="auto"/>
        </w:rPr>
        <w:t xml:space="preserve"> of the Seller Disclosure Schedules and since January 1, 2025, no member of the Company Group has taken any action or entered into any transaction outside of the ordinary course of business, other than the Pre-Closing Reorganization or any Buyer Reorganization, that would have the effect of reducing such amounts.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is and has since January 1, 2013 been treated as an entity disregarded as separate from its regarded owner for U.S. federal income Tax purposes.</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Company Group member is or has been a party to any “reportable transaction” or “notifiable transaction” (each as defined in the Canadian Tax Act), a “reportable transaction” (as defined by U.S. Treasury Regulations section 1.6011-4) or has or had an obligation to file an information return pursuant to section 237.3 of the Canadian Tax Act, section 237.4 of the Canadian Tax Act or section 237.5 of the Canadian Tax Act, or the equivalent provisions of any comparable legislation of any province or territory of Canada.</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4.15 Compliance with Applicable Laws</w:t>
      </w:r>
      <w:r>
        <w:rPr>
          <w:rFonts w:ascii="Times New Roman" w:cs="Times New Roman" w:eastAsia="Times New Roman" w:hAnsi="Times New Roman"/>
          <w:sz w:val="22"/>
          <w:szCs w:val="22"/>
          <w:color w:val="auto"/>
        </w:rPr>
        <w:t>. Each member of the Company Group (including all of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operations, properties and assets, whether owned or leased) is, and has been for the previous three (3) years, in compliance in all material respects with all applicable Laws, and is not, and has not in the previous three (3) years, engaged in any conduct that is an indictable or summary offence. No member of the Company Group has received any written notice from any Governmental Entity alleging, any material violation under any applicable Law and there are no Proceedings pending or, to Seller’s Knowledge, threatened by or before any Governmental Entity relating to any alleged material violation of any applicable Law arising out of operations of any of the assets or properties of any member of the Company Group, in each case other than Proceedings that have been resolved, withdrawn or abandoned.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4.16</w:t>
      </w:r>
      <w:r>
        <w:rPr>
          <w:sz w:val="20"/>
          <w:szCs w:val="20"/>
          <w:color w:val="auto"/>
        </w:rPr>
        <w:tab/>
      </w:r>
      <w:r>
        <w:rPr>
          <w:rFonts w:ascii="Times New Roman" w:cs="Times New Roman" w:eastAsia="Times New Roman" w:hAnsi="Times New Roman"/>
          <w:sz w:val="21"/>
          <w:szCs w:val="21"/>
          <w:b w:val="1"/>
          <w:bCs w:val="1"/>
          <w:color w:val="auto"/>
        </w:rPr>
        <w:t>Real Property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0"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xml:space="preserve"> of the Seller Disclosure Schedules contains a true and complete list of all leases under which any member of the Company Group leases or subleases real property, other than Other Real Property (the “</w:t>
      </w:r>
      <w:r>
        <w:rPr>
          <w:rFonts w:ascii="Times New Roman" w:cs="Times New Roman" w:eastAsia="Times New Roman" w:hAnsi="Times New Roman"/>
          <w:sz w:val="22"/>
          <w:szCs w:val="22"/>
          <w:b w:val="1"/>
          <w:bCs w:val="1"/>
          <w:i w:val="1"/>
          <w:iCs w:val="1"/>
          <w:color w:val="auto"/>
        </w:rPr>
        <w:t>Real Property Leases</w:t>
      </w:r>
      <w:r>
        <w:rPr>
          <w:rFonts w:ascii="Times New Roman" w:cs="Times New Roman" w:eastAsia="Times New Roman" w:hAnsi="Times New Roman"/>
          <w:sz w:val="22"/>
          <w:szCs w:val="22"/>
          <w:color w:val="auto"/>
        </w:rPr>
        <w:t>”), and certain identifying information of all of the real property that is leased pursuant to the Real Property Leases (the “</w:t>
      </w:r>
      <w:r>
        <w:rPr>
          <w:rFonts w:ascii="Times New Roman" w:cs="Times New Roman" w:eastAsia="Times New Roman" w:hAnsi="Times New Roman"/>
          <w:sz w:val="22"/>
          <w:szCs w:val="22"/>
          <w:b w:val="1"/>
          <w:bCs w:val="1"/>
          <w:i w:val="1"/>
          <w:iCs w:val="1"/>
          <w:color w:val="auto"/>
        </w:rPr>
        <w:t>Leased Real Property</w:t>
      </w:r>
      <w:r>
        <w:rPr>
          <w:rFonts w:ascii="Times New Roman" w:cs="Times New Roman" w:eastAsia="Times New Roman" w:hAnsi="Times New Roman"/>
          <w:sz w:val="22"/>
          <w:szCs w:val="22"/>
          <w:color w:val="auto"/>
        </w:rPr>
        <w:t xml:space="preserve">”). Except as would not, individually or in the aggregate, be material to the Company Group (taken as a whole), with respect to any member of the Company Group that is listed as the lessee of the Leased Real Property in </w:t>
      </w:r>
      <w:r>
        <w:rPr>
          <w:rFonts w:ascii="Times New Roman" w:cs="Times New Roman" w:eastAsia="Times New Roman" w:hAnsi="Times New Roman"/>
          <w:sz w:val="22"/>
          <w:szCs w:val="22"/>
          <w:u w:val="single" w:color="auto"/>
          <w:color w:val="auto"/>
        </w:rPr>
        <w:t>Schedule 4.16(a)</w:t>
      </w:r>
      <w:r>
        <w:rPr>
          <w:rFonts w:ascii="Times New Roman" w:cs="Times New Roman" w:eastAsia="Times New Roman" w:hAnsi="Times New Roman"/>
          <w:sz w:val="22"/>
          <w:szCs w:val="22"/>
          <w:color w:val="auto"/>
        </w:rPr>
        <w:t xml:space="preserve"> of the Seller Disclosure Schedules, such member of the Company Group has a good and valid interest in such Leased Real Property, pursuant to the applicable Real Property Lease. Each Real Property Lease constitutes a legal, valid and binding obligation of the applicable member of the Company Group party thereto and, to Seller’s Knowledge, the other counterparties to such Real Property Lease, subject to Creditors’ Rights. Each Real Property Lease is in full force and effect, free and clear of all Encumbrances, except for Permitted Encumbrances, and is enforceable in all material respects in accordance with its terms against the member(s) of the Company Group that is (are) a party to such Real Property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and to Seller’s Knowledge, against each other party thereto, subject, in each case, to Creditors’ Rights. Except as would not, individually or in the aggregate, be material to the Company Group (taken as a whole), with respect to each Real Property Lease, no event of default by the lessee, or to Seller’s Knowledge, the lessor, exists thereunder, no breach by the lessee, or to Seller’s Knowledge, the lessor thereunder exists that with passage of time or the giving of notice or both could become an event of default, and to Seller’s Knowledge, no claim has been made that the lessor of any Leased Real Property under such Real Property Lease does not have good and valid title to such Leased Real Property.</w:t>
      </w:r>
    </w:p>
    <w:p>
      <w:pPr>
        <w:spacing w:after="0" w:line="152" w:lineRule="exact"/>
        <w:rPr>
          <w:sz w:val="20"/>
          <w:szCs w:val="20"/>
          <w:color w:val="auto"/>
        </w:rPr>
      </w:pPr>
    </w:p>
    <w:p>
      <w:pPr>
        <w:jc w:val="both"/>
        <w:ind w:firstLine="1304"/>
        <w:spacing w:after="0" w:line="210"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contains a true and complete list of all real property owned in fee by each member of the Company Group, excluding any owned Other Real Property (the “</w:t>
      </w:r>
      <w:r>
        <w:rPr>
          <w:rFonts w:ascii="Times New Roman" w:cs="Times New Roman" w:eastAsia="Times New Roman" w:hAnsi="Times New Roman"/>
          <w:sz w:val="22"/>
          <w:szCs w:val="22"/>
          <w:b w:val="1"/>
          <w:bCs w:val="1"/>
          <w:i w:val="1"/>
          <w:iCs w:val="1"/>
          <w:color w:val="auto"/>
        </w:rPr>
        <w:t>Fee Owned Real Property</w:t>
      </w:r>
      <w:r>
        <w:rPr>
          <w:rFonts w:ascii="Times New Roman" w:cs="Times New Roman" w:eastAsia="Times New Roman" w:hAnsi="Times New Roman"/>
          <w:sz w:val="22"/>
          <w:szCs w:val="22"/>
          <w:color w:val="auto"/>
        </w:rPr>
        <w:t xml:space="preserve">”). Except as would not, individually or in the aggregate, be material to the Company Group (taken as a whole), with respect to the applicable member of the Company Group that is listed as the owner of the Fee Owned Real Property in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such member of the Company Group has good and valid legal and/or beneficial title to, such Fee Owned Real Property, free and clear of all Encumbrances, except for Permitted Encumbrances. With respect to the applicable member of the Company Group that is listed as the owner of the Fee Owned Real Property set forth in </w:t>
      </w:r>
      <w:r>
        <w:rPr>
          <w:rFonts w:ascii="Times New Roman" w:cs="Times New Roman" w:eastAsia="Times New Roman" w:hAnsi="Times New Roman"/>
          <w:sz w:val="22"/>
          <w:szCs w:val="22"/>
          <w:u w:val="single" w:color="auto"/>
          <w:color w:val="auto"/>
        </w:rPr>
        <w:t>Schedule 4.16(b)</w:t>
      </w:r>
      <w:r>
        <w:rPr>
          <w:rFonts w:ascii="Times New Roman" w:cs="Times New Roman" w:eastAsia="Times New Roman" w:hAnsi="Times New Roman"/>
          <w:sz w:val="22"/>
          <w:szCs w:val="22"/>
          <w:color w:val="auto"/>
        </w:rPr>
        <w:t xml:space="preserve"> of the Seller Disclosure Schedules, neither Seller nor any such member of the Company Group has received written notice of any claims affecting any Fee Owned Real Property or any interest held by the Company Group with respect to any such Fee Owned Real Property that would reasonably be expected to have a Material Adverse Effect. The Company Group has not received written notice of any assertion that the Company Group does not have good and valid title to its Fee Owned Real Property.</w:t>
      </w:r>
    </w:p>
    <w:p>
      <w:pPr>
        <w:spacing w:after="0" w:line="151"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Execution Date, except as would not, individually or in the aggregate, be material to the Company Group (taken as a whole), </w:t>
      </w:r>
      <w:r>
        <w:rPr>
          <w:rFonts w:ascii="Times New Roman" w:cs="Times New Roman" w:eastAsia="Times New Roman" w:hAnsi="Times New Roman"/>
          <w:sz w:val="22"/>
          <w:szCs w:val="22"/>
          <w:u w:val="single" w:color="auto"/>
          <w:color w:val="auto"/>
        </w:rPr>
        <w:t>Schedule 4.16(c)</w:t>
      </w:r>
      <w:r>
        <w:rPr>
          <w:rFonts w:ascii="Times New Roman" w:cs="Times New Roman" w:eastAsia="Times New Roman" w:hAnsi="Times New Roman"/>
          <w:sz w:val="22"/>
          <w:szCs w:val="22"/>
          <w:color w:val="auto"/>
        </w:rPr>
        <w:t xml:space="preserve"> of the Seller Disclosure Schedules contains a true and complete list of all easements, rights-of-way, permits, consents, licenses, leases in the nature of easements or rights-of-way and other similar rights to use or interest in real property held by each member of the Company Group with respect to any pipeline assets (the “</w:t>
      </w:r>
      <w:r>
        <w:rPr>
          <w:rFonts w:ascii="Times New Roman" w:cs="Times New Roman" w:eastAsia="Times New Roman" w:hAnsi="Times New Roman"/>
          <w:sz w:val="22"/>
          <w:szCs w:val="22"/>
          <w:b w:val="1"/>
          <w:bCs w:val="1"/>
          <w:i w:val="1"/>
          <w:iCs w:val="1"/>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The Company Group is not, and to Seller’s Knowledge the counterparty thereto is not, in default in any material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 under the terms of any of the Other Real Property.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provided Buyer with copies of all deeds or other instruments (where applicable, as recorded) by which any member of the Company Group acquired any Fee Owned Real Property, Real Property Leases (together with all material amendments thereto), Contracts pursuant to which rights in the Other Real Property are granted or otherwise provided to the Company Group (together with all material amendments thereto), and title insurance policies, opinions, abstracts, and surveys relating to Fee Owned Real Property or Leased Real Property, and, in the case of </w:t>
      </w:r>
      <w:r>
        <w:rPr>
          <w:rFonts w:ascii="Times New Roman" w:cs="Times New Roman" w:eastAsia="Times New Roman" w:hAnsi="Times New Roman"/>
          <w:sz w:val="22"/>
          <w:szCs w:val="22"/>
          <w:u w:val="single" w:color="auto"/>
          <w:color w:val="auto"/>
        </w:rPr>
        <w:t>clauses (d)</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that are to Seller’s Knowledge, in existence and in the possession or control of Seller, the Company Group or any of their Affiliates, or located within the centralized land records file of Seller or any Seller Affiliate, and neither Seller nor any Seller Affiliate has intentionally altered any such copies provided to Buyer.</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be material to the Company Group (taken as a whole), the interests in the Real Property and Other Real Property constitute all of the real property interests sufficient for the conduct of the Business as conducted as of the Execution Date. Except for the Real Property Leases, the Permitted Encumbrances and Contracts in the form of leases that grant rights to interests in Other Real Property, since the date on which Seller acquired the equity interests in such member of the Company Group, no member of the Company Group has entered into a lease, sublease, license, easement, concession, deed of trust or other Contract granting to any Person the right to use, occupy or acquire an interest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88" w:name="page89"/>
    <w:bookmarkEnd w:id="88"/>
    <w:p>
      <w:pPr>
        <w:spacing w:after="0" w:line="6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or any portion of the Real Property, except as would not, individually or in the aggregate, have, or reasonably be expected to have, a Material Adverse Effect.</w:t>
      </w:r>
    </w:p>
    <w:p>
      <w:pPr>
        <w:spacing w:after="0" w:line="150" w:lineRule="exact"/>
        <w:rPr>
          <w:sz w:val="20"/>
          <w:szCs w:val="20"/>
          <w:color w:val="auto"/>
        </w:rPr>
      </w:pPr>
    </w:p>
    <w:p>
      <w:pPr>
        <w:jc w:val="both"/>
        <w:ind w:firstLine="1304"/>
        <w:spacing w:after="0" w:line="225"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Seller’s Knowledge, threatened condemnation, taking or rezoning of any part of the Real Property by any Person that, if successful, would materially interfere with the Company Group’s conduct of their respective businesses as conducted on the Execution Date.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adequate ingress and egress rights for the operation and maintenance of each Facility, except where such failure to do so would not, individually or in the aggregate, be material to the Company Group (taken as a whole).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other party to a Contract listed on </w:t>
      </w:r>
      <w:r>
        <w:rPr>
          <w:rFonts w:ascii="Times New Roman" w:cs="Times New Roman" w:eastAsia="Times New Roman" w:hAnsi="Times New Roman"/>
          <w:sz w:val="22"/>
          <w:szCs w:val="22"/>
          <w:u w:val="single" w:color="auto"/>
          <w:color w:val="auto"/>
        </w:rPr>
        <w:t>Schedule 4.16</w:t>
      </w:r>
      <w:r>
        <w:rPr>
          <w:rFonts w:ascii="Times New Roman" w:cs="Times New Roman" w:eastAsia="Times New Roman" w:hAnsi="Times New Roman"/>
          <w:sz w:val="22"/>
          <w:szCs w:val="22"/>
          <w:color w:val="auto"/>
        </w:rPr>
        <w:t xml:space="preserve"> of the Seller Disclosure Schedules has terminated, failed or refused to renew, repudiated or otherwise modified such Contract or provided written notice threatening or stating its intention to do any of the foregoing that would, individually or in the aggregate, have or reasonably be expected to have, a Material Adverse Effect.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4.17</w:t>
      </w:r>
      <w:r>
        <w:rPr>
          <w:sz w:val="20"/>
          <w:szCs w:val="20"/>
          <w:color w:val="auto"/>
        </w:rPr>
        <w:tab/>
      </w:r>
      <w:r>
        <w:rPr>
          <w:rFonts w:ascii="Times New Roman" w:cs="Times New Roman" w:eastAsia="Times New Roman" w:hAnsi="Times New Roman"/>
          <w:sz w:val="21"/>
          <w:szCs w:val="21"/>
          <w:b w:val="1"/>
          <w:bCs w:val="1"/>
          <w:color w:val="auto"/>
        </w:rPr>
        <w:t>Facilities and Tangible Personal Property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owns the interests in the Facilities and Pipelines as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be material to the Company Group (taken as a whole), the Company Group owns or leases all tangible personal property, that is sufficient to carry on the Business as conducted as of the Execution Date and as of the Closing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tangible personal property that is owned by the applicable member of the Company Group; including that set forth on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 the applicable member of the Company Group has good and valid title to such property, free and clear of all Encumbrances other than Permitted Encumbrances, and as to any tangible personal property that is leased by the Company Group, each lease with respect thereto is valid and binding, in full force and effect and enforceable in accordance with its terms against the member of the Company Group that is party to each such lease, and to Seller’s Knowledge, against each other party thereto, subject, in each case, to Creditors’ Rights, and the applicable member of the Company Group has the right to use the property pursuant to such lease, free and clear of all Encumbrances other than Permitted Encumbrances.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4.18</w:t>
      </w:r>
      <w:r>
        <w:rPr>
          <w:sz w:val="20"/>
          <w:szCs w:val="20"/>
          <w:color w:val="auto"/>
        </w:rPr>
        <w:tab/>
      </w:r>
      <w:r>
        <w:rPr>
          <w:rFonts w:ascii="Times New Roman" w:cs="Times New Roman" w:eastAsia="Times New Roman" w:hAnsi="Times New Roman"/>
          <w:sz w:val="21"/>
          <w:szCs w:val="21"/>
          <w:b w:val="1"/>
          <w:bCs w:val="1"/>
          <w:color w:val="auto"/>
        </w:rPr>
        <w:t>Material Contracts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Excluding any Contracts to which any member of the Company Group becomes party or by which it or any of its assets become otherwise bound in connection with the Pre-Closing Reorganization,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xml:space="preserve"> of the Seller Disclosure Schedules contains a true, accurate and complete list of each of the following Contracts, and all amendments thereto, to which a member of the Company Group is a party or by which it or any of its assets is otherwise bound on the Execution Date, excluding any Contracts that grant rights to interests in Real Property or Other Real Property specifically identified pursuant to </w:t>
      </w:r>
      <w:r>
        <w:rPr>
          <w:rFonts w:ascii="Times New Roman" w:cs="Times New Roman" w:eastAsia="Times New Roman" w:hAnsi="Times New Roman"/>
          <w:sz w:val="22"/>
          <w:szCs w:val="22"/>
          <w:u w:val="single" w:color="auto"/>
          <w:color w:val="auto"/>
        </w:rPr>
        <w:t>Schedule 4.16</w:t>
      </w:r>
      <w:r>
        <w:rPr>
          <w:rFonts w:ascii="Times New Roman" w:cs="Times New Roman" w:eastAsia="Times New Roman" w:hAnsi="Times New Roman"/>
          <w:sz w:val="22"/>
          <w:szCs w:val="22"/>
          <w:color w:val="auto"/>
        </w:rPr>
        <w:t xml:space="preserve"> of the Seller Disclosure Schedules and made available to Buyer (each a “</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has a term of at least [term redacted], involves expected revenues (or, in the case of buy-sell Contracts, expected net revenues) in excess of (x) [dollar amount redacted], in the case of fractionation agreements, or (y)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89" w:name="page90"/>
    <w:bookmarkEnd w:id="89"/>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amount redacted], in the case of any other such agreements, in each case during 2025, or during any [term redacted] period, and is not terminable by the applicable member of the Company Group that is party thereto at will (without penalty) on [notice period redacted] notice or less;</w:t>
      </w:r>
    </w:p>
    <w:p>
      <w:pPr>
        <w:spacing w:after="0" w:line="153" w:lineRule="exact"/>
        <w:rPr>
          <w:sz w:val="20"/>
          <w:szCs w:val="20"/>
          <w:color w:val="auto"/>
        </w:rPr>
      </w:pPr>
    </w:p>
    <w:p>
      <w:pPr>
        <w:jc w:val="both"/>
        <w:ind w:firstLine="1292"/>
        <w:spacing w:after="0" w:line="215" w:lineRule="auto"/>
        <w:tabs>
          <w:tab w:leader="none" w:pos="193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has a term of at least [term redacted], involves aggregate expected payments, or the delivery of goods or services, by or to any or all members of the Company Group in excess of [dollar amount redacted] in 2025, or in any [term redacted] period, and that is not terminable by the member of the Company Group that is party thereto at will (without penalty) on [notice period redacted] notice or less; or could reasonably be expected to result in the loss of potential future revenues in excess of [dollar amount redacted] by any or all members of the Company Group if such Contract is terminated or otherwise comes to an end;</w:t>
      </w:r>
    </w:p>
    <w:p>
      <w:pPr>
        <w:spacing w:after="0" w:line="152" w:lineRule="exact"/>
        <w:rPr>
          <w:rFonts w:ascii="Times New Roman" w:cs="Times New Roman" w:eastAsia="Times New Roman" w:hAnsi="Times New Roman"/>
          <w:sz w:val="22"/>
          <w:szCs w:val="22"/>
          <w:color w:val="auto"/>
        </w:rPr>
      </w:pPr>
    </w:p>
    <w:p>
      <w:pPr>
        <w:ind w:right="20" w:firstLine="1292"/>
        <w:spacing w:after="0" w:line="236"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involving a remaining commitment by any or all members of the Company Group to make capital expenditures in excess of [dollar amount redacted];</w:t>
      </w:r>
    </w:p>
    <w:p>
      <w:pPr>
        <w:spacing w:after="0" w:line="150"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Contract containing: a restraint, restriction, limitation or impediment on the ability of any member of the Company Group to compete with any Person or to conduct any business or line of businesses in any geographic area (other than Contracts entered into in the ordinary course of business that contain any non-solicitation provision); an area of exclusion or exclusivity, or an area of mutual interest; a joint bidding arrangement; or confidentiality obligations, other than such Contract entered into the ordinary course of business and not constituting a Material Contract under any other provision in 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292"/>
        <w:spacing w:after="0" w:line="236"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option, right of first refusal or other preferential purchase right to purchase any asset of a member of the Company Group;</w:t>
      </w:r>
    </w:p>
    <w:p>
      <w:pPr>
        <w:spacing w:after="0" w:line="150"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any rights, obligations, covenants or agreements which are triggered by a change of control of any of the members of the Company Group and apply to or are triggered by the transactions contemplated hereby;</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creating or governing any joint venture, partnership or similar arrangement;</w:t>
      </w:r>
    </w:p>
    <w:p>
      <w:pPr>
        <w:spacing w:after="0" w:line="179" w:lineRule="exact"/>
        <w:rPr>
          <w:rFonts w:ascii="Times New Roman" w:cs="Times New Roman" w:eastAsia="Times New Roman" w:hAnsi="Times New Roman"/>
          <w:sz w:val="22"/>
          <w:szCs w:val="22"/>
          <w:color w:val="auto"/>
        </w:rPr>
      </w:pPr>
    </w:p>
    <w:p>
      <w:pPr>
        <w:jc w:val="both"/>
        <w:ind w:firstLine="1292"/>
        <w:spacing w:after="0" w:line="220" w:lineRule="auto"/>
        <w:tabs>
          <w:tab w:leader="none" w:pos="19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relating to the acquisition or disposition of any business or asset outside of the ordinary course of business, or pursuant to which any or all members of the Company Group have any remaining obligations, liabilities or rights and that involves the payment or receipt of, or responsibility for, more than [dollar amount redacted];</w:t>
      </w:r>
    </w:p>
    <w:p>
      <w:pPr>
        <w:spacing w:after="0" w:line="152" w:lineRule="exact"/>
        <w:rPr>
          <w:rFonts w:ascii="Times New Roman" w:cs="Times New Roman" w:eastAsia="Times New Roman" w:hAnsi="Times New Roman"/>
          <w:sz w:val="22"/>
          <w:szCs w:val="22"/>
          <w:color w:val="auto"/>
        </w:rPr>
      </w:pPr>
    </w:p>
    <w:p>
      <w:pPr>
        <w:ind w:firstLine="1292"/>
        <w:spacing w:after="0" w:line="236"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a Hedge Contract that the Company reasonably expects to be outstanding on the Closing Date, assuming the Closing Date is nine (9) months after the Execution Date;</w:t>
      </w:r>
    </w:p>
    <w:p>
      <w:pPr>
        <w:spacing w:after="0" w:line="15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is between a member of the Company Group and a Governmental Entity;</w:t>
      </w:r>
    </w:p>
    <w:p>
      <w:pPr>
        <w:spacing w:after="0" w:line="179" w:lineRule="exact"/>
        <w:rPr>
          <w:rFonts w:ascii="Times New Roman" w:cs="Times New Roman" w:eastAsia="Times New Roman" w:hAnsi="Times New Roman"/>
          <w:sz w:val="22"/>
          <w:szCs w:val="22"/>
          <w:color w:val="auto"/>
        </w:rPr>
      </w:pPr>
    </w:p>
    <w:p>
      <w:pPr>
        <w:ind w:firstLine="1292"/>
        <w:spacing w:after="0" w:line="236"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providing for a lease of tangible personal property involving annual aggregate payments by any or all members of the Company Group in excess of [dollar amount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80"/>
          </w:cols>
          <w:pgMar w:left="980" w:top="1440" w:right="339" w:bottom="1440" w:gutter="0" w:footer="0" w:header="0"/>
        </w:sectPr>
      </w:pPr>
    </w:p>
    <w:bookmarkStart w:id="90" w:name="page91"/>
    <w:bookmarkEnd w:id="90"/>
    <w:p>
      <w:pPr>
        <w:spacing w:after="0" w:line="50" w:lineRule="exact"/>
        <w:rPr>
          <w:sz w:val="20"/>
          <w:szCs w:val="20"/>
          <w:color w:val="auto"/>
        </w:rPr>
      </w:pPr>
    </w:p>
    <w:p>
      <w:pPr>
        <w:ind w:left="2600" w:hanging="648"/>
        <w:spacing w:after="0"/>
        <w:tabs>
          <w:tab w:leader="none" w:pos="260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imposes a most favored nations or similar obligation on any member of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Group;</w:t>
      </w:r>
    </w:p>
    <w:p>
      <w:pPr>
        <w:spacing w:after="0" w:line="155"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may require Credit Support to be provided by or to any member of the Company Group in excess of [dollar amount redacted];</w:t>
      </w:r>
    </w:p>
    <w:p>
      <w:pPr>
        <w:spacing w:after="0" w:line="150" w:lineRule="exact"/>
        <w:rPr>
          <w:rFonts w:ascii="Times New Roman" w:cs="Times New Roman" w:eastAsia="Times New Roman" w:hAnsi="Times New Roman"/>
          <w:sz w:val="22"/>
          <w:szCs w:val="22"/>
          <w:color w:val="auto"/>
        </w:rPr>
      </w:pPr>
    </w:p>
    <w:p>
      <w:pPr>
        <w:jc w:val="both"/>
        <w:ind w:left="660" w:right="20" w:firstLine="1292"/>
        <w:spacing w:after="0" w:line="220" w:lineRule="auto"/>
        <w:tabs>
          <w:tab w:leader="none" w:pos="25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involves the resolution, settlement or other disposition of any Proceeding against or by any member of the Company Group and: requires the payment of an amount greater than [dollar amount redacted] that has not been fully performed by such member of the Company Group; or otherwise imposes continuing conduct obligations (other than confidentiality obligations) on such member of the Company Group;</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a primary purpose for which is for any member of the Company Group to indemnify any Person, or to guarantee the obligations or liabilities of any Person where such obligations and liabilities have not been fully paid or performed, in each case, except for any such Contract that is entered into in the ordinary course of business;</w:t>
      </w:r>
    </w:p>
    <w:p>
      <w:pPr>
        <w:spacing w:after="0" w:line="151" w:lineRule="exact"/>
        <w:rPr>
          <w:rFonts w:ascii="Times New Roman" w:cs="Times New Roman" w:eastAsia="Times New Roman" w:hAnsi="Times New Roman"/>
          <w:sz w:val="21"/>
          <w:szCs w:val="21"/>
          <w:color w:val="auto"/>
        </w:rPr>
      </w:pPr>
    </w:p>
    <w:p>
      <w:pPr>
        <w:jc w:val="both"/>
        <w:ind w:left="660" w:firstLine="1292"/>
        <w:spacing w:after="0" w:line="225" w:lineRule="auto"/>
        <w:tabs>
          <w:tab w:leader="none" w:pos="259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relates to the employment of an employee of a member of the Company Group where the base salary for such Person is in excess of [dollar amount redacted] and the employee is anticipated to be identified in the Employee List;</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obligations respecting unions (including any collective bargaining agreements) or pension plans in which any employee of a member of the Company Group participates.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Non-Disclosed Material Contracts, a true and complete copy of each Material Contract, and each amendment in respect thereof, has been made available to Buyer prior to the date of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4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Material Contract is valid and binding, in full force and effect and enforceable in all material respects in accordance with its terms against the member(s) of the Company Group that is (are) party to such Material Contract, and to Seller’s Knowledge, against each other party thereto, subject, in each case, to Creditors’ Rights. No member of the Company Group is in material breach or default, and, to Seller’s Knowledge, no event has occurred that with notice or lapse of time or both would constitute a material breach or default, under any Material Contract. To Seller’s Knowledge, no other party is in material breach or default under any Material Contract. Neither Seller nor any member of the Company Group has received written notice of the termination prior to the expiry of the stated term or non-renewal under or in respect of a Material Contract (except expiries or non-renewal in accordance with or pursuant to the terms of such Material Contract), or any event, matter or circumstance which constitutes, or would reasonably be expected to constitute, a force majeure pursuant to a Material Contract.</w:t>
      </w:r>
    </w:p>
    <w:p>
      <w:pPr>
        <w:spacing w:after="0" w:line="149"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the Capex Forecast, in </w:t>
      </w:r>
      <w:r>
        <w:rPr>
          <w:rFonts w:ascii="Times New Roman" w:cs="Times New Roman" w:eastAsia="Times New Roman" w:hAnsi="Times New Roman"/>
          <w:sz w:val="22"/>
          <w:szCs w:val="22"/>
          <w:u w:val="single" w:color="auto"/>
          <w:color w:val="auto"/>
        </w:rPr>
        <w:t>Schedule 4.18(d)</w:t>
      </w:r>
      <w:r>
        <w:rPr>
          <w:rFonts w:ascii="Times New Roman" w:cs="Times New Roman" w:eastAsia="Times New Roman" w:hAnsi="Times New Roman"/>
          <w:sz w:val="22"/>
          <w:szCs w:val="22"/>
          <w:color w:val="auto"/>
        </w:rPr>
        <w:t xml:space="preserve"> of the Seller Disclosure Schedules or as entered into after the date hereof in compliance with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there is no outstanding authorization for expenditure or similar written request or invoice for funding or participation for capital contributions under any Contract that is binding on any member of the Company Group, or otherwise any capital commitment, that may require expenditures in excess of [dollar amount redacted] after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91" w:name="page92"/>
    <w:bookmarkEnd w:id="91"/>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4.19</w:t>
      </w:r>
      <w:r>
        <w:rPr>
          <w:sz w:val="20"/>
          <w:szCs w:val="20"/>
          <w:color w:val="auto"/>
        </w:rPr>
        <w:tab/>
      </w:r>
      <w:r>
        <w:rPr>
          <w:rFonts w:ascii="Times New Roman" w:cs="Times New Roman" w:eastAsia="Times New Roman" w:hAnsi="Times New Roman"/>
          <w:sz w:val="21"/>
          <w:szCs w:val="21"/>
          <w:b w:val="1"/>
          <w:bCs w:val="1"/>
          <w:color w:val="auto"/>
        </w:rPr>
        <w:t>Employment and Labour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no member of the Company Group, and with respect to the Available U.S. Employees, neither Seller nor any Affiliate of Seller, is a party to, or bound by, any collective bargaining or other agreement with a labor organization representing any of its employees (a “</w:t>
      </w:r>
      <w:r>
        <w:rPr>
          <w:rFonts w:ascii="Times New Roman" w:cs="Times New Roman" w:eastAsia="Times New Roman" w:hAnsi="Times New Roman"/>
          <w:sz w:val="22"/>
          <w:szCs w:val="22"/>
          <w:b w:val="1"/>
          <w:bCs w:val="1"/>
          <w:i w:val="1"/>
          <w:iCs w:val="1"/>
          <w:color w:val="auto"/>
        </w:rPr>
        <w:t>CBA</w:t>
      </w:r>
      <w:r>
        <w:rPr>
          <w:rFonts w:ascii="Times New Roman" w:cs="Times New Roman" w:eastAsia="Times New Roman" w:hAnsi="Times New Roman"/>
          <w:sz w:val="22"/>
          <w:szCs w:val="22"/>
          <w:color w:val="auto"/>
        </w:rPr>
        <w:t>”). There is no labor strike, slowdown, work stoppage or lockout pending or, to Seller’s Knowledge, threatened in writing against (x) any member of the Company Group or (y) with respect to the Available U.S. Employees, either Seller or any Affiliate of Seller. No unfair labor practice complaint or certification application is pending or, to Seller’s Knowledge, threatened against any member of the Company Group. To Seller’s Knowledge, no union or labor organization has applied to have any member of the Company Group declared a common or related employer under any labor relations Law.</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Union Employees, as otherwise set out in </w:t>
      </w:r>
      <w:r>
        <w:rPr>
          <w:rFonts w:ascii="Times New Roman" w:cs="Times New Roman" w:eastAsia="Times New Roman" w:hAnsi="Times New Roman"/>
          <w:sz w:val="22"/>
          <w:szCs w:val="22"/>
          <w:u w:val="single" w:color="auto"/>
          <w:color w:val="auto"/>
        </w:rPr>
        <w:t>Schedule 4.19(b)</w:t>
      </w:r>
      <w:r>
        <w:rPr>
          <w:rFonts w:ascii="Times New Roman" w:cs="Times New Roman" w:eastAsia="Times New Roman" w:hAnsi="Times New Roman"/>
          <w:sz w:val="22"/>
          <w:szCs w:val="22"/>
          <w:color w:val="auto"/>
        </w:rPr>
        <w:t>, or as updated in the Employee List, the employment of each employee of any Company Group member is terminable upon providing reasonable notice or pay in lieu of notice at common law.</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4.19(c)</w:t>
      </w:r>
      <w:r>
        <w:rPr>
          <w:rFonts w:ascii="Times New Roman" w:cs="Times New Roman" w:eastAsia="Times New Roman" w:hAnsi="Times New Roman"/>
          <w:sz w:val="22"/>
          <w:szCs w:val="22"/>
          <w:color w:val="auto"/>
        </w:rPr>
        <w:t xml:space="preserve"> of the Seller Disclosure Schedules, with respect to the Business Employees, each member of the Company Group is, and for the previous three (3) years has been, in compliance in all material respects with applicable Laws respecting labour and employment, including all Laws respecting or having jurisdiction over the terms and conditions of employment, occupational health and safety, wages and hours (including the classification and treatment of independent contractors and overtime exempt and non-exempt employees), child labour, immigration, employment discrimination, harassment, retaliation, pay transparency, disability rights or benefits, equal opportunity, plant closures and layoffs, affirmative action, workers’ compensation, employee leave issues, labour relations, privacy, unemployment insurance, employee trainings and notices, and whistleblower protections.</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reasonably investigated all sexual harassment, or other harassment, discrimination, or retaliation allegations against officers, directors, partners, contractors, employees or agents of the Company Group of which the applicable Company Group member is aware. With respect to each such allegation (except those the applicable Company Group member reasonably deemed to not have merit), the applicable member of the Company Group has taken prompt corrective action reasonably calculated to prevent further improper action. No such allegation is reasonably expected to result in material Liability to any member of the Company Group. To Seller’s Knowledge, there are no such allegations of harassment or discrimination that, if known to the public, would bring any of member of the Company Group or Seller into material disrepute.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4.20</w:t>
      </w:r>
      <w:r>
        <w:rPr>
          <w:sz w:val="20"/>
          <w:szCs w:val="20"/>
          <w:color w:val="auto"/>
        </w:rPr>
        <w:tab/>
      </w:r>
      <w:r>
        <w:rPr>
          <w:rFonts w:ascii="Times New Roman" w:cs="Times New Roman" w:eastAsia="Times New Roman" w:hAnsi="Times New Roman"/>
          <w:sz w:val="21"/>
          <w:szCs w:val="21"/>
          <w:b w:val="1"/>
          <w:bCs w:val="1"/>
          <w:color w:val="auto"/>
        </w:rPr>
        <w:t>Privacy Laws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complied in all material respects for the three (3) years immediately prior to the Execution Date and is complying in all material respects with all applicable Privacy Laws. No member of the Company Group has received any written complaint or notice of any breach or violation by it of any such Privacy Laws within the last three (3) years. All Personal Information of each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collected, used or disclosed with the consent of each individual to which such Personal Information relates (if such consent was required under applicable Privacy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92" w:name="page93"/>
    <w:bookmarkEnd w:id="92"/>
    <w:p>
      <w:pPr>
        <w:spacing w:after="0" w:line="63" w:lineRule="exact"/>
        <w:rPr>
          <w:sz w:val="20"/>
          <w:szCs w:val="20"/>
          <w:color w:val="auto"/>
        </w:rPr>
      </w:pPr>
    </w:p>
    <w:p>
      <w:pPr>
        <w:ind w:left="660" w:firstLine="1292"/>
        <w:spacing w:after="0" w:line="236" w:lineRule="auto"/>
        <w:tabs>
          <w:tab w:leader="none" w:pos="259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used only for the purposes for which the Personal Information was initially collected or for a subsequent purpose for which consent was subsequently obtained; and</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collected, used or disclosed for a purpose in respect of which consent may, under applicable Privacy Laws, be implied.</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has disclosed, made available or provided Personal Information to third parties for any purpose except in compliance with, or as required by, Privacy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has at all times provided proper notice of its privacy practices and obtained any necessary consents from data subjects required for the processing of Personal Information by or on its behalf. Such notices have not contained any omissions of its privacy practices and have not been misleading, deceptive or in violation of applicable Privacy Laws.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there has been no actual or suspected, unauthorized use, access or disclosure of any of the Company’s or any of the Subsidiaries’ data, including Personal Information.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4.21 Employee and Benefits Representations</w:t>
      </w:r>
      <w:r>
        <w:rPr>
          <w:rFonts w:ascii="Times New Roman" w:cs="Times New Roman" w:eastAsia="Times New Roman" w:hAnsi="Times New Roman"/>
          <w:sz w:val="22"/>
          <w:szCs w:val="22"/>
          <w:color w:val="auto"/>
        </w:rPr>
        <w:t>. Excluding any Benefit Plan created or implemented for the benefit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 CrudeCo or any Unselected Employees, as applicable, in connection with the Pre-Closing Reorganization or any Buyer Reorganization:</w:t>
      </w:r>
    </w:p>
    <w:p>
      <w:pPr>
        <w:spacing w:after="0" w:line="14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u w:val="single" w:color="auto"/>
          <w:color w:val="auto"/>
        </w:rPr>
        <w:t>Schedule 4.21(a)</w:t>
      </w:r>
      <w:r>
        <w:rPr>
          <w:rFonts w:ascii="Times New Roman" w:cs="Times New Roman" w:eastAsia="Times New Roman" w:hAnsi="Times New Roman"/>
          <w:sz w:val="21"/>
          <w:szCs w:val="21"/>
          <w:color w:val="auto"/>
        </w:rPr>
        <w:t xml:space="preserve"> of the Seller Disclosure Schedules includes a true and correct list of each material Seller</w:t>
      </w:r>
    </w:p>
    <w:p>
      <w:pPr>
        <w:spacing w:after="0"/>
        <w:rPr>
          <w:sz w:val="20"/>
          <w:szCs w:val="20"/>
          <w:color w:val="auto"/>
        </w:rPr>
      </w:pPr>
      <w:r>
        <w:rPr>
          <w:rFonts w:ascii="Times New Roman" w:cs="Times New Roman" w:eastAsia="Times New Roman" w:hAnsi="Times New Roman"/>
          <w:sz w:val="22"/>
          <w:szCs w:val="22"/>
          <w:color w:val="auto"/>
        </w:rPr>
        <w:t>Benefit Plan.</w:t>
      </w:r>
    </w:p>
    <w:p>
      <w:pPr>
        <w:spacing w:after="0" w:line="155" w:lineRule="exact"/>
        <w:rPr>
          <w:sz w:val="20"/>
          <w:szCs w:val="20"/>
          <w:color w:val="auto"/>
        </w:rPr>
      </w:pPr>
    </w:p>
    <w:p>
      <w:pPr>
        <w:ind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4.21(b)</w:t>
      </w:r>
      <w:r>
        <w:rPr>
          <w:rFonts w:ascii="Times New Roman" w:cs="Times New Roman" w:eastAsia="Times New Roman" w:hAnsi="Times New Roman"/>
          <w:sz w:val="22"/>
          <w:szCs w:val="22"/>
          <w:color w:val="auto"/>
        </w:rPr>
        <w:t xml:space="preserve"> of the Seller Disclosure Schedules includes a true and correct list of each material Company Benefit Plan.</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4.21(c)</w:t>
      </w:r>
      <w:r>
        <w:rPr>
          <w:rFonts w:ascii="Times New Roman" w:cs="Times New Roman" w:eastAsia="Times New Roman" w:hAnsi="Times New Roman"/>
          <w:sz w:val="22"/>
          <w:szCs w:val="22"/>
          <w:color w:val="auto"/>
        </w:rPr>
        <w:t xml:space="preserve"> of the Seller Disclosure Schedules, each material Seller Benefit Plan and Company Benefit Plan (other than any Union Plan) and related trust materially complies, as applicable, with all applicable Laws (including ERISA, the U.S. Tax Code, and applicable local Laws). Each applicable Seller Benefit Plan and Company Benefit Plan (other than any Union Plan) that is intended to be qualified under Section 401(a) of the U.S. Tax Code (a “</w:t>
      </w:r>
      <w:r>
        <w:rPr>
          <w:rFonts w:ascii="Times New Roman" w:cs="Times New Roman" w:eastAsia="Times New Roman" w:hAnsi="Times New Roman"/>
          <w:sz w:val="22"/>
          <w:szCs w:val="22"/>
          <w:b w:val="1"/>
          <w:bCs w:val="1"/>
          <w:i w:val="1"/>
          <w:iCs w:val="1"/>
          <w:color w:val="auto"/>
        </w:rPr>
        <w:t>Qualified Benefit Plan</w:t>
      </w:r>
      <w:r>
        <w:rPr>
          <w:rFonts w:ascii="Times New Roman" w:cs="Times New Roman" w:eastAsia="Times New Roman" w:hAnsi="Times New Roman"/>
          <w:sz w:val="22"/>
          <w:szCs w:val="22"/>
          <w:color w:val="auto"/>
        </w:rPr>
        <w:t>”) has received a favorable determination letter from the Internal Revenue Service, or with respect to a 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U.S. Tax Code, and nothing has occurred that could reasonably be expected to cause the revocation of such determination letter from the Internal Revenue Service or the unavailability of reliance on such opinion letter from the Internal Revenue Service. All benefits, contributions and premiums required by and due under the terms of each Seller Benefit Plan, Company Benefit Plan (other than any Union Plan) or applicable Law have been timely paid or accrued in material compliance with the terms of such Benefit Plan, the terms of all applicable Laws and GAAP. With respect to any Seller Benefit Plan or Company Benefit Plan (other than any Union Plan), no event has occurred or is reasonably expected to occur that has resulted in or would subject the Company to a Tax under Section 4971 of the U.S. Tax Code or the assets of the Company to a lien under Section 430(k) of the U.S. Tax Code.</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4.21(d)</w:t>
      </w:r>
      <w:r>
        <w:rPr>
          <w:rFonts w:ascii="Times New Roman" w:cs="Times New Roman" w:eastAsia="Times New Roman" w:hAnsi="Times New Roman"/>
          <w:sz w:val="22"/>
          <w:szCs w:val="22"/>
          <w:color w:val="auto"/>
        </w:rPr>
        <w:t xml:space="preserve"> of the Seller Disclosure Schedules, no Company Benefit Plan is, and no member of the Company Group: has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93" w:name="page94"/>
    <w:bookmarkEnd w:id="93"/>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Liabilities under or with respect to: a plan subject to Title IV of ERISA or is subject to the minimum funding standards of Section 302 of ERISA or Section 412 of the U.S. Tax Code; or is a “multi-employer plan” (as defined in Section 3(37) of ERISA). Neither Seller nor any member of the Company: (x) has withdrawn from any pension plan under circumstances resulting (or expected to result) in a liability to the Pension Benefit Guaranty Corporation or its successor; or (y) has engaged in any transaction which would give rise to a material Liability of a member of the Company Group or Buyer under Section 4069 or Section 4212(c) of ERISA.</w:t>
      </w:r>
    </w:p>
    <w:p>
      <w:pPr>
        <w:spacing w:after="0" w:line="152" w:lineRule="exact"/>
        <w:rPr>
          <w:sz w:val="20"/>
          <w:szCs w:val="20"/>
          <w:color w:val="auto"/>
        </w:rPr>
      </w:pPr>
    </w:p>
    <w:p>
      <w:pPr>
        <w:jc w:val="both"/>
        <w:ind w:firstLine="1304"/>
        <w:spacing w:after="0" w:line="220"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(other than any Multiemployer Plan) has been established, administered, funded and maintained in all material respects in compliance with its terms and all applicable Laws. No member of the Company Group has incurred any material Tax or other liability (whether or not assessed) pursuant to Sections 4980B, 4980D or 4980H of the U.S. Tax Code.</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all routine claims for benefits under any Company Benefit Plan, there are no claims that have been commenced or threatened in writing or, to Seller’s Knowledge, orally relating to the Company Benefit Plans.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Schedule 4.21(g)</w:t>
      </w:r>
      <w:r>
        <w:rPr>
          <w:rFonts w:ascii="Times New Roman" w:cs="Times New Roman" w:eastAsia="Times New Roman" w:hAnsi="Times New Roman"/>
          <w:sz w:val="21"/>
          <w:szCs w:val="21"/>
          <w:color w:val="auto"/>
        </w:rPr>
        <w:t xml:space="preserve"> of the Seller Disclosure Schedules, no Company Benefit Plan is a “registered pension plan”, as such term is defined in the Canadian Tax Act. Except as set forth in </w:t>
      </w:r>
      <w:r>
        <w:rPr>
          <w:rFonts w:ascii="Times New Roman" w:cs="Times New Roman" w:eastAsia="Times New Roman" w:hAnsi="Times New Roman"/>
          <w:sz w:val="21"/>
          <w:szCs w:val="21"/>
          <w:u w:val="single" w:color="auto"/>
          <w:color w:val="auto"/>
        </w:rPr>
        <w:t>Schedule 4.21(b)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4.21(g)</w:t>
      </w:r>
      <w:r>
        <w:rPr>
          <w:rFonts w:ascii="Times New Roman" w:cs="Times New Roman" w:eastAsia="Times New Roman" w:hAnsi="Times New Roman"/>
          <w:sz w:val="21"/>
          <w:szCs w:val="21"/>
          <w:color w:val="auto"/>
        </w:rPr>
        <w:t xml:space="preserve"> of the Seller Disclosure Schedules, no Company Benefit Plan or Seller Benefit Plan provides health and welfare benefits after retirement or other termination of service, except as required by applicable employment standards legislation. Each Company Benefit Plan or Seller Benefit Plan that is intended to be registered under the Canadian Tax Act is so registered, and, to Seller’s Knowledge, nothing has occurred that could reasonably be expected to cause the revocation of such registration.</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Schedule 4.21(h)</w:t>
      </w:r>
      <w:r>
        <w:rPr>
          <w:rFonts w:ascii="Times New Roman" w:cs="Times New Roman" w:eastAsia="Times New Roman" w:hAnsi="Times New Roman"/>
          <w:sz w:val="22"/>
          <w:szCs w:val="22"/>
          <w:color w:val="auto"/>
        </w:rPr>
        <w:t xml:space="preserve"> of the Seller Disclosure Schedules, neither the execution and delivery of this Agreement, nor the consummation of the transactions contemplated hereby could, either alone or in combination with another event, entitle any current or former employee or other individual service provider of any member of the Company Group to any payment of compensation or benefits or any increase in compensation or benefits, or accelerate the time of payment or vesting or result in any increase in, or funding (through a grantor trust or otherwise) of, compensation or benefits under, or result in any other obligation pursuant to, any of the Company Benefit Plans.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Benefit Plan that constitutes in any part a “nonqualified deferred compensation plan” (as defined under Section 409A(d)(1) 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under Section 409A of the Code.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4.22</w:t>
      </w:r>
      <w:r>
        <w:rPr>
          <w:sz w:val="20"/>
          <w:szCs w:val="20"/>
          <w:color w:val="auto"/>
        </w:rPr>
        <w:tab/>
      </w:r>
      <w:r>
        <w:rPr>
          <w:rFonts w:ascii="Times New Roman" w:cs="Times New Roman" w:eastAsia="Times New Roman" w:hAnsi="Times New Roman"/>
          <w:sz w:val="21"/>
          <w:szCs w:val="21"/>
          <w:b w:val="1"/>
          <w:bCs w:val="1"/>
          <w:color w:val="auto"/>
        </w:rPr>
        <w:t>Environmental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Company Group is, and during the past three (3) years has been, in compliance in all material respects with all Environmental Laws and is not subject to any outstanding material obligations, liabilities or restrictions related to resolutions of past violations of Environmental Laws. No member of the Company Group has received any written orders, demands or notices from any Governmental Entity regarding a breach or alleged breach of any Environmental Law applicable to the business of any member of the Company Group that require any action, cessation of an activity, investigation, or remediation, in each case which has not been complied with or remains outstanding in any material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94" w:name="page95"/>
    <w:bookmarkEnd w:id="94"/>
    <w:p>
      <w:pPr>
        <w:spacing w:after="0" w:line="63" w:lineRule="exact"/>
        <w:rPr>
          <w:sz w:val="20"/>
          <w:szCs w:val="20"/>
          <w:color w:val="auto"/>
        </w:rPr>
      </w:pPr>
    </w:p>
    <w:p>
      <w:pPr>
        <w:jc w:val="both"/>
        <w:ind w:firstLine="1304"/>
        <w:spacing w:after="0" w:line="225"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been any reportable Release of Hazardous Materials by any member of the Company Group or, to Seller’s Knowledge, any other Person that: has not been resolved in accordance with applicable Laws in all material respects and could reasonably be expected to result in material Liability of any member of the Company Group.</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provided or otherwise made available to Buyer true and complete copies of all material written environmental assessments, audits, studies, reports and investigations prepared for any member of the Company Group in the three (3) years preceding the Execution Date, that are in Seller’s or any Seller Affiliate’s possession or control that relate to matters governed by Environmental Laws in respect of the operations of any member of the Company Group.</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writs, injunctions, decrees, orders or judgments outstanding from, or any actions, suits or proceedings, that have commenced before any Governmental Entity or, to Seller’s Knowledge, that have been threatened in writing against any member of the Company Group concerning any such member or the assets, properties or operations of any member of the Company Group that would reasonably be expected to result in material Liability under any applicable Environmental Law or Environmental Permit.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4.23 Intellectual Property</w:t>
      </w:r>
      <w:r>
        <w:rPr>
          <w:rFonts w:ascii="Times New Roman" w:cs="Times New Roman" w:eastAsia="Times New Roman" w:hAnsi="Times New Roman"/>
          <w:sz w:val="22"/>
          <w:szCs w:val="22"/>
          <w:color w:val="auto"/>
        </w:rPr>
        <w:t>. The Company Group owns or licenses, or otherwise has the right to use, all Intellectual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that is material to the conduct of their businesses as now being conducted. The operation of the Company Group’s businesses does not infringe on the Intellectual Property rights of any Person, and, to Seller’s Knowledge, no Person is infringing on any rights of any member of the Company Group with respect to any Intellectual Property.</w:t>
      </w:r>
    </w:p>
    <w:p>
      <w:pPr>
        <w:spacing w:after="0" w:line="14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4.24 Insurance</w:t>
      </w:r>
      <w:r>
        <w:rPr>
          <w:rFonts w:ascii="Times New Roman" w:cs="Times New Roman" w:eastAsia="Times New Roman" w:hAnsi="Times New Roman"/>
          <w:sz w:val="22"/>
          <w:szCs w:val="22"/>
          <w:color w:val="auto"/>
        </w:rPr>
        <w:t>.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is a complete and accurate list of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general liability, third-party offsite pollution liability, automobile liability, workers’ compensation and employers’ liability, umbrella/excess liability and directors’ and officers’ liability insurance currently issued to any Person for the benefit of the Company Group. Except as set forth in the Seller Disclosure Schedules, all insurance policies set forth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of the Seller Disclosure Schedules are in full force, all premiums currently due with respect thereto have been paid, there is no claim commenced and pending under any such policies as to which coverage has been denied by the insurer other than customary indications as to reservation of rights by insurers listed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and no written notice has been received by any member of the Company Group that would reasonably result in the cancellation, alteration of coverage or non-renewal of any insurance policy set forth in </w:t>
      </w:r>
      <w:r>
        <w:rPr>
          <w:rFonts w:ascii="Times New Roman" w:cs="Times New Roman" w:eastAsia="Times New Roman" w:hAnsi="Times New Roman"/>
          <w:sz w:val="22"/>
          <w:szCs w:val="22"/>
          <w:u w:val="single" w:color="auto"/>
          <w:color w:val="auto"/>
        </w:rPr>
        <w:t>Schedule 4.24</w:t>
      </w:r>
      <w:r>
        <w:rPr>
          <w:rFonts w:ascii="Times New Roman" w:cs="Times New Roman" w:eastAsia="Times New Roman" w:hAnsi="Times New Roman"/>
          <w:sz w:val="22"/>
          <w:szCs w:val="22"/>
          <w:color w:val="auto"/>
        </w:rPr>
        <w:t xml:space="preserve"> of the Seller Disclosure Schedules.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4.25 Records</w:t>
      </w:r>
      <w:r>
        <w:rPr>
          <w:rFonts w:ascii="Times New Roman" w:cs="Times New Roman" w:eastAsia="Times New Roman" w:hAnsi="Times New Roman"/>
          <w:sz w:val="22"/>
          <w:szCs w:val="22"/>
          <w:color w:val="auto"/>
        </w:rPr>
        <w:t>. All records with respect to the Company Group (excluding the Financial Statements,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addressed in </w:t>
      </w:r>
      <w:r>
        <w:rPr>
          <w:rFonts w:ascii="Times New Roman" w:cs="Times New Roman" w:eastAsia="Times New Roman" w:hAnsi="Times New Roman"/>
          <w:sz w:val="22"/>
          <w:szCs w:val="22"/>
          <w:u w:val="single" w:color="auto"/>
          <w:color w:val="auto"/>
        </w:rPr>
        <w:t>Section 4.10</w:t>
      </w:r>
      <w:r>
        <w:rPr>
          <w:rFonts w:ascii="Times New Roman" w:cs="Times New Roman" w:eastAsia="Times New Roman" w:hAnsi="Times New Roman"/>
          <w:sz w:val="22"/>
          <w:szCs w:val="22"/>
          <w:color w:val="auto"/>
        </w:rPr>
        <w:t>) are complete in all material respects, have been maintained in all material respects in accordance with reasonable business practices for businesses and companies similarly situated to the Company Group, including the maintenance of an adequate system of internal controls that are customary for reasonable business practices for businesses and companies similarly situated to the Company Group and have been kept with reasonable detail so that such books, records and files accurately and fairly reflect in all material respects, the transactions, acquisitions and dispositions of the Company Group.</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4.26 Bank Accounts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lists all of the banks and other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institutions with which any member of the Company Group has an account and the type of each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95" w:name="page96"/>
    <w:bookmarkEnd w:id="95"/>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4.27</w:t>
      </w:r>
      <w:r>
        <w:rPr>
          <w:sz w:val="20"/>
          <w:szCs w:val="20"/>
          <w:color w:val="auto"/>
        </w:rPr>
        <w:tab/>
      </w:r>
      <w:r>
        <w:rPr>
          <w:rFonts w:ascii="Times New Roman" w:cs="Times New Roman" w:eastAsia="Times New Roman" w:hAnsi="Times New Roman"/>
          <w:sz w:val="21"/>
          <w:szCs w:val="21"/>
          <w:b w:val="1"/>
          <w:bCs w:val="1"/>
          <w:color w:val="auto"/>
        </w:rPr>
        <w:t>Sanctions Compliance; Anti-Corruption; Anti-Money Laundering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this Agreement and the other Transaction Documents and the transactions contemplated hereby and thereby, the Company Group has (i) since the date that is five (5) years prior to the Execution Date, conducted its businesses in material compliance with applicable Anti-Corruption Laws and AML Laws and have instituted and maintained policies and procedures reasonably designed to promote and achieve compliance with such Laws and (ii) since April 24, 2019, conducted its businesses in material compliance with applicable Sanctions and has instituted and maintain policies and procedures reasonably designed to promote and achieve compliance with such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Group have since the date that is six (6) years prior to the Execution Date been conducted, in connection with this Agreement and the other Transaction Documents and the transactions contemplated hereby and thereby, in material compliance with AML Laws and Laws in respect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Group member is not, and has not been during the five (5)-year period prior to the Execution Date, the subject of any review, investigation, inquiry, or enforcement proceedings by any Governmental Entity with respect to any potential or alleged violation of Anti-Corruption Laws or Sanctions, nor to Seller’s Knowledge is such a review, investigation, inquiry, or enforcement proceeding threatened.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member of the Company Group is a Person that is, or is directly or indirectly owned fifty percent (50%) or greater or controlled by, a Person or Persons that is or are the subject of any Sanctions or located, organized or resident in a country or territory that is the subject of comprehensive Sanctions (at the time of this Agreement, the Crimea, so-called Donetsk People’s Republic, Kherson, the so-called Luhansk People’s Republic, and Zaporizhzhia regions of Ukraine, Cuba, Iran, North Korea and Syria, each, a “</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4.28 Credit Support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4.28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Seller Disclosure Schedules sets forth a complete and accurate list,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Date, of all Credit Support posted by any member of the Company Group or any Affiliate thereof with respect to, or on behalf of, or by, any member of the Company Group and of all Overlapping Credit Support.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4.29 Sufficiency of Assets</w:t>
      </w:r>
      <w:r>
        <w:rPr>
          <w:rFonts w:ascii="Times New Roman" w:cs="Times New Roman" w:eastAsia="Times New Roman" w:hAnsi="Times New Roman"/>
          <w:sz w:val="22"/>
          <w:szCs w:val="22"/>
          <w:color w:val="auto"/>
        </w:rPr>
        <w:t>. Except as would not, individually or in the aggregate, be material to the Company Group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(taken as a whole), the assets and properties of the Company Group, excluding the Seller Retained Assets, are sufficient to carry on the Business as conducted as of the Execution Date, and the transfer of the Seller Retained Assets pursuant to the Pre-Closing Reorganization will not impair the sufficiency of such assets and properties immediately after Closing.</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4.30 Condition of Assets</w:t>
      </w:r>
      <w:r>
        <w:rPr>
          <w:rFonts w:ascii="Times New Roman" w:cs="Times New Roman" w:eastAsia="Times New Roman" w:hAnsi="Times New Roman"/>
          <w:sz w:val="22"/>
          <w:szCs w:val="22"/>
          <w:color w:val="auto"/>
        </w:rPr>
        <w:t>. All tangible personal property, including the Facilities and Pipelines, that is owned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member of the Company Group are in good working order considering due allowance for use, scheduled maintenance, age and reasonable wear and tear, except as would not, individually or in the aggregate, be material to the Company Group (taken as a whole).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4.31</w:t>
      </w:r>
      <w:r>
        <w:rPr>
          <w:sz w:val="20"/>
          <w:szCs w:val="20"/>
          <w:color w:val="auto"/>
        </w:rPr>
        <w:tab/>
      </w:r>
      <w:r>
        <w:rPr>
          <w:rFonts w:ascii="Times New Roman" w:cs="Times New Roman" w:eastAsia="Times New Roman" w:hAnsi="Times New Roman"/>
          <w:sz w:val="21"/>
          <w:szCs w:val="21"/>
          <w:b w:val="1"/>
          <w:bCs w:val="1"/>
          <w:color w:val="auto"/>
        </w:rPr>
        <w:t>Information Technology and Cybersecurity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Corporate IT is operational and sufficient for the continued conduct of the Business in the ordinary course as of the Execution Date. Each member of the Company Group has taken reasonable steps, consistent with customary industry practice, designed to protect the security and integrity of all such Corporate IT, including having in place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96" w:name="page97"/>
    <w:bookmarkEnd w:id="96"/>
    <w:p>
      <w:pPr>
        <w:spacing w:after="0" w:line="6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physical, organizational and technological security measures, processes and safeguards to secure the Corporate IT and business data from unauthorized use, copying, disclosure, modification, theft, destruction, threats and Disabling Codes.</w:t>
      </w:r>
    </w:p>
    <w:p>
      <w:pPr>
        <w:spacing w:after="0" w:line="150" w:lineRule="exact"/>
        <w:rPr>
          <w:sz w:val="20"/>
          <w:szCs w:val="20"/>
          <w:color w:val="auto"/>
        </w:rPr>
      </w:pPr>
    </w:p>
    <w:p>
      <w:pPr>
        <w:ind w:right="20" w:firstLine="1304"/>
        <w:spacing w:after="0" w:line="236"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there has been no material security incident relating to the Corporate IT, and the Corporate IT is being used and operated in material compliance with all applicable Privacy Laws.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Seller’s Knowledge, no software or Corporate IT contains any Disabling Codes, and each member of the Company Group has implemented and maintains measures consistent with industry standards designed to prevent the introduction of Disabling Codes into the Corporate IT, including firewall protections and regular virus scans.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member of the Company Group maintains commercially reasonable data back-up procedures and data recovery procedures and tools designed to provide protection in the event of a failure of the Corporate IT. Disaster recovery plans are in place for and are designed to ensure that, in the event of a failure of the Corporate IT operated by or on behalf of the Business, such Corporate IT and the data contained therein can be recovered or replaced by the Company or a Subsidiary, as appropriate, without material disruption to the Business.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4.32 Quiet Enjoyment</w:t>
      </w:r>
      <w:r>
        <w:rPr>
          <w:rFonts w:ascii="Times New Roman" w:cs="Times New Roman" w:eastAsia="Times New Roman" w:hAnsi="Times New Roman"/>
          <w:sz w:val="22"/>
          <w:szCs w:val="22"/>
          <w:color w:val="auto"/>
        </w:rPr>
        <w:t>. Subject to the Permitted Encumbrances and except as would not reasonably be expected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 Material Adverse Effect, each member of the Company Group shall after Closing be entitled to hold and enjoy its respective interests in its property and assets, including the Facilities and the Pipelines, for its own use and benefit without any lawful interruption of or by any Person.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4.33 Pipeline and Processing Plant Records</w:t>
      </w:r>
      <w:r>
        <w:rPr>
          <w:rFonts w:ascii="Times New Roman" w:cs="Times New Roman" w:eastAsia="Times New Roman" w:hAnsi="Times New Roman"/>
          <w:sz w:val="22"/>
          <w:szCs w:val="22"/>
          <w:color w:val="auto"/>
        </w:rPr>
        <w:t>. Each member of the Company Group has in its possession and has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available to Buyer prior to the Execution Date all records as of the Execution Date as required under: (a) the Alberta Pipeline Rules (which includes CSA Z662: Oil and Gas Pipeline Systems), as applicable to the Facilities and Pipelines that are regulated by the Alberta Energy Regulator; and (b) the Canada Energy Regulator Onshore Pipeline Regulations and the Canada Energy Regulator Processing Plant Regulations, as applicable to the Facilities and Pipelines that are regulated by the Canada Energy Regulator.</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other terms and conditions of this Agreement, Buyer hereby represents and warrants to Seller as of the Execution Date (other than representations and warranties made as of another specified date, in which case, as of such specified date), as follows:</w:t>
      </w:r>
    </w:p>
    <w:p>
      <w:pPr>
        <w:spacing w:after="0" w:line="15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5.1 Organization; Qualification</w:t>
      </w:r>
      <w:r>
        <w:rPr>
          <w:rFonts w:ascii="Times New Roman" w:cs="Times New Roman" w:eastAsia="Times New Roman" w:hAnsi="Times New Roman"/>
          <w:sz w:val="22"/>
          <w:szCs w:val="22"/>
          <w:color w:val="auto"/>
        </w:rPr>
        <w:t>. Buyer is a legal entity duly formed, validly existing and in good standing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of the Province of Alberta and has all organizational power and authority to own, lease and operate its properties and to carry on its business as it is now being conducted, and is duly qualified, registered or licensed to do business as a foreign entity and is in good standing in each jurisdiction in which the property owned, leased or operated by it or the nature of its business makes such qualification necessary, except where the failure to be so duly qualified, registered or licensed and in good standing would not reasonably be expected to, prevent or materially delay the consummation of the transaction contemplated by the Transaction Documents to which it is, or will be,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Authority; Enforceability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the requisite power and authority to execute and deliver the Transaction Documents to which it is, or will be, a party, and to consummate the transactions contemplated hereby and thereby. The execution and delivery by Buyer of the Transaction Documents to which it is, or will be, a party, and the consummation by Buyer of the transactions contemplated hereby and thereby, have been duly authorized by Buyer, and no other proceedings on the part of Buyer are necessary to authorize the Transaction Documents with which it is, or will be, a party or to consummate the transaction contemplated by the Transaction Documents to which it is, or will be, a party.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Documents to which Buyer is, or will be, a party have been (or will be, when executed and delivered at the Closing) duly executed and delivered by Buyer, and, assuming the due authorization, execution and delivery by the other parties thereto, each Transaction Document to which Buyer is, or will be, a party constitutes (or will constitute, when executed and delivered at the Closing) the valid and binding agreement of Buyer, enforceable against Buyer in accordance with its terms, except as such enforceability may be limited by Creditors’ Rights.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5.3 Non-Contravention</w:t>
      </w:r>
      <w:r>
        <w:rPr>
          <w:rFonts w:ascii="Times New Roman" w:cs="Times New Roman" w:eastAsia="Times New Roman" w:hAnsi="Times New Roman"/>
          <w:sz w:val="21"/>
          <w:szCs w:val="21"/>
          <w:color w:val="auto"/>
        </w:rPr>
        <w:t>. The execution, delivery and performance of the Transaction Documents to which Buyer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will be, a party by Buyer and the consummation by Buyer of the transactions contemplated hereby or thereby does not and will not: result in any breach of any provision of the Organizational Documents of Buyer; constitute a default (or an event that with notice or passage of time or both would give rise to a default) under, or give rise to any right of termination, cancellation, amendment or acceleration (with or without the giving of notice or passage of time or both) under, any of the terms, conditions or provisions of any material Contract to which Buyer is a party or by which any property or asset of Buyer is bound or affected; or except for any requisite Governmental Approvals described in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violate any Law to which Buyer is subject or by which any of Buyer’s properties or assets are bound, except, in the case of </w:t>
      </w:r>
      <w:r>
        <w:rPr>
          <w:rFonts w:ascii="Times New Roman" w:cs="Times New Roman" w:eastAsia="Times New Roman" w:hAnsi="Times New Roman"/>
          <w:sz w:val="21"/>
          <w:szCs w:val="21"/>
          <w:u w:val="single" w:color="auto"/>
          <w:color w:val="auto"/>
        </w:rPr>
        <w:t>clauses 5.3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5.3</w:t>
      </w:r>
      <w:r>
        <w:rPr>
          <w:rFonts w:ascii="Times New Roman" w:cs="Times New Roman" w:eastAsia="Times New Roman" w:hAnsi="Times New Roman"/>
          <w:sz w:val="21"/>
          <w:szCs w:val="21"/>
          <w:color w:val="auto"/>
        </w:rPr>
        <w:t>, for such defaults or rights of termination, cancellation, amendment or acceleration or violations as would not reasonably be expected to prevent or materially delay the consummation of the transactions contemplated by the Transaction Documents to which Buyer is, or will be, a party.</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5.4 Governmental Approvals</w:t>
      </w:r>
      <w:r>
        <w:rPr>
          <w:rFonts w:ascii="Times New Roman" w:cs="Times New Roman" w:eastAsia="Times New Roman" w:hAnsi="Times New Roman"/>
          <w:sz w:val="22"/>
          <w:szCs w:val="22"/>
          <w:color w:val="auto"/>
        </w:rPr>
        <w:t>. No declaration, filing or registration with, or notice to, or authorization, consent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 of, any Governmental Entity or any other Person is necessary for the consummation by Buyer of the transactions contemplated by the Transaction Documents to which it is a party, other than in respect of the Required Regulatory Approvals; and such other declarations, filings, registrations, notices, authorizations, consents or approvals that are customarily made or obtained after the consummation of transactions similar to the Closing or if not obtained or made, would not reasonably be expected to prevent or materially delay the consummation of the transactions contemplated by the Transaction Documents to which Buyer is, or will be, a party.</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5.5 Financing</w:t>
      </w:r>
      <w:r>
        <w:rPr>
          <w:rFonts w:ascii="Times New Roman" w:cs="Times New Roman" w:eastAsia="Times New Roman" w:hAnsi="Times New Roman"/>
          <w:sz w:val="22"/>
          <w:szCs w:val="22"/>
          <w:color w:val="auto"/>
        </w:rPr>
        <w:t>. Buyer will have at Closing sufficient cash on hand or other sources of immediately available funds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enable it to consummate the transactions contemplated by this Agreement and to satisfy its obligations under this Agreement, including for Buyer to pay the aggregate amounts payable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the payment of all fees, costs and expenses to be paid by Buyer related to the transactions contemplated by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5.6 Legal Proceedings</w:t>
      </w:r>
      <w:r>
        <w:rPr>
          <w:rFonts w:ascii="Times New Roman" w:cs="Times New Roman" w:eastAsia="Times New Roman" w:hAnsi="Times New Roman"/>
          <w:sz w:val="22"/>
          <w:szCs w:val="22"/>
          <w:color w:val="auto"/>
        </w:rPr>
        <w:t>. There are no Proceedings that have been commenced or, to Buyer’s Knowledge, threatened,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against Buyer or any Affiliate of Buyer that is party to any Transaction Document that seeks to restrain or prohibit the consummation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5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5.7 Brokerage Fees</w:t>
      </w:r>
      <w:r>
        <w:rPr>
          <w:rFonts w:ascii="Times New Roman" w:cs="Times New Roman" w:eastAsia="Times New Roman" w:hAnsi="Times New Roman"/>
          <w:sz w:val="22"/>
          <w:szCs w:val="22"/>
          <w:color w:val="auto"/>
        </w:rPr>
        <w:t>. No broker, investment banker, financial advisor or other Person is entitled to any broker’s,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finder’s, financial advisor’s or other similar fee or commission in connection with the transactions contemplated by this Agreement based upon arrangements made by or on behalf of Buyer for which Seller or any member of the Company Group shall have any responsibility.</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5.8 R&amp;W Policy</w:t>
      </w:r>
      <w:r>
        <w:rPr>
          <w:rFonts w:ascii="Times New Roman" w:cs="Times New Roman" w:eastAsia="Times New Roman" w:hAnsi="Times New Roman"/>
          <w:sz w:val="22"/>
          <w:szCs w:val="22"/>
          <w:color w:val="auto"/>
        </w:rPr>
        <w:t>. Buyer has obtained a conditional binder agreement pertaining to the R&amp;W Policy, a true and correct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copy of which is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R&amp;W Binder Agreement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5.9 Purchaser as Principal</w:t>
      </w:r>
      <w:r>
        <w:rPr>
          <w:rFonts w:ascii="Times New Roman" w:cs="Times New Roman" w:eastAsia="Times New Roman" w:hAnsi="Times New Roman"/>
          <w:sz w:val="22"/>
          <w:szCs w:val="22"/>
          <w:color w:val="auto"/>
        </w:rPr>
        <w:t>. Buyer is an “accredited investor” as that term is defined in National Instrument 45-106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Exemptions promulgated under the Securities Act. Buyer is acquiring the Purchased Shares in its capacity as principal, and is not purchasing the Purchased Shares for the purpose of resale or distribution.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5.10 Independent Investigation</w:t>
      </w:r>
      <w:r>
        <w:rPr>
          <w:rFonts w:ascii="Times New Roman" w:cs="Times New Roman" w:eastAsia="Times New Roman" w:hAnsi="Times New Roman"/>
          <w:sz w:val="22"/>
          <w:szCs w:val="22"/>
          <w:color w:val="auto"/>
        </w:rPr>
        <w:t>. Except for the representations and warranties expressly made by Seller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in the certificate to be delivered to Buyer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Buyer acknowledges that there are no representations or warranties, express or implied, as to the financial condition, assets, liabilities, equity, operations, business or prospects of the Company Group or any Affiliate thereof, and that in making its decision to enter into this Agreement and to consummate the transactions contemplated hereby, Buyer has relied solely upon the representations and warranties expressly made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4ARTICLE 4</w:t>
      </w:r>
      <w:r>
        <w:rPr>
          <w:rFonts w:ascii="Times New Roman" w:cs="Times New Roman" w:eastAsia="Times New Roman" w:hAnsi="Times New Roman"/>
          <w:sz w:val="22"/>
          <w:szCs w:val="22"/>
          <w:color w:val="auto"/>
        </w:rPr>
        <w:t xml:space="preserve"> and its own independent investigation, verification, analysis and evaluation.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Sanctions Compliance; Anti-Corruption; Anti-Money Laundering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this Agreement and the other Transaction Documents and the transactions contemplated hereby and thereby, Buyer and, to Buyer’s Knowledge, its Affiliates have (i) since the date that is five (5) years prior to the Execution Date, conducted their businesses in material compliance with applicable Anti-Corruption Laws and AML Laws and have instituted and maintained policies and procedures reasonably designed to promote and achieve compliance with such Laws and (ii) since April 24, 2019, conducted their businesses in material compliance with applicable Sanctions and has instituted and maintain policies and procedures reasonably designed to promote and achieve compliance with such Laws.</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Buyer and, to Buyer’s Knowledge, its Affiliates have been, conducted, in connection with this Agreement and the other Transaction Documents and the transactions contemplated hereby and thereby, in material compliance with AML Laws and Laws in respect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not the subject of any review, investigation, inquiry, or enforcement proceedings by any Governmental Entity with respect to any violation of Anti-Corruption Laws or Sanctions, nor to Buyer’s Knowledge is such a review, investigation, inquiry, or enforcement proceeding threatened.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any of its Affiliates is a Person that is, or is directly or indirectly owned fifty percent (50%) or greater or controlled by, a Person or Persons that is or are the subject of any Sanctions or located, organized or resident in a Sanctioned Country.</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Investment Canada Act</w:t>
      </w:r>
      <w:r>
        <w:rPr>
          <w:rFonts w:ascii="Times New Roman" w:cs="Times New Roman" w:eastAsia="Times New Roman" w:hAnsi="Times New Roman"/>
          <w:sz w:val="21"/>
          <w:szCs w:val="21"/>
          <w:color w:val="auto"/>
        </w:rPr>
        <w:t>. Buyer is not a “non-Canadian” within the meaning of the Investment Canada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040"/>
        <w:spacing w:after="0"/>
        <w:rPr>
          <w:sz w:val="20"/>
          <w:szCs w:val="20"/>
          <w:color w:val="auto"/>
        </w:rPr>
      </w:pPr>
      <w:r>
        <w:rPr>
          <w:rFonts w:ascii="Times New Roman" w:cs="Times New Roman" w:eastAsia="Times New Roman" w:hAnsi="Times New Roman"/>
          <w:sz w:val="22"/>
          <w:szCs w:val="22"/>
          <w:b w:val="1"/>
          <w:bCs w:val="1"/>
          <w:color w:val="auto"/>
        </w:rPr>
        <w:t>COVENANTS OF THE PARTIES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Conduct of Business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Interim Period</w:t>
      </w:r>
      <w:r>
        <w:rPr>
          <w:rFonts w:ascii="Times New Roman" w:cs="Times New Roman" w:eastAsia="Times New Roman" w:hAnsi="Times New Roman"/>
          <w:sz w:val="22"/>
          <w:szCs w:val="22"/>
          <w:color w:val="auto"/>
        </w:rPr>
        <w:t xml:space="preserve">”), Seller shall cause the Company Group to conduct its operations in the ordinary course of business except as expressly contemplated by the terms of this Agreement, described in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of the Seller Disclosure Schedules, described in or contemplated in the Capex Forecast set forth in </w:t>
      </w:r>
      <w:r>
        <w:rPr>
          <w:rFonts w:ascii="Times New Roman" w:cs="Times New Roman" w:eastAsia="Times New Roman" w:hAnsi="Times New Roman"/>
          <w:sz w:val="22"/>
          <w:szCs w:val="22"/>
          <w:u w:val="single" w:color="auto"/>
          <w:color w:val="auto"/>
        </w:rPr>
        <w:t>Exhibit O (Capital Forecast)</w:t>
      </w:r>
      <w:r>
        <w:rPr>
          <w:rFonts w:ascii="Times New Roman" w:cs="Times New Roman" w:eastAsia="Times New Roman" w:hAnsi="Times New Roman"/>
          <w:sz w:val="22"/>
          <w:szCs w:val="22"/>
          <w:color w:val="auto"/>
        </w:rPr>
        <w:t xml:space="preserve">, expressly contemplated by or as reasonably necessary to implement the Pre-Closing Reorganization, as amended by any Permitted Amendments, or any Buyer Reorganization, with respect to the Seller Retained Assets, consented to or approved in writing by Buyer (such consent or approval not to be unreasonably withheld, conditioned or delayed), required by applicable Law or any Permit or Contract, is necessary in the event of an emergency, disaster, catastrophe, or other similar emergency condition to protect life, property or the Environment or any repairs or material maintenance to the assets of the Company Group that Seller or the Company Group reasonably determines are necessary to maintain the safety and integrity of the Company Group assets or due to breakdown or casualty occurring after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Seller shall notify Buyer prior to performing such material repairs and maintenance, which notice shall contain a reasonable description of the work to be performed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 collectively, the “</w:t>
      </w:r>
      <w:r>
        <w:rPr>
          <w:rFonts w:ascii="Times New Roman" w:cs="Times New Roman" w:eastAsia="Times New Roman" w:hAnsi="Times New Roman"/>
          <w:sz w:val="22"/>
          <w:szCs w:val="22"/>
          <w:b w:val="1"/>
          <w:bCs w:val="1"/>
          <w:i w:val="1"/>
          <w:i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 Exceptions</w:t>
      </w:r>
      <w:r>
        <w:rPr>
          <w:rFonts w:ascii="Times New Roman" w:cs="Times New Roman" w:eastAsia="Times New Roman" w:hAnsi="Times New Roman"/>
          <w:sz w:val="22"/>
          <w:szCs w:val="22"/>
          <w:color w:val="auto"/>
        </w:rPr>
        <w:t>”).</w:t>
      </w:r>
    </w:p>
    <w:p>
      <w:pPr>
        <w:spacing w:after="0" w:line="16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from the Execution Date until the Closing or termination of this Agreement as provided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Company Group to:</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and comply in all material respects with all of the Company Group’s obligations under the</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Material Contracts;</w:t>
      </w:r>
    </w:p>
    <w:p>
      <w:pPr>
        <w:spacing w:after="0" w:line="155" w:lineRule="exact"/>
        <w:rPr>
          <w:rFonts w:ascii="Times New Roman" w:cs="Times New Roman" w:eastAsia="Times New Roman" w:hAnsi="Times New Roman"/>
          <w:sz w:val="21"/>
          <w:szCs w:val="21"/>
          <w:color w:val="auto"/>
        </w:rPr>
      </w:pPr>
    </w:p>
    <w:p>
      <w:pPr>
        <w:ind w:left="660" w:right="20" w:firstLine="1292"/>
        <w:spacing w:after="0" w:line="236" w:lineRule="auto"/>
        <w:tabs>
          <w:tab w:leader="none" w:pos="259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periodically report on a monthly basis via telephonic meeting with a representative of Buyer designated by Buyer by written notice to Seller prior to such call concerning the state of the Company Group assets;</w:t>
      </w:r>
    </w:p>
    <w:p>
      <w:pPr>
        <w:spacing w:after="0" w:line="144"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604"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 with Buyer to identify [commercially sensitive employee information redacted] (the “</w:t>
      </w:r>
      <w:r>
        <w:rPr>
          <w:rFonts w:ascii="Times New Roman" w:cs="Times New Roman" w:eastAsia="Times New Roman" w:hAnsi="Times New Roman"/>
          <w:sz w:val="22"/>
          <w:szCs w:val="22"/>
          <w:b w:val="1"/>
          <w:bCs w:val="1"/>
          <w:i w:val="1"/>
          <w:iCs w:val="1"/>
          <w:color w:val="auto"/>
        </w:rPr>
        <w:t>Key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Employees</w:t>
      </w:r>
      <w:r>
        <w:rPr>
          <w:rFonts w:ascii="Times New Roman" w:cs="Times New Roman" w:eastAsia="Times New Roman" w:hAnsi="Times New Roman"/>
          <w:sz w:val="22"/>
          <w:szCs w:val="22"/>
          <w:color w:val="auto"/>
        </w:rPr>
        <w:t>”), [commercially sensitive employment obligations redacted] and [commercially sensitive employment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obligations redacted];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and on a timely basis file all Tax Returns required to be filed by the Company Group member in a manner consistent with past practice (except where otherwise required by applicable Laws) and all such Tax Returns will be true, complete and correct in all material respects;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and timely pay all Taxes required to be paid by the Company Group, whether or not shown on any Tax Return, on or after the date hereof and prior to the Closing Date;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Buyer in writing of any audits or investigations with respect to Taxes or Tax Returns of any member of the Company Group and any material changes or updates relating to the Canadian Tax Proceedings;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properly reserve (and reflect such reserves in its books and records and financial statements, including the Financial Statements) for all Taxes accruing in respect of each member of the Company Group which are not due or payable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63"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22"/>
          <w:szCs w:val="22"/>
          <w:color w:val="auto"/>
        </w:rPr>
        <w:t>Closing Date in a manner consistent with past practice and in accordance with the provisions of applicable Laws relating to Taxes; and</w:t>
      </w:r>
    </w:p>
    <w:p>
      <w:pPr>
        <w:spacing w:after="0" w:line="150" w:lineRule="exact"/>
        <w:rPr>
          <w:sz w:val="20"/>
          <w:szCs w:val="20"/>
          <w:color w:val="auto"/>
        </w:rPr>
      </w:pPr>
    </w:p>
    <w:p>
      <w:pPr>
        <w:ind w:left="660" w:firstLine="1292"/>
        <w:spacing w:after="0" w:line="236" w:lineRule="auto"/>
        <w:tabs>
          <w:tab w:leader="none" w:pos="260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and timely withhold, collect, remit and pay all Taxes which are to be withheld, collected, remitted or paid by any member of the Company Group.</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and except for the Interim Period Exceptions, from the Execution Date until the Closing or termination of this Agreement as provided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Company Group not to:</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Organizational Documents of any member of the Company Group;</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pledge, transfer, dispose of, or create any Encumbrance (other than Permitted Encumbrances or Encumbrances that will be discharged prior to Closing) on any shares or any other equity securities or equity equivalents in any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13" w:lineRule="auto"/>
        <w:tabs>
          <w:tab w:leader="none" w:pos="266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split, combine, subdivide or reclassify any of its outstanding shares or equity interests, declare, set aside or pay any non-cash dividend or other non-cash distribution in respect of the outstanding equity of any member of the Company Group, repurchase, redeem or otherwise acquire any securities of any member of the Company Group or amalgamate, merge or consolidate with any Person or adopt a plan of complete or partial liquidation or resolutions providing for or authorizing a liquidation, dissolution, merger, consolidation, restructuring, recapitalization or other reorganization of any member of the Company Group, or transfer or continue any member of the Company Group into another jurisdiction of organization;</w:t>
      </w:r>
    </w:p>
    <w:p>
      <w:pPr>
        <w:spacing w:after="0" w:line="156"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67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create, incur, guarantee or assume any Indebtedness for Borrowed Money or otherwise become liable or responsible for the obligations of any other Person that will remain outstanding as of the Closing (other than any such Indebtedness for Borrowed Money among any Person and its wholly-owned Subsidiaries, among any Person’s wholly-owned Subsidiaries, and guarantees thereof, additional borrowings under any existing credit facilities of the Company Group, in each case in accordance with the terms thereof, any such Indebtedness for Borrowed Money incurred to replace, renew, extend, refinance or refund any existing Indebtedness for Borrowed Money of the Company Group;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case of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Indebtedness for Borrowed Money is prepayable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redeemable at Closing or at any time prior thereto (subject to customary notice requirements) without premium or penalty or Indebtedness for Borrowed Money pursuant to any hedging arrangements) or mortgage, pledge, grant a lien on or otherwise encumber any of its assets, tangible or intangible, or create or permit any Encumbrance thereupon that will not be released at or prior to Closing, other than Permitted Encumbrances;</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purchases and sales of natural gas or other commodities in connection with the conduct of the business of the Company Group in the ordinary course and except for applicable Interim Period Exceptions, acquire assets of any member of the Company Group;</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(by merger, consolidation, or acquisition of shares or assets or otherwise) any corporation, partnership, limited liability company, or other business organization or 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63" w:lineRule="exact"/>
        <w:rPr>
          <w:sz w:val="20"/>
          <w:szCs w:val="20"/>
          <w:color w:val="auto"/>
        </w:rPr>
      </w:pPr>
    </w:p>
    <w:p>
      <w:pPr>
        <w:jc w:val="both"/>
        <w:ind w:firstLine="1292"/>
        <w:spacing w:after="0" w:line="225" w:lineRule="auto"/>
        <w:tabs>
          <w:tab w:leader="none" w:pos="193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accounts solely between or among the members of the Company Group in the ordinary course of business consistent with past practice, purchase an equity interest, or otherwise make an investment, in any Person;</w:t>
      </w:r>
    </w:p>
    <w:p>
      <w:pPr>
        <w:spacing w:after="0" w:line="152" w:lineRule="exact"/>
        <w:rPr>
          <w:rFonts w:ascii="Times New Roman" w:cs="Times New Roman" w:eastAsia="Times New Roman" w:hAnsi="Times New Roman"/>
          <w:sz w:val="22"/>
          <w:szCs w:val="22"/>
          <w:color w:val="auto"/>
        </w:rPr>
      </w:pPr>
    </w:p>
    <w:p>
      <w:pPr>
        <w:ind w:right="20" w:firstLine="1292"/>
        <w:spacing w:after="0" w:line="236"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any material respect any of the accounting principles or practices used by any member of the Company Group, except for any change required by reason of a concurrent change in GAAP;</w:t>
      </w:r>
    </w:p>
    <w:p>
      <w:pPr>
        <w:spacing w:after="0" w:line="150" w:lineRule="exact"/>
        <w:rPr>
          <w:rFonts w:ascii="Times New Roman" w:cs="Times New Roman" w:eastAsia="Times New Roman" w:hAnsi="Times New Roman"/>
          <w:sz w:val="22"/>
          <w:szCs w:val="22"/>
          <w:color w:val="auto"/>
        </w:rPr>
      </w:pPr>
    </w:p>
    <w:p>
      <w:pPr>
        <w:ind w:firstLine="1292"/>
        <w:spacing w:after="0" w:line="255" w:lineRule="auto"/>
        <w:tabs>
          <w:tab w:leader="none" w:pos="193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any Contract that would restrain, restrict, limit or impede the ability of any member of the Company Group to compete with any Person or to conduct any business or line of businesses in any geographic area;</w:t>
      </w:r>
    </w:p>
    <w:p>
      <w:pPr>
        <w:spacing w:after="0" w:line="121" w:lineRule="exact"/>
        <w:rPr>
          <w:rFonts w:ascii="Times New Roman" w:cs="Times New Roman" w:eastAsia="Times New Roman" w:hAnsi="Times New Roman"/>
          <w:sz w:val="21"/>
          <w:szCs w:val="21"/>
          <w:color w:val="auto"/>
        </w:rPr>
      </w:pPr>
    </w:p>
    <w:p>
      <w:pPr>
        <w:ind w:left="1940" w:hanging="648"/>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line of business other than the business conducted by the Company Group as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Date;</w:t>
      </w:r>
    </w:p>
    <w:p>
      <w:pPr>
        <w:spacing w:after="0" w:line="155"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settle any Proceeding against any member of the Company Group unless such settlement requires the payment of less than [dollar amount redacted] by the Company Group, upon any such payment described in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xml:space="preserve">, involves the unconditional release of the member of the Company Group with respect to the subject matter of the Proceeding, except as set forth in </w:t>
      </w:r>
      <w:r>
        <w:rPr>
          <w:rFonts w:ascii="Times New Roman" w:cs="Times New Roman" w:eastAsia="Times New Roman" w:hAnsi="Times New Roman"/>
          <w:sz w:val="22"/>
          <w:szCs w:val="22"/>
          <w:u w:val="single" w:color="auto"/>
          <w:color w:val="auto"/>
        </w:rPr>
        <w:t>clause (xi)</w:t>
      </w:r>
      <w:r>
        <w:rPr>
          <w:rFonts w:ascii="Times New Roman" w:cs="Times New Roman" w:eastAsia="Times New Roman" w:hAnsi="Times New Roman"/>
          <w:sz w:val="22"/>
          <w:szCs w:val="22"/>
          <w:color w:val="auto"/>
        </w:rPr>
        <w:t>, does not impose any material obligations on the business or operations of the Company Group after Closing and would not reasonably be expected to result in any loss of or damage to the reputation or goodwill of any member of the Company Group or its assets;</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notify or otherwise commence any Proceeding before any Governmental Entity;</w:t>
      </w:r>
    </w:p>
    <w:p>
      <w:pPr>
        <w:spacing w:after="0" w:line="179" w:lineRule="exact"/>
        <w:rPr>
          <w:rFonts w:ascii="Times New Roman" w:cs="Times New Roman" w:eastAsia="Times New Roman" w:hAnsi="Times New Roman"/>
          <w:sz w:val="22"/>
          <w:szCs w:val="22"/>
          <w:color w:val="auto"/>
        </w:rPr>
      </w:pPr>
    </w:p>
    <w:p>
      <w:pPr>
        <w:jc w:val="both"/>
        <w:ind w:firstLine="1292"/>
        <w:spacing w:after="0" w:line="210" w:lineRule="auto"/>
        <w:tabs>
          <w:tab w:leader="none" w:pos="2027"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new Tax election or change or revoke any existing Tax election (excluding elections made in the ordinary course of preparing and filing Tax Returns); settle or compromise (or offer to settle or compromise) any Tax claim, assessment, reassessment, liability or claim for indemnification with respect to Taxes other than the Canadian Tax Proceedings; amend any Tax Return except as required by applicable Law; enter into any agreement with a Tax Authority with respect to Taxes; enter into or change any Tax sharing, Tax advance pricing agreement, Tax allocation or Tax indemnification agreement the primary purpose of which relates to Tax; surrender any right to claim a Tax abatement, reduction, deduction, exemption, credit or refund; consent to the extension or waiver of the limitation period applicable to any Tax matter; other than by virtue of this Agreement or any matter contemplated hereunder, enter into any “reportable transaction” or “notifiable transaction” (within the meaning of subsections 237.3(1) and 237.4(1) of the Canadian Tax Act, respectively, and U.S. Treasury Regulations section 1.6011-4); or make, enter into, file or initiate any discussions with a Tax Authority relating to any voluntary disclosure, agreement or arrangement with any Tax Authority;</w:t>
      </w:r>
    </w:p>
    <w:p>
      <w:pPr>
        <w:spacing w:after="0" w:line="151" w:lineRule="exact"/>
        <w:rPr>
          <w:rFonts w:ascii="Times New Roman" w:cs="Times New Roman" w:eastAsia="Times New Roman" w:hAnsi="Times New Roman"/>
          <w:sz w:val="22"/>
          <w:szCs w:val="22"/>
          <w:color w:val="auto"/>
        </w:rPr>
      </w:pPr>
    </w:p>
    <w:p>
      <w:pPr>
        <w:jc w:val="both"/>
        <w:ind w:firstLine="1292"/>
        <w:spacing w:after="0" w:line="225" w:lineRule="auto"/>
        <w:tabs>
          <w:tab w:leader="none" w:pos="20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license, transfer or dispose of any Company Group’s assets other than in the ordinary course of business with a value not exceeding [dollar amount redacted] for any single transaction or series of related transactions;</w:t>
      </w:r>
    </w:p>
    <w:p>
      <w:pPr>
        <w:spacing w:after="0" w:line="152" w:lineRule="exact"/>
        <w:rPr>
          <w:rFonts w:ascii="Times New Roman" w:cs="Times New Roman" w:eastAsia="Times New Roman" w:hAnsi="Times New Roman"/>
          <w:sz w:val="22"/>
          <w:szCs w:val="22"/>
          <w:color w:val="auto"/>
        </w:rPr>
      </w:pPr>
    </w:p>
    <w:p>
      <w:pPr>
        <w:ind w:firstLine="1292"/>
        <w:spacing w:after="0" w:line="255" w:lineRule="auto"/>
        <w:tabs>
          <w:tab w:leader="none" w:pos="1939"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or abandon any Company Group assets other than in the ordinary course of business with a value not exceeding [dollar amount redacted] for any single asset or in the aggregate for any group of related assets;</w:t>
      </w:r>
    </w:p>
    <w:p>
      <w:pPr>
        <w:spacing w:after="0" w:line="134" w:lineRule="exact"/>
        <w:rPr>
          <w:rFonts w:ascii="Times New Roman" w:cs="Times New Roman" w:eastAsia="Times New Roman" w:hAnsi="Times New Roman"/>
          <w:sz w:val="21"/>
          <w:szCs w:val="21"/>
          <w:color w:val="auto"/>
        </w:rPr>
      </w:pPr>
    </w:p>
    <w:p>
      <w:pPr>
        <w:ind w:firstLine="1292"/>
        <w:spacing w:after="0" w:line="236" w:lineRule="auto"/>
        <w:tabs>
          <w:tab w:leader="none" w:pos="19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that would have been a Material Contract had it been entered into prior to the Execution Date, materially amend or supplement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440" w:right="339" w:bottom="1440" w:gutter="0" w:footer="0" w:header="0"/>
        </w:sectPr>
      </w:pPr>
    </w:p>
    <w:bookmarkStart w:id="102" w:name="page103"/>
    <w:bookmarkEnd w:id="102"/>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Material Contract, forfeit or waive any material right or benefit under any Material Contract, or voluntarily and affirmatively terminate any Material Contract other than at the end of its term;</w:t>
      </w:r>
    </w:p>
    <w:p>
      <w:pPr>
        <w:spacing w:after="0" w:line="150" w:lineRule="exact"/>
        <w:rPr>
          <w:sz w:val="20"/>
          <w:szCs w:val="20"/>
          <w:color w:val="auto"/>
        </w:rPr>
      </w:pPr>
    </w:p>
    <w:p>
      <w:pPr>
        <w:ind w:left="2600" w:hanging="648"/>
        <w:spacing w:after="0"/>
        <w:tabs>
          <w:tab w:leader="none" w:pos="26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seek the termination or suspension of any material Company Permits;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60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(at an annualized base salary of greater than [dollar amount redacted] individually or [dollar amount redacted] in the aggregate) or dismiss any employee (other than for cause) with an annualized base salary of greater than [dollar amount redacted], increase the compensation, entitlements under the Seller Benefit Plans, Company Group Benefit Plans, benefits or perquisites paid or payable to employees other than in the ordinary course of business (other than any retention bonuses paid solely by Seller or its Affiliates);</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resign or take any action which would result in a member of the Company Group’s resignation or replacement as operator of any of the Company Group assets for which the Company Group is the current operator;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9"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pursuant to the terms of any Company Benefit Plan in effect as of the date hereof, or as otherwise required by applicable Law, materially increase the aggregate compensation (other than ordinary course annual compensation increases) or benefits payable to any current or former employee or other individual service provider of the Company Group (other than with respect to any Crude Employee, or, following the applicable time frame, any individual that becomes an Unselected Employee or any retention bonuses or other incentive compensation paid solely by Seller or its Affiliates (excluding Company Group) with notice thereof to Buyer), take any action to accelerate the vesting or payment, or fund or in any other way secure the payment, of any material compensation or benefits under any Company Benefit Plan, enter into any agreements with employees that contain change of control provisions or severance payment provisions which would be triggered on Closing and be payable by Buyer or a member of the Company Group following Closing or in connection with the transactions contemplated herein, or become a party to, establish, adopt, materially amend, or terminate any Company Benefit Plan or any arrangement that would have been a Company Benefit Plan had it been entered into prior to this Agreement;</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applicable Law, modify, extend, amend, negotiate, terminate or enter into any CBA or recognize or certify any labor union, labor organization, works council or group of employees as the bargaining representative for any Available U.S. Employee or any employee of the Company Group; or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agree or commit to do any of the foregoing.</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Buyer’s approval of any action restricted by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shall be considered granted on the fifth (5th) Business Day (unless a shorter time is mutually agreed by the Parties, such agreement not to be unreasonably withheld, conditioned or delayed) after receipt by Buyer of such request for consent unless Buyer notifies the requesting Party to the contrary prior to such date. In the event of any damage, destruction or emergency affecting any member of the Company Group, the Facilities or the Pipelines, Seller may take, or cause any member of the Company Group to take, such action as is reasonably necessary or prudent under the circumstances to mitigate or prevent damage or destruction or otherwise respond to or deal with such situation, and any such actions shall be deemed to have been approved by Buyer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6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not to be a breach of the provisions of </w:t>
      </w:r>
      <w:r>
        <w:rPr>
          <w:rFonts w:ascii="Times New Roman" w:cs="Times New Roman" w:eastAsia="Times New Roman" w:hAnsi="Times New Roman"/>
          <w:sz w:val="22"/>
          <w:szCs w:val="22"/>
          <w:u w:val="single" w:color="auto"/>
          <w:color w:val="auto"/>
        </w:rPr>
        <w:t>Section 6.1(c)</w:t>
      </w:r>
      <w:r>
        <w:rPr>
          <w:rFonts w:ascii="Times New Roman" w:cs="Times New Roman" w:eastAsia="Times New Roman" w:hAnsi="Times New Roman"/>
          <w:sz w:val="22"/>
          <w:szCs w:val="22"/>
          <w:color w:val="auto"/>
        </w:rPr>
        <w:t xml:space="preserve">. Seller shall promptly notify Buyer of any such actions taken by Seller or any member of the Company Group. Notwithstanding anything in this Agreement to the contrary, any matter approved (or deemed approved) by Buyer pursuant to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that would otherwise constitute a breach of one or more of Seller’s representations and warranties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shall be deemed to be an exclusion from all representations and warranties for which it is relevant.</w:t>
      </w:r>
    </w:p>
    <w:p>
      <w:pPr>
        <w:spacing w:after="0" w:line="152" w:lineRule="exact"/>
        <w:rPr>
          <w:sz w:val="20"/>
          <w:szCs w:val="20"/>
          <w:color w:val="auto"/>
        </w:rPr>
      </w:pPr>
    </w:p>
    <w:p>
      <w:pPr>
        <w:ind w:right="20" w:firstLine="1304"/>
        <w:spacing w:after="0" w:line="236"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nothing contained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is intended to give Buyer, directly or indirectly, the right to control or direct the business or the operations of Seller or the Company Group prior to the Closing.</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Capital Projects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earlier of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cause the applicable member of the Company Group to provide to Buyer, on a monthly basis, a written report setting forth (A) the status of the design, construction, commissioning and completion activities in connection with Capital Projects, and (B) any variance from the budget reflected in the Capex Forecast, including reasonable detail regarding the reasons for such variance. Each such report shall be due to Buyer on the 15th Business Day of the applicable calendar month, and the first report shall be due in October 2025.</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eight (8) Business Days prior to the expected Closing Date, Seller shall prepare and deliver, or cause to be prepared and delivered, to Buyer a written report setting forth, as at such date, Seller’s good faith estimate based on information then available to Seller, together with reasonable supporting documents, (i) the status of the design, construction, commissioning and completion activities relating to the Capital Projects, (ii) any variance from the budget reflected in the Capex Forecast, including reasonable detail regarding the reasons for such variance, and (iii) confirmation of which Capital Projects, if any, have been commissioned and completed.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covenant regarding certain capital projects redacted]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covenant regarding certain capital projects redacted]</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Buyer remedy for breach of Seller covenant regarding certain capital projects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redacted]</w:t>
      </w:r>
    </w:p>
    <w:p>
      <w:pPr>
        <w:spacing w:after="0" w:line="15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[Commercially sensitive Seller right regarding compliance with capital projects covenants redacted]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Access to Information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the Execution Date and the Closing, Seller: shall give Buyer and its authorized Representatives reasonable access, during regular business hours and upon reasonable advance notice, to the properties, books and records of the Company Group; and shall cause officers of the Company Group and Seller to furnish Buyer and its authorized Representatives with such financial and operating data and other information with respect to the Company Group as Buyer may from time to time</w:t>
      </w:r>
    </w:p>
    <w:p>
      <w:pPr>
        <w:spacing w:after="0" w:line="3"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2"/>
          <w:szCs w:val="22"/>
          <w:color w:val="auto"/>
        </w:rPr>
        <w:t xml:space="preserve">reasonably request (including information relating to Capital Projects);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access does not unreasonably interfere with the operation of Seller’s and the Company Group’s business and shall be subject to Seller’s or the applicable member of the Company Group’s reasonable security measures and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6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requirements, including all applicable safety requirements of Seller and the Company Group, Buyer shall not have access to any files, records, information or data concerning the Seller Retained Assets and other than the Clean Team Members (as defined in the Clean Team Agreement) set forth or described in the Clean Team Agreement, the Parties shall not have access to any Clean Team-Only Information (as defined in the Clean Team Agreement) (</w:t>
      </w:r>
      <w:r>
        <w:rPr>
          <w:rFonts w:ascii="Times New Roman" w:cs="Times New Roman" w:eastAsia="Times New Roman" w:hAnsi="Times New Roman"/>
          <w:sz w:val="22"/>
          <w:szCs w:val="22"/>
          <w:u w:val="single" w:color="auto"/>
          <w:color w:val="auto"/>
        </w:rPr>
        <w:t>clauses</w:t>
      </w:r>
      <w:r>
        <w:rPr>
          <w:rFonts w:ascii="Times New Roman" w:cs="Times New Roman" w:eastAsia="Times New Roman" w:hAnsi="Times New Roman"/>
          <w:sz w:val="22"/>
          <w:szCs w:val="22"/>
          <w:color w:val="auto"/>
        </w:rPr>
        <w:t xml:space="preserve"> and collectively, the “</w:t>
      </w:r>
      <w:r>
        <w:rPr>
          <w:rFonts w:ascii="Times New Roman" w:cs="Times New Roman" w:eastAsia="Times New Roman" w:hAnsi="Times New Roman"/>
          <w:sz w:val="22"/>
          <w:szCs w:val="22"/>
          <w:b w:val="1"/>
          <w:bCs w:val="1"/>
          <w:i w:val="1"/>
          <w:iCs w:val="1"/>
          <w:color w:val="auto"/>
        </w:rPr>
        <w:t>Excluded Records</w:t>
      </w:r>
      <w:r>
        <w:rPr>
          <w:rFonts w:ascii="Times New Roman" w:cs="Times New Roman" w:eastAsia="Times New Roman" w:hAnsi="Times New Roman"/>
          <w:sz w:val="22"/>
          <w:szCs w:val="22"/>
          <w:color w:val="auto"/>
        </w:rPr>
        <w:t xml:space="preserve">”), and prior to the Closing, without the prior written consent of Seller (which consent may be withheld by Seller in its sole discretion), neither Buyer nor its authorized Representatives shall be permitted to contact any suppliers to, or customers of, any assets that will be owned by the Company Group as of the Closing, in their capacity as suppliers to, or customers of, such assets, contact any employee of Seller or its Affiliates regarding this Agreement or the transactions contemplated hereby or the business or assets owned, or to be owned, following the Pre-Closing Reorganization except as otherwise provided in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or perform invasive or subsurface investigations of any member of the Company Group’s assets or properties owned, or to be owned, following the Pre-Closing Reorganization or collect or analyze any environmental samples (including building materials, indoor and outdoor air, surface and ground water, and surface and subsurface soils). Seller shall have the right to have a Representative present at all times during any such inspections and examinations conducted at offices or other facilities or properties of Seller, its Affiliates or any member of the Company Group. Buyer shall hold in confidence all such information to which it receives access pursuant to this Agreement on the terms and subject to the conditions contained in the Confidentiality Agreement and, as applicable, the Clean Team Agreement. Buyer shall have no right of access to, and Seller shall have no obligation to provide to Buyer, any information the disclosure of which would jeopardize any legal privilege available to any member of the Company Group, Seller or any Seller Affiliate relating to such information, that would cause Seller, any Seller Affiliate or any member of the Company Group to breach a confidentiality obligation, or that would reasonably be expected to result in a violation of applicable Law or loss of solicitor-client privilege.</w:t>
      </w:r>
    </w:p>
    <w:p>
      <w:pPr>
        <w:spacing w:after="0" w:line="151" w:lineRule="exact"/>
        <w:rPr>
          <w:sz w:val="20"/>
          <w:szCs w:val="20"/>
          <w:color w:val="auto"/>
        </w:rPr>
      </w:pPr>
    </w:p>
    <w:p>
      <w:pPr>
        <w:jc w:val="both"/>
        <w:ind w:firstLine="1304"/>
        <w:spacing w:after="0" w:line="211"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Execution Date (including following any termination of this Agreement or following the Closing), Buyer agrees to indemnify, defend and hold harmless Seller, the Seller Affiliates (including until Closing the Company Group) and all such Persons’ directors, officers, employees, agents and representatives from and against any and all Losses (INCLUDING CLAIMS OF STRICT LIABILITY, NEGLIGENCE AND FOR LIABILITY IMPOSED BY STATUTES, RULES OR REGULATIONS) attributable to any personal injury, death or property damage arising out of or relating to access to any member of the Company Group’s or its Affiliates’ properties, facilities, books and records prior to the Closing by Buyer, its Affiliates, or its or their directors, officers, employees, agents or representatives, BUT EXCLUDING ANY SUCH LOSSES TO THE EXTENT CAUSED BY THE GROSS NEGLIGENCE OR WILLFUL MISCONDUCT OF SELLER, ANY SELLER AFFILIATE (INCLUDING UNTIL CLOSING THE COMPANY GROUP) OR ANY OF THEIR RESPECTIVE DIRECTORS, OFFICERS, EMPLOYEES, AGENTS OR REPRESENTATIVES.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Books and Records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Group Records</w:t>
      </w:r>
      <w:r>
        <w:rPr>
          <w:rFonts w:ascii="Times New Roman" w:cs="Times New Roman" w:eastAsia="Times New Roman" w:hAnsi="Times New Roman"/>
          <w:sz w:val="22"/>
          <w:szCs w:val="22"/>
          <w:color w:val="auto"/>
        </w:rPr>
        <w:t>. Seller shall deliver or cause the Company Group to make available to Buyer: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no later than the fifteenth (15th) Business Day prior to the expected Closing Date (or as soon as reasonably practicable after execution of a Material Contract if executed less than fifteen (15) Business Days prior to the expected Closing Date), to the extent permitted by applicable Law (including antitrust and competition Laws), any Material Contracts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amendments or supplements to Material Contracts set forth in </w:t>
      </w:r>
      <w:r>
        <w:rPr>
          <w:rFonts w:ascii="Times New Roman" w:cs="Times New Roman" w:eastAsia="Times New Roman" w:hAnsi="Times New Roman"/>
          <w:sz w:val="22"/>
          <w:szCs w:val="22"/>
          <w:u w:val="single" w:color="auto"/>
          <w:color w:val="auto"/>
        </w:rPr>
        <w:t>Schedule 4.18</w:t>
      </w:r>
      <w:r>
        <w:rPr>
          <w:rFonts w:ascii="Times New Roman" w:cs="Times New Roman" w:eastAsia="Times New Roman" w:hAnsi="Times New Roman"/>
          <w:sz w:val="22"/>
          <w:szCs w:val="22"/>
          <w:color w:val="auto"/>
        </w:rPr>
        <w:t>) entered into on or after the Execution Date of which Buyer has not previously received a copy;</w:t>
      </w:r>
    </w:p>
    <w:p>
      <w:pPr>
        <w:spacing w:after="0" w:line="150" w:lineRule="exact"/>
        <w:rPr>
          <w:sz w:val="20"/>
          <w:szCs w:val="20"/>
          <w:color w:val="auto"/>
        </w:rPr>
      </w:pPr>
    </w:p>
    <w:p>
      <w:pPr>
        <w:jc w:val="both"/>
        <w:ind w:left="660" w:firstLine="1292"/>
        <w:spacing w:after="0" w:line="225" w:lineRule="auto"/>
        <w:tabs>
          <w:tab w:leader="none" w:pos="259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fifteen (15) days following Closing, financial accounting records including general ledger detail support for the month end immediately preceding Closing and balance sheet reconciliations for all balance sheet account balances for the month immediately preceding the month in which the Closing occurs;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a Tax Return (other than a Tax Return related exclusively to the crude oil business to be carried on by CrudeCo after giving effect to the Pre-Closing Reorganization) is filed for a member of the Company Group after the Execution Date, copies of such Tax Return;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but no later than ninety (90) days after the Closing Date, to the extent not prohibited by applicable Law, originals or copies of all material books, records and other documents pertaining to the Business of the Company Group that are in Seller’s possession (or under Seller’s control) (collectively, “</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other than those that have previously been made available to Buyer or those that will be made available to Buyer or its Affiliate by Seller pursuant to the Transition Services Agreement, and the Excluded Records.</w:t>
      </w:r>
    </w:p>
    <w:p>
      <w:pPr>
        <w:spacing w:after="0" w:line="15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Records required to be delivered will be deemed delivered if such Records are made available for download in a secured electronic data site to which Buyer is given access or if provided for pickup from Seller’s or its Affiliates’ offices during normal business hours, subject to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term “Records” shall expressly exclude any electronic correspondence (including instant messages (IMs), Teams and Skype messages (and similar messaging platforms), e-mails and text messages) and related metadata, the Excluded Records and any records of Seller or any Seller Affiliates (including Tax records, business plans, strategies, cost and pricing information, accounting records, vendor lists and records, proprietary training materials, personnel records, equipment lists, technical drawings, financial records and CrudeCo minute books and records) to the extent that they relate to Seller’s or any Seller Affiliate’s business generally and not solely to the Company Group, any employee records, including personnel files, in respect of any Available U.S. Employee who does not become a Transferred U.S. Employee, Transferred U.S. Employee who does not provide consent to transfer of such records, Unselected Employee, Terminated Employee or employee employed by CrudeCo following Closing, any books, records or other documents the disclosure of which would cause the waiver of any solicitor-client, work product or similar privilege and any of Seller’s internal drafts of Transaction Documents or other written information (including in electronic form) relating to any of the foregoing. Seller and any Seller Affiliates may retain the items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the immediately preceding sentence.</w:t>
      </w:r>
    </w:p>
    <w:p>
      <w:pPr>
        <w:spacing w:after="0" w:line="155"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by Seller</w:t>
      </w:r>
      <w:r>
        <w:rPr>
          <w:rFonts w:ascii="Times New Roman" w:cs="Times New Roman" w:eastAsia="Times New Roman" w:hAnsi="Times New Roman"/>
          <w:sz w:val="22"/>
          <w:szCs w:val="22"/>
          <w:color w:val="auto"/>
        </w:rPr>
        <w:t xml:space="preserve">. Seller and the Seller Affiliates may retain a copy of all Data Room materials and a copy of all Records, including copies of any Records that may be relevant in connection with the defense of disputes arising hereunder and copies of all financial information and all other accounting Records prepared or used in connection with the preparation of historical financial statements of Seller or the Company Group. All information retained by Seller pursuant to this </w:t>
      </w:r>
      <w:r>
        <w:rPr>
          <w:rFonts w:ascii="Times New Roman" w:cs="Times New Roman" w:eastAsia="Times New Roman" w:hAnsi="Times New Roman"/>
          <w:sz w:val="22"/>
          <w:szCs w:val="22"/>
          <w:u w:val="single" w:color="auto"/>
          <w:color w:val="auto"/>
        </w:rPr>
        <w:t>Section 6.4(c)</w:t>
      </w:r>
      <w:r>
        <w:rPr>
          <w:rFonts w:ascii="Times New Roman" w:cs="Times New Roman" w:eastAsia="Times New Roman" w:hAnsi="Times New Roman"/>
          <w:sz w:val="22"/>
          <w:szCs w:val="22"/>
          <w:color w:val="auto"/>
        </w:rPr>
        <w:t xml:space="preserve"> shall be subject to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as applicable.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 Preservation by Buyer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Buyer shall take all reasonable steps to preserve and keep for a period of at least five (5) years from the Closing Date all Records of the Company Group relating to the operation of the Company Group prior to the Closing Date and shall make such Records available to Seller upon reasonable request during that period. Notwithstanding the foregoing, Buyer or its Affiliates may dispose of any such Records prior to the expiry of such five (5)-year period in accordance with its normal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6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retention policy provided Seller is given at least ninety (90) days prior notice of such disposal and given an opportunity, at its own cost and expense, to remove and retain all or any part of such Records as Seller may suggest. After such five (5) years period, Buyer may dispose of any of such Records in accordance with its normal document retention policy without notice to Seller. Notwithstanding the foregoing, Buyer agrees that it shall preserve and keep all books and records (including any Records) relating to any investigation instituted by a Governmental Entity or any Proceeding (whether or not existing on the Closing Date) if, to Buyer’s Knowledge, such investigation or other Proceeding may relate to matters occurring prior to the Closing, without regard to the five (5) year period set forth in this </w:t>
      </w:r>
      <w:r>
        <w:rPr>
          <w:rFonts w:ascii="Times New Roman" w:cs="Times New Roman" w:eastAsia="Times New Roman" w:hAnsi="Times New Roman"/>
          <w:sz w:val="22"/>
          <w:szCs w:val="22"/>
          <w:u w:val="single" w:color="auto"/>
          <w:color w:val="auto"/>
        </w:rPr>
        <w:t>Section 6.4(d)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6.5</w:t>
      </w:r>
      <w:r>
        <w:rPr>
          <w:sz w:val="20"/>
          <w:szCs w:val="20"/>
          <w:color w:val="auto"/>
        </w:rPr>
        <w:tab/>
      </w:r>
      <w:r>
        <w:rPr>
          <w:rFonts w:ascii="Times New Roman" w:cs="Times New Roman" w:eastAsia="Times New Roman" w:hAnsi="Times New Roman"/>
          <w:sz w:val="21"/>
          <w:szCs w:val="21"/>
          <w:b w:val="1"/>
          <w:bCs w:val="1"/>
          <w:color w:val="auto"/>
        </w:rPr>
        <w:t>Indemnification of Officers, Directors, Employees and Agents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that the current or former managers, directors, officers, partners, members, agents and fiduciaries of the Company Group (collectively, the “</w:t>
      </w:r>
      <w:r>
        <w:rPr>
          <w:rFonts w:ascii="Times New Roman" w:cs="Times New Roman" w:eastAsia="Times New Roman" w:hAnsi="Times New Roman"/>
          <w:sz w:val="22"/>
          <w:szCs w:val="22"/>
          <w:b w:val="1"/>
          <w:bCs w:val="1"/>
          <w:i w:val="1"/>
          <w:iCs w:val="1"/>
          <w:color w:val="auto"/>
        </w:rPr>
        <w:t>Company Indemnitees</w:t>
      </w:r>
      <w:r>
        <w:rPr>
          <w:rFonts w:ascii="Times New Roman" w:cs="Times New Roman" w:eastAsia="Times New Roman" w:hAnsi="Times New Roman"/>
          <w:sz w:val="22"/>
          <w:szCs w:val="22"/>
          <w:color w:val="auto"/>
        </w:rPr>
        <w:t>”) are “Indemnitees” under the Seller Parent LPA and are entitled to indemnification for acts or omissions provided for therein and Seller Parent maintains one or more director and officer insurance policies in connection with such indemnification rights.</w:t>
      </w:r>
    </w:p>
    <w:p>
      <w:pPr>
        <w:spacing w:after="0" w:line="179"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Company Indemnitee is entitled to any indemnification, advancement of expenses and/or other rights under the Organizational Documents of the Company Group with respect to any Losses of such Company Indemnitee in connection with any acts or omissions occurring prior to the Closing Date, then, for the period ending six (6) years following the Closing Date, the Parties covenant and agree that Seller Parent shall be: (i) the indemnitor of first resort (i.e., its obligations to any Company Indemnitee hereunder are primary and any obligation of any other indemnitor (including the Company Group) (collectively, “</w:t>
      </w:r>
      <w:r>
        <w:rPr>
          <w:rFonts w:ascii="Times New Roman" w:cs="Times New Roman" w:eastAsia="Times New Roman" w:hAnsi="Times New Roman"/>
          <w:sz w:val="21"/>
          <w:szCs w:val="21"/>
          <w:b w:val="1"/>
          <w:bCs w:val="1"/>
          <w:i w:val="1"/>
          <w:iCs w:val="1"/>
          <w:color w:val="auto"/>
        </w:rPr>
        <w:t>Other Indemnitors</w:t>
      </w:r>
      <w:r>
        <w:rPr>
          <w:rFonts w:ascii="Times New Roman" w:cs="Times New Roman" w:eastAsia="Times New Roman" w:hAnsi="Times New Roman"/>
          <w:sz w:val="21"/>
          <w:szCs w:val="21"/>
          <w:color w:val="auto"/>
        </w:rPr>
        <w:t>”) to advance expenses or to provide indemnification for the same expenses or liabilities incurred by such Company Indemnitee shall be secondary to the Seller Parent) and (ii) the sole indemnitor with respect to acts or omissions occurring prior to the Closing Date in respect of or in connection with any Seller Retained Assets (the “</w:t>
      </w:r>
      <w:r>
        <w:rPr>
          <w:rFonts w:ascii="Times New Roman" w:cs="Times New Roman" w:eastAsia="Times New Roman" w:hAnsi="Times New Roman"/>
          <w:sz w:val="21"/>
          <w:szCs w:val="21"/>
          <w:b w:val="1"/>
          <w:bCs w:val="1"/>
          <w:i w:val="1"/>
          <w:iCs w:val="1"/>
          <w:color w:val="auto"/>
        </w:rPr>
        <w:t>Excluded Actions</w:t>
      </w:r>
      <w:r>
        <w:rPr>
          <w:rFonts w:ascii="Times New Roman" w:cs="Times New Roman" w:eastAsia="Times New Roman" w:hAnsi="Times New Roman"/>
          <w:sz w:val="21"/>
          <w:szCs w:val="21"/>
          <w:color w:val="auto"/>
        </w:rPr>
        <w:t xml:space="preserve">”), and in each case Seller Parent (1) shall be required to advance the full amount of expenses incurred by such Company Indemnitee and shall be liable for the full amount of all expenses, judgments, penalties, fines and amounts paid in settlement to the extent legally permitted and as required by the terms of this Agreement without regard to any rights such Company Indemnitee may have against any Other Indemnitor and (2) irrevocably waives, relinquishes and releases the Other Indemnitors from any and all claims against the Other Indemnitors for contribution, subrogation or any other recovery of any kind in respect thereof. The Parties further agree that no advancement or payment by the Other Indemnitors on behalf of such Company Indemnitee with respect to any claim for which such Company Indemnitee has sought indemnification from the Seller Parent shall affect the foregoing and the Other Indemnitors shall have a right of contribution and/or be subrogated to the extent of such advancement or payment to all of the rights of recovery of such Company Indemnitee against the Seller Parent. The Other Indemnitors are express third-party beneficiaries of the terms of this </w:t>
      </w:r>
      <w:r>
        <w:rPr>
          <w:rFonts w:ascii="Times New Roman" w:cs="Times New Roman" w:eastAsia="Times New Roman" w:hAnsi="Times New Roman"/>
          <w:sz w:val="21"/>
          <w:szCs w:val="21"/>
          <w:u w:val="single" w:color="auto"/>
          <w:color w:val="auto"/>
        </w:rPr>
        <w:t>Section 6.4(b)</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agrees that all rights to indemnification for acts or omissions occurring prior to the Closing Date in favor of the Company Indemnitees as provided as of the date hereof in the Organizational Documents of the Company Group shall, to the extent permitted by Law, survive the transactions contemplated by this Agreement and shall continue in full force and effect in accordance with their terms for a period of not less than six (6) years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Closing Date. Except with respect to the Excluded Actions, Buyer shall not, and shall cause its Affiliates (including the Company Group after the Closing) not to, repeal or amend such arrangements in any manner that would adversely affect the rights of any of the Company Indemnitees thereunder. To the extent any Company Indemnitee is entitled to any indemnification under the Organizational Documents of the Company Group for acts or omissions other than Excluded Actions, and provided that Seller Parent has complied with its obligations as first indemnitor as contemplated by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Buyer shall cause the Company Group to comply with the indemnification obligations under the relevant Organizational Documents to the fullest extent permitted thereunder.</w:t>
      </w:r>
    </w:p>
    <w:p>
      <w:pPr>
        <w:spacing w:after="0" w:line="180" w:lineRule="exact"/>
        <w:rPr>
          <w:sz w:val="20"/>
          <w:szCs w:val="20"/>
          <w:color w:val="auto"/>
        </w:rPr>
      </w:pPr>
    </w:p>
    <w:p>
      <w:pPr>
        <w:jc w:val="both"/>
        <w:ind w:firstLine="1304"/>
        <w:spacing w:after="0" w:line="251"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Buyer or any of its successors or assigns consolidates with or merges into any other Person and shall not be the continuing or surviving corporation or entity of such consolidation or merger or transfers all or substantially all of its properties and assets to any Person, then, in each such case, to the extent such assumption does not occur by operation of Law, proper provisions shall be made so that the successors and assigns of Buyer assume the obligations set forth in </w:t>
      </w:r>
      <w:r>
        <w:rPr>
          <w:rFonts w:ascii="Times New Roman" w:cs="Times New Roman" w:eastAsia="Times New Roman" w:hAnsi="Times New Roman"/>
          <w:sz w:val="22"/>
          <w:szCs w:val="22"/>
          <w:u w:val="single" w:color="auto"/>
          <w:color w:val="auto"/>
        </w:rPr>
        <w:t>Section 6.5(c).</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are intended to be for the benefit of, and shall be enforceable by, the Parties and each Company Indemnitee, and his or its heirs and representatives.</w:t>
      </w:r>
    </w:p>
    <w:p>
      <w:pPr>
        <w:spacing w:after="0" w:line="181" w:lineRule="exact"/>
        <w:rPr>
          <w:sz w:val="20"/>
          <w:szCs w:val="20"/>
          <w:color w:val="auto"/>
        </w:rPr>
      </w:pPr>
    </w:p>
    <w:p>
      <w:pPr>
        <w:jc w:val="both"/>
        <w:ind w:firstLine="1304"/>
        <w:spacing w:after="0" w:line="263"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Buyer and Seller under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shall not be terminated or modified in such a manner as to adversely affect any Company Indemnitee to whom this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applies without the consent of such Company Indemnitee so adversely affected.</w:t>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Governmental Approvals; Other Regulatory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expressly set forth in </w:t>
      </w:r>
      <w:r>
        <w:rPr>
          <w:rFonts w:ascii="Times New Roman" w:cs="Times New Roman" w:eastAsia="Times New Roman" w:hAnsi="Times New Roman"/>
          <w:sz w:val="22"/>
          <w:szCs w:val="22"/>
          <w:u w:val="single" w:color="auto"/>
          <w:color w:val="auto"/>
        </w:rPr>
        <w:t>Sections 6.6(b)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6.6(f)</w:t>
      </w:r>
      <w:r>
        <w:rPr>
          <w:rFonts w:ascii="Times New Roman" w:cs="Times New Roman" w:eastAsia="Times New Roman" w:hAnsi="Times New Roman"/>
          <w:sz w:val="22"/>
          <w:szCs w:val="22"/>
          <w:color w:val="auto"/>
        </w:rPr>
        <w:t>, the Parties will cooperate with each other and use Reasonable Efforts to obtain from any Governmental Entities any Permits required to be obtained and to make any filings with or notifications or submissions to any Governmental Entity that are necessary in order to consummate the transactions contemplated by the Transaction Documents and shall diligently and expeditiously prosecute, and shall cooperate fully with each other in the prosecution of, such matters.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of </w:t>
      </w:r>
      <w:r>
        <w:rPr>
          <w:rFonts w:ascii="Times New Roman" w:cs="Times New Roman" w:eastAsia="Times New Roman" w:hAnsi="Times New Roman"/>
          <w:sz w:val="22"/>
          <w:szCs w:val="22"/>
          <w:u w:val="single" w:color="auto"/>
          <w:color w:val="auto"/>
        </w:rPr>
        <w:t>Section 6.6(a)</w:t>
      </w:r>
      <w:r>
        <w:rPr>
          <w:rFonts w:ascii="Times New Roman" w:cs="Times New Roman" w:eastAsia="Times New Roman" w:hAnsi="Times New Roman"/>
          <w:sz w:val="22"/>
          <w:szCs w:val="22"/>
          <w:color w:val="auto"/>
        </w:rPr>
        <w:t>, as soon as practicable following the Execution Date, the Parties shall make or cause to be made such filings as may be required to obtain the Required Regulatory Approvals. Without limiting the generality of the foregoing, other than as stated below:</w:t>
      </w:r>
    </w:p>
    <w:p>
      <w:pPr>
        <w:spacing w:after="0" w:line="152"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fifteen (15) Business Days after the Execution Date or any other period mutually agreed to in writing by Buyer and Seller:</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3"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file or cause to be filed with the Commissioner a submission requesting an ARC or, in the alternative, a No-Action Letter;</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5"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shall file, or cause to be filed, their respective pre-merger notification forms pursuant to section 114(1) of the Canada Competition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63" w:lineRule="exact"/>
        <w:rPr>
          <w:sz w:val="20"/>
          <w:szCs w:val="20"/>
          <w:color w:val="auto"/>
        </w:rPr>
      </w:pPr>
    </w:p>
    <w:p>
      <w:pPr>
        <w:jc w:val="both"/>
        <w:ind w:left="1300" w:firstLine="1300"/>
        <w:spacing w:after="0" w:line="217" w:lineRule="auto"/>
        <w:tabs>
          <w:tab w:leader="none" w:pos="3235"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shall file, or cause to be filed, all such filings and notifications listed in </w:t>
      </w:r>
      <w:r>
        <w:rPr>
          <w:rFonts w:ascii="Times New Roman" w:cs="Times New Roman" w:eastAsia="Times New Roman" w:hAnsi="Times New Roman"/>
          <w:sz w:val="22"/>
          <w:szCs w:val="22"/>
          <w:u w:val="single" w:color="auto"/>
          <w:color w:val="auto"/>
        </w:rPr>
        <w:t>Section 6.6(b)(i)(A)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6.6(b)(i)(B)</w:t>
      </w:r>
      <w:r>
        <w:rPr>
          <w:rFonts w:ascii="Times New Roman" w:cs="Times New Roman" w:eastAsia="Times New Roman" w:hAnsi="Times New Roman"/>
          <w:sz w:val="22"/>
          <w:szCs w:val="22"/>
          <w:color w:val="auto"/>
        </w:rPr>
        <w:t xml:space="preserve"> with the Minister of Transport; and Buyer shall file, or cause to be filed, with the Minister of Transport a submission with respect to the public interest as it relates to national transportation in respect of the transactions contemplated by this Agreement, all in accordance with section 53.1 of the Canada Transportation Act.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twenty-five (25) Business Days after the Execution Date or any other period mutually agreed to in writing by Buyer and Seller, the Parties shall make or cause to be made such filings as may be required by the HSR Act with respect to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acting reasonably and diligently, and after good-faith consultation with Seller, will determine and direct the efforts to obtain the Required Regulatory Approvals.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pay the statutory filing fee associated with filings in connection with obtaining the Required Regulatory Approvals.</w:t>
      </w:r>
    </w:p>
    <w:p>
      <w:pPr>
        <w:spacing w:after="0" w:line="144" w:lineRule="exact"/>
        <w:rPr>
          <w:rFonts w:ascii="Times New Roman" w:cs="Times New Roman" w:eastAsia="Times New Roman" w:hAnsi="Times New Roman"/>
          <w:sz w:val="22"/>
          <w:szCs w:val="22"/>
          <w:color w:val="auto"/>
        </w:rPr>
      </w:pPr>
    </w:p>
    <w:p>
      <w:pPr>
        <w:jc w:val="both"/>
        <w:ind w:firstLine="1304"/>
        <w:spacing w:after="0" w:line="214"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Buyer Covenants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Buyer shall use Reasonable Efforts to obtain the Required Regulatory Approvals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soon as reasonably practicable but, in any event, no later than the Outside Date. In furtherance of the foregoing, Buyer shall further use Reasonable Efforts to avoid, oppose or seek to have lifted or rescinded, any application for, or any resulting injunction or restraining or other order seeking to stop, or that otherwise adversely affects its ability to consummate, the transactions contemplated by this Agreement and shall use Reasonable Efforts to contest and resist any application, action or proceeding instituted (or threatened in writing to be instituted) by any Governmental Entity challenging the transactions contemplated by this Agreement.</w:t>
      </w:r>
    </w:p>
    <w:p>
      <w:pPr>
        <w:spacing w:after="0" w:line="14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Mutual Covenants</w:t>
      </w:r>
      <w:r>
        <w:rPr>
          <w:rFonts w:ascii="Times New Roman" w:cs="Times New Roman" w:eastAsia="Times New Roman" w:hAnsi="Times New Roman"/>
          <w:sz w:val="22"/>
          <w:szCs w:val="22"/>
          <w:b w:val="1"/>
          <w:bCs w:val="1"/>
          <w:color w:val="auto"/>
        </w:rPr>
        <w:t>.</w:t>
      </w:r>
    </w:p>
    <w:p>
      <w:pPr>
        <w:spacing w:after="0" w:line="185" w:lineRule="exact"/>
        <w:rPr>
          <w:rFonts w:ascii="Times New Roman" w:cs="Times New Roman" w:eastAsia="Times New Roman" w:hAnsi="Times New Roman"/>
          <w:sz w:val="22"/>
          <w:szCs w:val="22"/>
          <w:color w:val="auto"/>
        </w:rPr>
      </w:pPr>
    </w:p>
    <w:p>
      <w:pPr>
        <w:jc w:val="both"/>
        <w:ind w:left="660" w:firstLine="1292"/>
        <w:spacing w:after="0" w:line="218" w:lineRule="auto"/>
        <w:tabs>
          <w:tab w:leader="none" w:pos="259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shall keep each other informed in all material respects and on a current basis of discussions relating to obtaining or concluding any of the Required Regulatory Approvals, including any material communication received by such Party or its Affiliates from, or given by such Party or its Affiliates to, the Commissioner, the Federal Trade Commission, the Antitrust Division of the Department of Justice, or any other Governmental Entity regarding the approval of the sale of the Purchased Shares to Buyer pursuant to this Agreement. To the extent permitted under applicable Laws, the Parties shall have the right to review in advance, and each will consult the other on, any correspondence, filing made with, or written communications submitted to, any Governmental Entity in connection with the Required Regulatory Approvals, and promptly provide the other Party with, or access to, any applications, notices, filings, submissions, undertakings, material correspondence and communications of any nature (including responses to requests for information and inquiries from any Governmental Entity) that were submitted to a Governmental Entity in respect of obtaining or concluding any of the Required Regulatory Approvals. The Parties may, as they deem advisable and necessary, designate any competitively or commercially sensitive materials provided to the other under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as “outside counsel only” (and any response to a supplementary information request pursuant to subsection 114(2) of the Canada Competition Act is hereby designated as “outside counsel only” unless the Party whose information it relates agrees, acting reasonably, to share particular information supplied to the Commissioner with the other Party). Such materials and the information contained therein shall be given only to outside counsel and expert advisors of the recipient and will not be disclosed by such outside counsel to employees, officers or directors of the recipient without the advance written consent of the party providing such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63"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21"/>
          <w:szCs w:val="21"/>
          <w:color w:val="auto"/>
        </w:rPr>
        <w:t xml:space="preserve">Materials provided to the other Parties or their counsel may be redacted to remove references concerning the valuation of the Company. No Party nor its Representatives shall participate in or agree to participate in any communication, discussion or meeting with any Governmental Entity in respect of any filings contemplated by this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or investigation or other inquiry in connection therewith unless it consults with Seller, in the case of Buyer, or Buyer, in the case of Seller, in advance and, to the extent permitted by such Governmental Entity, affords such other Party the opportunity to attend and participate in such communication, discussion or meeting. Without limiting the generality of the foregoing, Buyer and Seller will comply or cause to be complied with any supplementary information request issued by the Commissioner pursuant to subsection 114(2) of the Canada Competition Act promptly, and in any event within ninety</w:t>
      </w:r>
    </w:p>
    <w:p>
      <w:pPr>
        <w:spacing w:after="0" w:line="5" w:lineRule="exact"/>
        <w:rPr>
          <w:sz w:val="20"/>
          <w:szCs w:val="20"/>
          <w:color w:val="auto"/>
        </w:rPr>
      </w:pPr>
    </w:p>
    <w:p>
      <w:pPr>
        <w:ind w:left="1060" w:hanging="404"/>
        <w:spacing w:after="0"/>
        <w:tabs>
          <w:tab w:leader="none" w:pos="10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issuance or such other period that may be mutually agreed to in writing by Buyer and Seller.</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Seller (including the Company Group) will enter into or agree to enter into any transaction, including any merger, acquisition or joint venture, or otherwise engage in any conduct outside of its ordinary course of business that would reasonably be expected to delay, impair or impede the receipt of any of the Required Regulatory Approvals later than the Outside Date.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6.7 Post-Closing Notifications</w:t>
      </w:r>
      <w:r>
        <w:rPr>
          <w:rFonts w:ascii="Times New Roman" w:cs="Times New Roman" w:eastAsia="Times New Roman" w:hAnsi="Times New Roman"/>
          <w:sz w:val="22"/>
          <w:szCs w:val="22"/>
          <w:color w:val="auto"/>
        </w:rPr>
        <w:t>. Buyer acknowledges that it may be required by Governmental Entities, in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their rules and regulations, to file a material change report (or similar) with, or provide such other notification to, applicable Governmental Entities in respect of the change in ownership of the Company Group or otherwise in connection with the transactions contemplated by the Transaction Documents. Buyer hereby agrees that it shall complete all post-Closing filings and notifications within the time period required by, and in compliance in all material respects with, applicable Laws, Permits and Governmental Approvals issued in respect of the Company Group, the Real Property, the Other Real Property or the assets of the Company Group.</w:t>
      </w:r>
    </w:p>
    <w:p>
      <w:pPr>
        <w:spacing w:after="0" w:line="14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6.8 Third Party Consents</w:t>
      </w:r>
      <w:r>
        <w:rPr>
          <w:rFonts w:ascii="Times New Roman" w:cs="Times New Roman" w:eastAsia="Times New Roman" w:hAnsi="Times New Roman"/>
          <w:sz w:val="22"/>
          <w:szCs w:val="22"/>
          <w:color w:val="auto"/>
        </w:rPr>
        <w:t>. The Parties shall use Reasonable Efforts to obtain, and to cooperate with each other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obtaining, any consents of Third Parties required in connection with the transactions contemplated by this Agreement, which Reasonable Efforts of Buyer shall include, subject to applicable Law, providing to such Third Parties such financial information with respect to Buyer and its Affiliates as such Third Parties may reasonably request.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6.9</w:t>
      </w:r>
      <w:r>
        <w:rPr>
          <w:sz w:val="20"/>
          <w:szCs w:val="20"/>
          <w:color w:val="auto"/>
        </w:rPr>
        <w:tab/>
      </w:r>
      <w:r>
        <w:rPr>
          <w:rFonts w:ascii="Times New Roman" w:cs="Times New Roman" w:eastAsia="Times New Roman" w:hAnsi="Times New Roman"/>
          <w:sz w:val="21"/>
          <w:szCs w:val="21"/>
          <w:b w:val="1"/>
          <w:bCs w:val="1"/>
          <w:color w:val="auto"/>
        </w:rPr>
        <w:t>Employee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List</w:t>
      </w:r>
      <w:r>
        <w:rPr>
          <w:rFonts w:ascii="Times New Roman" w:cs="Times New Roman" w:eastAsia="Times New Roman" w:hAnsi="Times New Roman"/>
          <w:sz w:val="21"/>
          <w:szCs w:val="21"/>
          <w:color w:val="auto"/>
        </w:rPr>
        <w:t>. Within thirty (30) days following the Execution Date, Seller shall deliver to Buyer an information list (the “</w:t>
      </w:r>
      <w:r>
        <w:rPr>
          <w:rFonts w:ascii="Times New Roman" w:cs="Times New Roman" w:eastAsia="Times New Roman" w:hAnsi="Times New Roman"/>
          <w:sz w:val="21"/>
          <w:szCs w:val="21"/>
          <w:b w:val="1"/>
          <w:bCs w:val="1"/>
          <w:i w:val="1"/>
          <w:iCs w:val="1"/>
          <w:color w:val="auto"/>
        </w:rPr>
        <w:t>Employee List</w:t>
      </w:r>
      <w:r>
        <w:rPr>
          <w:rFonts w:ascii="Times New Roman" w:cs="Times New Roman" w:eastAsia="Times New Roman" w:hAnsi="Times New Roman"/>
          <w:sz w:val="21"/>
          <w:szCs w:val="21"/>
          <w:color w:val="auto"/>
        </w:rPr>
        <w:t xml:space="preserve">”) that contains true, correct and complete information with respect to each employee of a member of the Company Group, as of the Execution Date, whose employment with the Company Group member is governed by one of the CBAs listed on </w:t>
      </w:r>
      <w:r>
        <w:rPr>
          <w:rFonts w:ascii="Times New Roman" w:cs="Times New Roman" w:eastAsia="Times New Roman" w:hAnsi="Times New Roman"/>
          <w:sz w:val="21"/>
          <w:szCs w:val="21"/>
          <w:u w:val="single" w:color="auto"/>
          <w:color w:val="auto"/>
        </w:rPr>
        <w:t>Schedule 4.19(a)</w:t>
      </w:r>
      <w:r>
        <w:rPr>
          <w:rFonts w:ascii="Times New Roman" w:cs="Times New Roman" w:eastAsia="Times New Roman" w:hAnsi="Times New Roman"/>
          <w:sz w:val="21"/>
          <w:szCs w:val="21"/>
          <w:color w:val="auto"/>
        </w:rPr>
        <w:t xml:space="preserve"> of the Seller Disclosure Schedules (the “</w:t>
      </w:r>
      <w:r>
        <w:rPr>
          <w:rFonts w:ascii="Times New Roman" w:cs="Times New Roman" w:eastAsia="Times New Roman" w:hAnsi="Times New Roman"/>
          <w:sz w:val="21"/>
          <w:szCs w:val="21"/>
          <w:b w:val="1"/>
          <w:bCs w:val="1"/>
          <w:i w:val="1"/>
          <w:iCs w:val="1"/>
          <w:color w:val="auto"/>
        </w:rPr>
        <w:t>Union Employees</w:t>
      </w:r>
      <w:r>
        <w:rPr>
          <w:rFonts w:ascii="Times New Roman" w:cs="Times New Roman" w:eastAsia="Times New Roman" w:hAnsi="Times New Roman"/>
          <w:sz w:val="21"/>
          <w:szCs w:val="21"/>
          <w:color w:val="auto"/>
        </w:rPr>
        <w:t>”), each employee of a member of the Company Group, as of the Execution Date, who is neither a Union Employee nor a Crude Employee (the “</w:t>
      </w:r>
      <w:r>
        <w:rPr>
          <w:rFonts w:ascii="Times New Roman" w:cs="Times New Roman" w:eastAsia="Times New Roman" w:hAnsi="Times New Roman"/>
          <w:sz w:val="21"/>
          <w:szCs w:val="21"/>
          <w:b w:val="1"/>
          <w:bCs w:val="1"/>
          <w:i w:val="1"/>
          <w:iCs w:val="1"/>
          <w:color w:val="auto"/>
        </w:rPr>
        <w:t>Available Company Employees</w:t>
      </w:r>
      <w:r>
        <w:rPr>
          <w:rFonts w:ascii="Times New Roman" w:cs="Times New Roman" w:eastAsia="Times New Roman" w:hAnsi="Times New Roman"/>
          <w:sz w:val="21"/>
          <w:szCs w:val="21"/>
          <w:color w:val="auto"/>
        </w:rPr>
        <w:t>”), and each employee of Seller or a Seller Affiliate, as of the Execution Date, who provides services to a member of the Company Group and who is available for hire by Buyer or its Affiliate (the “</w:t>
      </w:r>
      <w:r>
        <w:rPr>
          <w:rFonts w:ascii="Times New Roman" w:cs="Times New Roman" w:eastAsia="Times New Roman" w:hAnsi="Times New Roman"/>
          <w:sz w:val="21"/>
          <w:szCs w:val="21"/>
          <w:b w:val="1"/>
          <w:bCs w:val="1"/>
          <w:i w:val="1"/>
          <w:iCs w:val="1"/>
          <w:color w:val="auto"/>
        </w:rPr>
        <w:t>Available 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Employees</w:t>
      </w:r>
      <w:r>
        <w:rPr>
          <w:rFonts w:ascii="Times New Roman" w:cs="Times New Roman" w:eastAsia="Times New Roman" w:hAnsi="Times New Roman"/>
          <w:sz w:val="21"/>
          <w:szCs w:val="21"/>
          <w:color w:val="auto"/>
        </w:rPr>
        <w:t>”) and sets forth for each such Union Employee, Available Company Employee, and Available U.S. Employee;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individual’s name, the individual’s job title, the individual’s service date, base annual salary or hourly rate of pay, as applicable, 2025 target bonus, as applicable, any incentive compensation other than annual bonus, whether temporary or permanent, full-time or part-time, employing entity, whether such individual is on leave and, if so, anticipated return to work date (if known), vacation/paid time off entitlement and primary working location. The Employee List shall also set forth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6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Available U.S. Employee whether such Available U.S. Employee is exempt or non-exempt from the overtime pay requirements of U.S. Fair Labour Standards Act and analogous state wage and hour Laws. Seller shall promptly update the Employee List as necessary prior to Closing to reflect any employment changes, or to add any immaterial omissions or correct any immaterial errors in the Employee List with respect to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that come to Seller’s Knowledge, and, in each case, such Employee List shall be deemed updated for all purposes hereunder.</w:t>
      </w:r>
    </w:p>
    <w:p>
      <w:pPr>
        <w:spacing w:after="0" w:line="152" w:lineRule="exact"/>
        <w:rPr>
          <w:sz w:val="20"/>
          <w:szCs w:val="20"/>
          <w:color w:val="auto"/>
        </w:rPr>
      </w:pPr>
    </w:p>
    <w:p>
      <w:pPr>
        <w:jc w:val="both"/>
        <w:ind w:firstLine="1304"/>
        <w:spacing w:after="0" w:line="220" w:lineRule="auto"/>
        <w:tabs>
          <w:tab w:leader="none" w:pos="193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Contractor List</w:t>
      </w:r>
      <w:r>
        <w:rPr>
          <w:rFonts w:ascii="Times New Roman" w:cs="Times New Roman" w:eastAsia="Times New Roman" w:hAnsi="Times New Roman"/>
          <w:sz w:val="22"/>
          <w:szCs w:val="22"/>
          <w:color w:val="auto"/>
        </w:rPr>
        <w:t>. Within ninety (90) days following the Execution Date, Seller shall deliver to Buyer a list of key contractors who provide material services to the Company Group and have an ongoing and recurring relationship with Company Group. The Buyer and Seller shall work cooperatively to develop the additional parameters for disclosure of key contractors following the Execution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Reorganization of Crude Employees</w:t>
      </w:r>
      <w:r>
        <w:rPr>
          <w:rFonts w:ascii="Times New Roman" w:cs="Times New Roman" w:eastAsia="Times New Roman" w:hAnsi="Times New Roman"/>
          <w:sz w:val="22"/>
          <w:szCs w:val="22"/>
          <w:color w:val="auto"/>
        </w:rPr>
        <w:t>. With respect to the employees of a member of the Company Group who are, as of the Execution Date, employed in Canada and who work primarily for the Company Group’s business associated with the Seller Retained Assets or who are otherwise expressly identified by Seller to be employed by Seller or an Affiliate of Seller’s post-Closing (the “</w:t>
      </w:r>
      <w:r>
        <w:rPr>
          <w:rFonts w:ascii="Times New Roman" w:cs="Times New Roman" w:eastAsia="Times New Roman" w:hAnsi="Times New Roman"/>
          <w:sz w:val="22"/>
          <w:szCs w:val="22"/>
          <w:b w:val="1"/>
          <w:bCs w:val="1"/>
          <w:i w:val="1"/>
          <w:iCs w:val="1"/>
          <w:color w:val="auto"/>
        </w:rPr>
        <w:t>Crude Employees</w:t>
      </w:r>
      <w:r>
        <w:rPr>
          <w:rFonts w:ascii="Times New Roman" w:cs="Times New Roman" w:eastAsia="Times New Roman" w:hAnsi="Times New Roman"/>
          <w:sz w:val="22"/>
          <w:szCs w:val="22"/>
          <w:color w:val="auto"/>
        </w:rPr>
        <w:t>”), Seller shall or shall cause an Affiliate of Seller to offer employment to each such Crude Employee effective on and conditional upon the Closing.</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Employment; Employment Offers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Buyer during the period commencing at the Closing Date and ending on the date that is twelve (12) months following the Closing Date, to provide (or cause the Buyer Employer to provide) to each Continuing Non-Union Employee, during any period of such Continuing Non-Union Employee’s employment with the Buyer Employer following the Closing, terms and conditions of employment, including compensation and benefits that taken as a whole, are substantially similar in the aggregate to the terms of employment that the Continuing Non-Union Employee received immediately prior to Closing.</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Union Employee shall continue in employment with Buyer Employer following the Closing.</w:t>
      </w:r>
    </w:p>
    <w:p>
      <w:pPr>
        <w:spacing w:after="0" w:line="190" w:lineRule="exact"/>
        <w:rPr>
          <w:rFonts w:ascii="Times New Roman" w:cs="Times New Roman" w:eastAsia="Times New Roman" w:hAnsi="Times New Roman"/>
          <w:sz w:val="21"/>
          <w:szCs w:val="21"/>
          <w:color w:val="auto"/>
        </w:rPr>
      </w:pPr>
    </w:p>
    <w:p>
      <w:pPr>
        <w:jc w:val="both"/>
        <w:ind w:left="660" w:firstLine="1292"/>
        <w:spacing w:after="0" w:line="209" w:lineRule="auto"/>
        <w:tabs>
          <w:tab w:leader="none" w:pos="260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the right to select which of the Available Company Employees shall continue in employment with Buyer or one of its Affiliates (including, post-Closing, a member of the Company Group) following the Closing (such entity that employs the Available Company Employee and the Union Employees post-Closing, being the “</w:t>
      </w:r>
      <w:r>
        <w:rPr>
          <w:rFonts w:ascii="Times New Roman" w:cs="Times New Roman" w:eastAsia="Times New Roman" w:hAnsi="Times New Roman"/>
          <w:sz w:val="22"/>
          <w:szCs w:val="22"/>
          <w:b w:val="1"/>
          <w:bCs w:val="1"/>
          <w:i w:val="1"/>
          <w:iCs w:val="1"/>
          <w:color w:val="auto"/>
        </w:rPr>
        <w:t>Buyer Employer</w:t>
      </w:r>
      <w:r>
        <w:rPr>
          <w:rFonts w:ascii="Times New Roman" w:cs="Times New Roman" w:eastAsia="Times New Roman" w:hAnsi="Times New Roman"/>
          <w:sz w:val="22"/>
          <w:szCs w:val="22"/>
          <w:color w:val="auto"/>
        </w:rPr>
        <w:t>”). From and after the Execution Date, Seller shall provide Buyer and its Affiliates with reasonable access to any Available Company Employee whom Buyer elects to interview for continued employment, at reasonable times during working hours and on reasonable written notice, and Seller shall allow Buyer or its Affiliates to interview such Available Company Employees. For the avoidance of doubt, Buyer may select for continued employment any Available Company Employee regardless of whether Buyer elects to interview such Available Company Employee. Within one hundred and twenty (120) days following the Execution Date (or if later, the date that is fifteen (15) days following the date an Available Company Employee is added to the Employee List), Buyer shall identify in writing to Seller each Available Company Employee whom Buyer has selected to continue employment with Buyer Employer following the Closing and who has accepted an offer of continuing employment (if applicable) (such employees, the “</w:t>
      </w:r>
      <w:r>
        <w:rPr>
          <w:rFonts w:ascii="Times New Roman" w:cs="Times New Roman" w:eastAsia="Times New Roman" w:hAnsi="Times New Roman"/>
          <w:sz w:val="22"/>
          <w:szCs w:val="22"/>
          <w:b w:val="1"/>
          <w:bCs w:val="1"/>
          <w:i w:val="1"/>
          <w:iCs w:val="1"/>
          <w:color w:val="auto"/>
        </w:rPr>
        <w:t>Selected Available Company Employees</w:t>
      </w:r>
      <w:r>
        <w:rPr>
          <w:rFonts w:ascii="Times New Roman" w:cs="Times New Roman" w:eastAsia="Times New Roman" w:hAnsi="Times New Roman"/>
          <w:sz w:val="22"/>
          <w:szCs w:val="22"/>
          <w:color w:val="auto"/>
        </w:rPr>
        <w:t>”). With respect to any Available Company Employee who is not a Selected Available Company Employee or any Selected Available Company Employee who did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5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not accept an offer of continuing employment from Buyer (an “</w:t>
      </w:r>
      <w:r>
        <w:rPr>
          <w:rFonts w:ascii="Times New Roman" w:cs="Times New Roman" w:eastAsia="Times New Roman" w:hAnsi="Times New Roman"/>
          <w:sz w:val="21"/>
          <w:szCs w:val="21"/>
          <w:b w:val="1"/>
          <w:bCs w:val="1"/>
          <w:i w:val="1"/>
          <w:iCs w:val="1"/>
          <w:color w:val="auto"/>
        </w:rPr>
        <w:t>Unselected Employee</w:t>
      </w:r>
      <w:r>
        <w:rPr>
          <w:rFonts w:ascii="Times New Roman" w:cs="Times New Roman" w:eastAsia="Times New Roman" w:hAnsi="Times New Roman"/>
          <w:sz w:val="21"/>
          <w:szCs w:val="21"/>
          <w:color w:val="auto"/>
        </w:rPr>
        <w:t>”), Seller shall or shall cause an Affiliate of Seller to offer employment to such Unselected Employee effective on and conditional upon the Closing or shall otherwise cause the Company Group to terminate the employment of such Unselected Employee effective upon Closing (a “</w:t>
      </w:r>
      <w:r>
        <w:rPr>
          <w:rFonts w:ascii="Times New Roman" w:cs="Times New Roman" w:eastAsia="Times New Roman" w:hAnsi="Times New Roman"/>
          <w:sz w:val="21"/>
          <w:szCs w:val="21"/>
          <w:b w:val="1"/>
          <w:bCs w:val="1"/>
          <w:i w:val="1"/>
          <w:iCs w:val="1"/>
          <w:color w:val="auto"/>
        </w:rPr>
        <w:t>Terminated Employee</w:t>
      </w:r>
      <w:r>
        <w:rPr>
          <w:rFonts w:ascii="Times New Roman" w:cs="Times New Roman" w:eastAsia="Times New Roman" w:hAnsi="Times New Roman"/>
          <w:sz w:val="21"/>
          <w:szCs w:val="21"/>
          <w:color w:val="auto"/>
        </w:rPr>
        <w:t>”). The Seller shall cause the Company Group to terminate, effective upon Closing, the employment of any Unselected Employee who has not accepted in writing employment with the Seller or an Affiliate of Seller at least three (3) Business Days prior to Closing (also a “</w:t>
      </w:r>
      <w:r>
        <w:rPr>
          <w:rFonts w:ascii="Times New Roman" w:cs="Times New Roman" w:eastAsia="Times New Roman" w:hAnsi="Times New Roman"/>
          <w:sz w:val="21"/>
          <w:szCs w:val="21"/>
          <w:b w:val="1"/>
          <w:bCs w:val="1"/>
          <w:i w:val="1"/>
          <w:iCs w:val="1"/>
          <w:color w:val="auto"/>
        </w:rPr>
        <w:t>Terminated Employee</w:t>
      </w:r>
      <w:r>
        <w:rPr>
          <w:rFonts w:ascii="Times New Roman" w:cs="Times New Roman" w:eastAsia="Times New Roman" w:hAnsi="Times New Roman"/>
          <w:sz w:val="21"/>
          <w:szCs w:val="21"/>
          <w:color w:val="auto"/>
        </w:rPr>
        <w:t xml:space="preserve">”). Seller shall be responsible for, and shall indemnify and hold Buyer and its Affiliates harmless from, all liabilities airing arising out of or related to the termination of employment by the Company Group of any Terminated Employee, including notice of termination, termination pay, severance pay, or damages for wrongful dismissal,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Seller shall not be responsible for, and Buyer shall indemnify and hold Seller and its Affiliates harmless from, any human rights damages relating to Buyer’s selection of which Available Company Employees shall be Selected Available Company Employees.</w:t>
      </w:r>
    </w:p>
    <w:p>
      <w:pPr>
        <w:spacing w:after="0" w:line="152" w:lineRule="exact"/>
        <w:rPr>
          <w:sz w:val="20"/>
          <w:szCs w:val="20"/>
          <w:color w:val="auto"/>
        </w:rPr>
      </w:pPr>
    </w:p>
    <w:p>
      <w:pPr>
        <w:jc w:val="both"/>
        <w:ind w:firstLine="1292"/>
        <w:spacing w:after="0" w:line="207" w:lineRule="auto"/>
        <w:tabs>
          <w:tab w:leader="none" w:pos="1932"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Execution Date, Seller shall provide Buyer and its Affiliates with reasonable access to any Available U.S. Employee whom Buyer elects to interview for employment, at reasonable times during working hours and on reasonable written notice and shall allow Buyer or its Affiliates to interview such Available U.S. Employees regarding the opportunity for employment with Buyer Employer following the Closing. Buyer Employer shall have the right to offer employment to any Available U.S. Employee of its choosing within one hundred and twenty (120) days following the Execution Date. Each such employment offer made to an Available U.S. Employee shall provide for the commencement of employment to be effective upon the applicable Transfer Date, a base annualized salary or hourly rate of pay, as applicable, that is not less than as the Available U.S. Employee’s base annualized salary or hourly pay rate, as applicable, immediately prior to the Transfer Date, details of Buyer’s cash-based incentive compensation, bonus opportunities and employee benefits (which shall satisfy the criteria set forth in </w:t>
      </w:r>
      <w:r>
        <w:rPr>
          <w:rFonts w:ascii="Times New Roman" w:cs="Times New Roman" w:eastAsia="Times New Roman" w:hAnsi="Times New Roman"/>
          <w:sz w:val="22"/>
          <w:szCs w:val="22"/>
          <w:u w:val="single" w:color="auto"/>
          <w:color w:val="auto"/>
        </w:rPr>
        <w:t>Section 6.9(d)(i)</w:t>
      </w:r>
      <w:r>
        <w:rPr>
          <w:rFonts w:ascii="Times New Roman" w:cs="Times New Roman" w:eastAsia="Times New Roman" w:hAnsi="Times New Roman"/>
          <w:sz w:val="22"/>
          <w:szCs w:val="22"/>
          <w:color w:val="auto"/>
        </w:rPr>
        <w:t>) for such Available U.S. Employee that are offered by Buyer Employer and a period of at least five (5) Business Days in which such Available U.S. Employee may accept or reject such offer, shall be subject only to the occurrence of the Closing, and shall be delivered to such Available U.S. Employee in writing. Seller shall, and shall cause the Seller Affiliates to, refrain from taking any action (oral or written) that interferes with, discourages or dissuades any such Available U.S. Employee from accepting an offer of employment from the applicable Buyer Employer. At least ten (10) days prior to the anticipated Closing Date, Buyer shall deliver to Seller a list of the Available U.S. Employees to whom Buyer Employer has made an offer of employment and who have accepted employment with Buyer Employer (the “</w:t>
      </w:r>
      <w:r>
        <w:rPr>
          <w:rFonts w:ascii="Times New Roman" w:cs="Times New Roman" w:eastAsia="Times New Roman" w:hAnsi="Times New Roman"/>
          <w:sz w:val="22"/>
          <w:szCs w:val="22"/>
          <w:b w:val="1"/>
          <w:bCs w:val="1"/>
          <w:i w:val="1"/>
          <w:iCs w:val="1"/>
          <w:color w:val="auto"/>
        </w:rPr>
        <w:t>Transferred U.S. Employees</w:t>
      </w:r>
      <w:r>
        <w:rPr>
          <w:rFonts w:ascii="Times New Roman" w:cs="Times New Roman" w:eastAsia="Times New Roman" w:hAnsi="Times New Roman"/>
          <w:sz w:val="22"/>
          <w:szCs w:val="22"/>
          <w:color w:val="auto"/>
        </w:rPr>
        <w:t>”), and each Available U.S. Employee who has rejected Buyer Employer’s offer of employment. The “</w:t>
      </w:r>
      <w:r>
        <w:rPr>
          <w:rFonts w:ascii="Times New Roman" w:cs="Times New Roman" w:eastAsia="Times New Roman" w:hAnsi="Times New Roman"/>
          <w:sz w:val="22"/>
          <w:szCs w:val="22"/>
          <w:b w:val="1"/>
          <w:bCs w:val="1"/>
          <w:i w:val="1"/>
          <w:iCs w:val="1"/>
          <w:color w:val="auto"/>
        </w:rPr>
        <w:t>Transfer Date</w:t>
      </w:r>
      <w:r>
        <w:rPr>
          <w:rFonts w:ascii="Times New Roman" w:cs="Times New Roman" w:eastAsia="Times New Roman" w:hAnsi="Times New Roman"/>
          <w:sz w:val="22"/>
          <w:szCs w:val="22"/>
          <w:color w:val="auto"/>
        </w:rPr>
        <w:t>” for each Transferred U.S. Employee shall be 12:00:01 a.m. Houston, Texas time on the Closing Date, except with respect to any Available U.S. Employee to whom an employment offer is made and who is on a medical or other approved leave of absence (“</w:t>
      </w:r>
      <w:r>
        <w:rPr>
          <w:rFonts w:ascii="Times New Roman" w:cs="Times New Roman" w:eastAsia="Times New Roman" w:hAnsi="Times New Roman"/>
          <w:sz w:val="22"/>
          <w:szCs w:val="22"/>
          <w:b w:val="1"/>
          <w:bCs w:val="1"/>
          <w:i w:val="1"/>
          <w:iCs w:val="1"/>
          <w:color w:val="auto"/>
        </w:rPr>
        <w:t>Leave</w:t>
      </w:r>
      <w:r>
        <w:rPr>
          <w:rFonts w:ascii="Times New Roman" w:cs="Times New Roman" w:eastAsia="Times New Roman" w:hAnsi="Times New Roman"/>
          <w:sz w:val="22"/>
          <w:szCs w:val="22"/>
          <w:color w:val="auto"/>
        </w:rPr>
        <w:t>”) as of the Closing Date, in which case the Transfer Date shall be the date upon which such Available U.S. Employee is first able to commence active employment with Buyer Employer. Notwithstanding anything herein to the contrary, an Available U.S. Employee who is on Leave as of the Closing Date shall not become a Transferred U.S. Employee unless such Available U.S. Employee commences active employment with Buyer Employer within one hundred twenty (120) days after the Closing Date or such later time as may be required by applicable Law. The Selected Available Company Employees and the Transferred U.S. Employees are referred to herein as the “</w:t>
      </w:r>
      <w:r>
        <w:rPr>
          <w:rFonts w:ascii="Times New Roman" w:cs="Times New Roman" w:eastAsia="Times New Roman" w:hAnsi="Times New Roman"/>
          <w:sz w:val="22"/>
          <w:szCs w:val="22"/>
          <w:b w:val="1"/>
          <w:bCs w:val="1"/>
          <w:i w:val="1"/>
          <w:iCs w:val="1"/>
          <w:color w:val="auto"/>
        </w:rPr>
        <w:t>Continuing Non-Union Employees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580"/>
          </w:cols>
          <w:pgMar w:left="980" w:top="1440" w:right="339" w:bottom="1440" w:gutter="0" w:footer="0" w:header="0"/>
        </w:sectPr>
      </w:pPr>
    </w:p>
    <w:bookmarkStart w:id="112" w:name="page113"/>
    <w:bookmarkEnd w:id="112"/>
    <w:p>
      <w:pPr>
        <w:spacing w:after="0" w:line="63" w:lineRule="exact"/>
        <w:rPr>
          <w:sz w:val="20"/>
          <w:szCs w:val="20"/>
          <w:color w:val="auto"/>
        </w:rPr>
      </w:pPr>
    </w:p>
    <w:p>
      <w:pPr>
        <w:jc w:val="both"/>
        <w:ind w:left="4" w:firstLine="1292"/>
        <w:spacing w:after="0" w:line="218" w:lineRule="auto"/>
        <w:tabs>
          <w:tab w:leader="none" w:pos="1936"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covenants that effective as of the Closing, Buyer Employer shall: (A) recognize each Continuing Non-Union Employee’s years of service with Seller and/or a Seller Affiliate (together with any predecessors thereof that previously employed such Continuing Non-Union Employee and as to which Seller and/or a Seller Affiliate recognize such years of service), in each case as set forth in the Employee List, and (B) provide each Continuing Non-Union Employee with compensation and benefits that taken as a whole are substantially similar in the aggregate to the terms and conditions of employment that the Continuing Non-Union Employees had prior to Closing, except in either case, as applicable, (w) such service was not credited under a corresponding Seller Benefit Plan or Company Benefit Plan,</w:t>
      </w:r>
    </w:p>
    <w:p>
      <w:pPr>
        <w:ind w:left="4" w:hanging="4"/>
        <w:spacing w:after="0" w:line="225" w:lineRule="auto"/>
        <w:tabs>
          <w:tab w:leader="none" w:pos="33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benefit accrual purposes under defined benefit pension plans, (y) for purposes of qualifying for early retirement subsidies, and (z) to the extent it would result in a duplication of benefits.</w:t>
      </w:r>
    </w:p>
    <w:p>
      <w:pPr>
        <w:spacing w:after="0" w:line="149" w:lineRule="exact"/>
        <w:rPr>
          <w:rFonts w:ascii="Times New Roman" w:cs="Times New Roman" w:eastAsia="Times New Roman" w:hAnsi="Times New Roman"/>
          <w:sz w:val="22"/>
          <w:szCs w:val="22"/>
          <w:color w:val="auto"/>
        </w:rPr>
      </w:pPr>
    </w:p>
    <w:p>
      <w:pPr>
        <w:jc w:val="both"/>
        <w:ind w:left="4" w:firstLine="1292"/>
        <w:spacing w:after="0" w:line="212" w:lineRule="auto"/>
        <w:tabs>
          <w:tab w:leader="none" w:pos="1942"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responsible for paying, and will pay, each Continuing Non-Union Employee’s target annual bonus and accrued vacation time for the calendar year that includes such Continuing Non-Union Employee’s Transfer Date (in the case of a Transferred U.S. Employee) or the Closing Date (in the case of any other Continuing Non-Union Employee), pro-rated for the portion of the calendar year before the Transfer Date (in the case of a Transferred U.S. Employee) or the Closing Date (in the case of any other Continuing Non-Union Employee). On and after the Transfer Date, Buyer shall be responsible for paying the Continuing Non-Union Employee’s annual bonus, if any, to the Continuing Non-Union Employees, which annual bonus shall be determined by Buyer, in its sole discretion, in accordance with the bonus structure put in place for the Continuing Non-Union Employees by Seller.</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13" w:lineRule="auto"/>
        <w:tabs>
          <w:tab w:leader="none" w:pos="194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Buyer shall be able to transition Continuing Non-Union Employees from the Seller’s Benefit Plans and/or Company Benefit Plans to Buyer’s Benefit Plans. For greater certainty, regardless of the date that a Continuing Non-Union Employee begins participating in the Buyer’s Benefit Plans: (A) Seller shall remain liable for all benefits or amounts that become payable by reason of or in connection with claims incurred by Continuing Non-Union Employees or their eligible spouse or dependents prior to the Closing Date, and (B) Buyer will be liable for all benefits or amounts that become payable by reason of or in connection with claims incurred by Continuing Non-Union Employees or their eligible spouse or dependents from and after the Closing Date.</w:t>
      </w:r>
    </w:p>
    <w:p>
      <w:pPr>
        <w:spacing w:after="0" w:line="156" w:lineRule="exact"/>
        <w:rPr>
          <w:rFonts w:ascii="Times New Roman" w:cs="Times New Roman" w:eastAsia="Times New Roman" w:hAnsi="Times New Roman"/>
          <w:sz w:val="22"/>
          <w:szCs w:val="22"/>
          <w:color w:val="auto"/>
        </w:rPr>
      </w:pPr>
    </w:p>
    <w:p>
      <w:pPr>
        <w:jc w:val="both"/>
        <w:ind w:left="4" w:firstLine="1292"/>
        <w:spacing w:after="0" w:line="209" w:lineRule="auto"/>
        <w:tabs>
          <w:tab w:leader="none" w:pos="19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each Benefit Plan that is a welfare benefit plan (as defined in Section 3(1) of ERISA) with respect which similarly situated employees of Buyer Employer are eligible to participate, Buyer covenants that from and after the Closing Date, Buyer Employer shall use commercially reasonable efforts to and to the extent as may be permitted by such benefit plan providers, ensure that each Continuing Non-Union Employee and any spouse or dependent will be permitted to enroll in such plans without evidence of insurability and that such plans shall waive all coverage exclusions and limitations relating to waiting periods or pre-existing conditions, actively at work requirements, or other exclusions, if any, and any other restrictions that would prevent immediate or full participation by such Continuing Non-Union Employee or spouse or dependent thereof, under such plans, and credit the expenses of each Continuing Non-Union Employee which were credited toward deductibles, co-payments or out-of-pocket maximums for the year in which the Closing occurs under the applicable welfare Benefit Plan of Seller or any Seller Affiliate against satisfaction of any deductibles, co-payments or out-of-pocket maximums for the year in which the Closing occurs under Buyer Employer’s welfare Benefit Plan for each Continuing Non-Union Employee. Buyer’s obligation to comply with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6.9(e)(ii)</w:t>
      </w:r>
      <w:r>
        <w:rPr>
          <w:rFonts w:ascii="Times New Roman" w:cs="Times New Roman" w:eastAsia="Times New Roman" w:hAnsi="Times New Roman"/>
          <w:sz w:val="22"/>
          <w:szCs w:val="22"/>
          <w:color w:val="auto"/>
        </w:rPr>
        <w:t xml:space="preserv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0584"/>
          </w:cols>
          <w:pgMar w:left="976" w:top="1440" w:right="339" w:bottom="1440" w:gutter="0" w:footer="0" w:header="0"/>
        </w:sectPr>
      </w:pPr>
    </w:p>
    <w:bookmarkStart w:id="113" w:name="page114"/>
    <w:bookmarkEnd w:id="113"/>
    <w:p>
      <w:pPr>
        <w:spacing w:after="0" w:line="63"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 xml:space="preserve">expressly conditional on Buyer’s receipt of the information reasonably necessary to implement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6.9(e)(ii)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660" w:firstLine="1292"/>
        <w:spacing w:after="0" w:line="217" w:lineRule="auto"/>
        <w:tabs>
          <w:tab w:leader="none" w:pos="2599"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covenants that, from and after the Closing, Buyer Employer shall recognize all vacation/paid time off accrued and unused as of the Closing Date for each Continuing Non-Union Employee and provide each Continuing Non-Union Employee with vacation/paid time off in accordance with Buyer Employer’s vacation/paid time off policy based upon the recognized credited service of such Continuing Non-Union Employee with Seller or any Seller Affiliate.</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Buyer shall not be liable for, and Seller shall indemnify and hold Buyer harmless for, any obligations of Seller or any Seller Affiliate arising out of participation by Transferred U.S. Employees in any Seller Benefit Plan.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8"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shall remain responsible, and Seller shall indemnify and hold Buyer harmless for, for all claims for health, accident, sickness and disability benefits that are deemed incurred prior to the Closing Date by Transferred U.S. Employees or their eligible dependents, and Buyer Employer shall be responsible for all such claims by Transferred U.S. Employees or their eligible dependents that are not deemed incurred prior to the Closing Date. For purposes of this paragraph, a claim for health benefits (including claims for medical, prescription drug and dental expenses) will be deemed to have been incurred on the date on which the actual medical service, treatment or material was rendered to or received by the Transferred U.S. Employee or eligible dependent claiming such benefit and in the case of any claim for benefits other than those designated in the preceding </w:t>
      </w:r>
      <w:r>
        <w:rPr>
          <w:rFonts w:ascii="Times New Roman" w:cs="Times New Roman" w:eastAsia="Times New Roman" w:hAnsi="Times New Roman"/>
          <w:sz w:val="21"/>
          <w:szCs w:val="21"/>
          <w:u w:val="single" w:color="auto"/>
          <w:color w:val="auto"/>
        </w:rPr>
        <w:t>clause</w:t>
      </w:r>
      <w:r>
        <w:rPr>
          <w:rFonts w:ascii="Times New Roman" w:cs="Times New Roman" w:eastAsia="Times New Roman" w:hAnsi="Times New Roman"/>
          <w:sz w:val="21"/>
          <w:szCs w:val="21"/>
          <w:color w:val="auto"/>
        </w:rPr>
        <w:t xml:space="preserve"> (such as claims for life insurance or disability benefits), a claim will be deemed to have been incurred upon the occurrence of the event giving rise to such claim.</w:t>
      </w:r>
    </w:p>
    <w:p>
      <w:pPr>
        <w:spacing w:after="0" w:line="149" w:lineRule="exact"/>
        <w:rPr>
          <w:rFonts w:ascii="Times New Roman" w:cs="Times New Roman" w:eastAsia="Times New Roman" w:hAnsi="Times New Roman"/>
          <w:sz w:val="21"/>
          <w:szCs w:val="21"/>
          <w:color w:val="auto"/>
        </w:rPr>
      </w:pPr>
    </w:p>
    <w:p>
      <w:pPr>
        <w:jc w:val="both"/>
        <w:ind w:left="660" w:firstLine="1292"/>
        <w:spacing w:after="0" w:line="222" w:lineRule="auto"/>
        <w:tabs>
          <w:tab w:leader="none" w:pos="2604"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permit each Continuing Non-Union Employee who is a participant in a qualified retirement plan sponsored or maintained by Seller or a member of the Company Group (the “</w:t>
      </w:r>
      <w:r>
        <w:rPr>
          <w:rFonts w:ascii="Times New Roman" w:cs="Times New Roman" w:eastAsia="Times New Roman" w:hAnsi="Times New Roman"/>
          <w:sz w:val="21"/>
          <w:szCs w:val="21"/>
          <w:b w:val="1"/>
          <w:bCs w:val="1"/>
          <w:i w:val="1"/>
          <w:iCs w:val="1"/>
          <w:color w:val="auto"/>
        </w:rPr>
        <w:t>Seller Retirement Plan</w:t>
      </w:r>
      <w:r>
        <w:rPr>
          <w:rFonts w:ascii="Times New Roman" w:cs="Times New Roman" w:eastAsia="Times New Roman" w:hAnsi="Times New Roman"/>
          <w:sz w:val="21"/>
          <w:szCs w:val="21"/>
          <w:color w:val="auto"/>
        </w:rPr>
        <w:t>”) to become a participant in a qualified retirement plan sponsored or maintained by Buyer or its Affiliate (the “</w:t>
      </w:r>
      <w:r>
        <w:rPr>
          <w:rFonts w:ascii="Times New Roman" w:cs="Times New Roman" w:eastAsia="Times New Roman" w:hAnsi="Times New Roman"/>
          <w:sz w:val="21"/>
          <w:szCs w:val="21"/>
          <w:b w:val="1"/>
          <w:bCs w:val="1"/>
          <w:i w:val="1"/>
          <w:iCs w:val="1"/>
          <w:color w:val="auto"/>
        </w:rPr>
        <w:t>Buyer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Retirement Plan</w:t>
      </w:r>
      <w:r>
        <w:rPr>
          <w:rFonts w:ascii="Times New Roman" w:cs="Times New Roman" w:eastAsia="Times New Roman" w:hAnsi="Times New Roman"/>
          <w:sz w:val="21"/>
          <w:szCs w:val="21"/>
          <w:color w:val="auto"/>
        </w:rPr>
        <w:t>”) as soon as commercially practicable after the Closing Date, subject to the terms and conditions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Buyer Retirement Plan and subject to the terms and conditions of the Buyer Retirement Plan, to make rollover contributions of eligible rollover distributions in cash or a note (in the case of a participant loan) in an amount equal to the eligible rollover distribution portion of the account balance distributed to each such Continuing Non-Union Employee from the Seller Retirement Plan to the Buyer Retirement Plan effective as of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foregoing shall not require the Buyer Retirement Plan to accept a rollover of more than one loan note per participant).</w:t>
      </w:r>
    </w:p>
    <w:p>
      <w:pPr>
        <w:spacing w:after="0" w:line="149"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Buyer acknowledges that it is subject to applicable Laws in connection with the termination of any Continuing Non-Union Employee and is required to comply with the terms and conditions of the applicable CBA in connection with the termination of any Union Employee. In the event that the employment of any Continuing Non-Union Employee is terminated by Buyer Employer within one (1) year following the Closing Date (other than for cause as determined in good faith by Buyer Employer), the Buyer Employer intends to provide such Continuing Non-Union Employee with an amount not less than the amount such Continuing Non-Union Employee would have been eligible to receive from the applicable member of the Company Group under the ownership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3" w:lineRule="exact"/>
        <w:rPr>
          <w:sz w:val="20"/>
          <w:szCs w:val="20"/>
          <w:color w:val="auto"/>
        </w:rPr>
      </w:pPr>
    </w:p>
    <w:p>
      <w:pPr>
        <w:jc w:val="both"/>
        <w:ind w:firstLine="1304"/>
        <w:spacing w:after="0" w:line="217"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Union Employees</w:t>
      </w:r>
      <w:r>
        <w:rPr>
          <w:rFonts w:ascii="Times New Roman" w:cs="Times New Roman" w:eastAsia="Times New Roman" w:hAnsi="Times New Roman"/>
          <w:sz w:val="22"/>
          <w:szCs w:val="22"/>
          <w:color w:val="auto"/>
        </w:rPr>
        <w:t xml:space="preserve">. With respect to the Union Employees, as of and following the Closing, Buyer shall cause Buyer Employer to comply with the terms and conditions of the CBAs listed on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For the avoidance of doubt, in the event any of the terms set forth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conflict with the terms and conditions of the CBAs listed on </w:t>
      </w:r>
      <w:r>
        <w:rPr>
          <w:rFonts w:ascii="Times New Roman" w:cs="Times New Roman" w:eastAsia="Times New Roman" w:hAnsi="Times New Roman"/>
          <w:sz w:val="22"/>
          <w:szCs w:val="22"/>
          <w:u w:val="single" w:color="auto"/>
          <w:color w:val="auto"/>
        </w:rPr>
        <w:t>Schedule 4.19(a)</w:t>
      </w:r>
      <w:r>
        <w:rPr>
          <w:rFonts w:ascii="Times New Roman" w:cs="Times New Roman" w:eastAsia="Times New Roman" w:hAnsi="Times New Roman"/>
          <w:sz w:val="22"/>
          <w:szCs w:val="22"/>
          <w:color w:val="auto"/>
        </w:rPr>
        <w:t xml:space="preserve"> of the Seller Disclosure Schedules as applicable to a Union Employee, Buyer shall cause Buyer Employer to comply with the applicable terms and conditions of such CBA.</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Claims</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is intended to (i) be treated as an amendment to or establishment of any particular Benefit Plan, (ii) prevent Buyer or any of its Affiliates, after the Closing, from terminating the employment of any Continuing Non-Union Employee or other service provider, provided that Buyer shall indemnify and hold Seller and its Affiliates harmless from all liabilities airing arising out of or related such termination, (iii) prevent Buyer or any of its Affiliates from amending or terminating any Benefit Plan or other compensation plan or (iv) prevent Buyer or any of its Affiliates, after Closing, from terminating any CBA in accordance with applicable Law. Nothing in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is intended to or shall confer upon any Person (including any Union Employee or Continuing Non-Union Employee and any beneficiary or dependent thereof) other than the Parties, and their successors and permitted assigns, any rights, benefits, or remedies of any nature whatsoever under or by reason of the provisions of this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6.10 Public Announcements</w:t>
      </w:r>
      <w:r>
        <w:rPr>
          <w:rFonts w:ascii="Times New Roman" w:cs="Times New Roman" w:eastAsia="Times New Roman" w:hAnsi="Times New Roman"/>
          <w:sz w:val="22"/>
          <w:szCs w:val="22"/>
          <w:color w:val="auto"/>
        </w:rPr>
        <w:t>. The Parties or their Affiliates will concurrently issue a press release with respect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Agreement and the transactions contemplated thereby contemporaneously with or promptly after the execution of this Agreement. From and after the Execution Date and prior to the Closing, other than the initial press release described in the foregoing sentence, neither Seller nor Buyer shall make any press release or other public announcement regarding the existence of this Agreement, the contents hereof or the transactions contemplated hereby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foregoing shall not restrict disclosures to the extent necessary for a Party to perform this Agreement (including disclosures to Governmental Entities),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clause 6.10</w:t>
      </w:r>
      <w:r>
        <w:rPr>
          <w:rFonts w:ascii="Times New Roman" w:cs="Times New Roman" w:eastAsia="Times New Roman" w:hAnsi="Times New Roman"/>
          <w:sz w:val="22"/>
          <w:szCs w:val="22"/>
          <w:color w:val="auto"/>
        </w:rPr>
        <w:t>, each Party shall use Reasonable Efforts to consult with the other Party regarding the contents of any such release or announcement prior to making such release or announcement, to the extent required (upon advice of counsel) by applicable securities or other Laws or regulations or the applicable rules of any stock exchange having jurisdiction over the Parties or their respective Affiliates, to the extent necessary for a Party to enforce the terms of this Agreement or for Seller and its Affiliates to complete or report any matters with respect to the Pre-Closing Reorganization (including with respect to any Tax treatment), in connection with any customary rating agency, investor, analyst and earnings calls, presentations, meetings and conference calls or customary announcements and communications of an applicable Person or its Affiliates (so long as such Persons agree to keep the non-public terms of this Agreement confidential) or of the terms of this Agreement by Buyer or Seller to its respective Representatives.</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6.11 Expenses</w:t>
      </w:r>
      <w:r>
        <w:rPr>
          <w:rFonts w:ascii="Times New Roman" w:cs="Times New Roman" w:eastAsia="Times New Roman" w:hAnsi="Times New Roman"/>
          <w:sz w:val="22"/>
          <w:szCs w:val="22"/>
          <w:color w:val="auto"/>
        </w:rPr>
        <w:t>. Except as otherwise expressly provided in this Agreement, all fees and expenses incurred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Transaction Documents and the transactions contemplated hereby shall be paid by the Party incurring such fee or expense, whether or not the Closing shall have occurred.</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6.12 R&amp;W Policy</w:t>
      </w:r>
      <w:r>
        <w:rPr>
          <w:rFonts w:ascii="Times New Roman" w:cs="Times New Roman" w:eastAsia="Times New Roman" w:hAnsi="Times New Roman"/>
          <w:sz w:val="22"/>
          <w:szCs w:val="22"/>
          <w:color w:val="auto"/>
        </w:rPr>
        <w:t>. The Parties shall use commercially reasonable efforts to satisfy the conditions set forth in the R&amp;W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Binder Agreement to ensure that the R&amp;W Policy is fully bound and in full force and effect. Buyer shall use commercially reasonable efforts to maintain the R&amp;W Policy in effect at all times for the stated duration of its effectiveness. Buyer shall cause the R&amp;W Policy to name Buyer and/or an Affiliate thereof as the insured(s), subject to the terms thereof and the terms of this Agreement, insure Buyer from any breach of the representations and warranties given by Seller to Buyer under this Agreement or any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Documents and expressly provide that (i) the insurer(s) issuing such policy shall waive and release or otherwise not pursue any and all rights to bring any claim or proceeding against Seller or any of its Affiliates or any of their respective Representatives (each, a “</w:t>
      </w:r>
      <w:r>
        <w:rPr>
          <w:rFonts w:ascii="Times New Roman" w:cs="Times New Roman" w:eastAsia="Times New Roman" w:hAnsi="Times New Roman"/>
          <w:sz w:val="21"/>
          <w:szCs w:val="21"/>
          <w:b w:val="1"/>
          <w:bCs w:val="1"/>
          <w:i w:val="1"/>
          <w:iCs w:val="1"/>
          <w:color w:val="auto"/>
        </w:rPr>
        <w:t>Seller 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Seller Parties</w:t>
      </w:r>
      <w:r>
        <w:rPr>
          <w:rFonts w:ascii="Times New Roman" w:cs="Times New Roman" w:eastAsia="Times New Roman" w:hAnsi="Times New Roman"/>
          <w:sz w:val="21"/>
          <w:szCs w:val="21"/>
          <w:color w:val="auto"/>
        </w:rPr>
        <w:t>”) by way of subrogation, claim for contribution, indemnification or other right (other than, but solely in the case of, Fraud), (ii) the Fraud of any Party shall not be imputed to any other Person and</w:t>
      </w:r>
    </w:p>
    <w:p>
      <w:pPr>
        <w:spacing w:after="0" w:line="3" w:lineRule="exact"/>
        <w:rPr>
          <w:sz w:val="20"/>
          <w:szCs w:val="20"/>
          <w:color w:val="auto"/>
        </w:rPr>
      </w:pPr>
    </w:p>
    <w:p>
      <w:pPr>
        <w:jc w:val="both"/>
        <w:ind w:firstLine="8"/>
        <w:spacing w:after="0" w:line="207" w:lineRule="auto"/>
        <w:tabs>
          <w:tab w:leader="none" w:pos="38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Seller Party is an intended third-party beneficiary of the foregoing waiver and release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entitled to rely on and enforce such waiver and release as if a party to the R&amp;W Policy. From and after the Execution Date, Buyer shall not (and shall cause its Affiliates to not) grant any right of subrogation or otherwise amend, modify, terminate, or waive any term or condition of the R&amp;W Policy with respect to subrogation in a manner inconsistent with the immediately preceding sentence. Notwithstanding the foregoing, for the avoidance of doubt, the Parties acknowledge and agree that obtaining the R&amp;W Policy is not a condition to Buyer’s obligation to consummate the Closing, and Buyer shall remain obligated to consummate the transactions contemplated by this Agreement. The Parties acknowledge and agree that the failure to obtain or maintain the R&amp;W Policy shall not in any manner increase any liability of any Seller or the other Seller Parties, including if (x) the R&amp;W Policy is disputed, invalidated or deemed ineffective, in whole or in part, (y) the coverage provided under the R&amp;W Policy is denied, disputed, exhausted or otherwise made unavailable to Buyer or any of its Affiliates or any other insured thereunder, in whole or in part or (z) other than as specified herein, there is otherwise an absence of coverage for any reason. Buyer shall timely pay, or cause to be paid, costs and expenses related to the R&amp;W Policy, including the total premium, underwriting costs, brokerage commission and other fees and expenses (including Taxes) and retention for such policy and any claims made thereunder (collectively, the “</w:t>
      </w:r>
      <w:r>
        <w:rPr>
          <w:rFonts w:ascii="Times New Roman" w:cs="Times New Roman" w:eastAsia="Times New Roman" w:hAnsi="Times New Roman"/>
          <w:sz w:val="22"/>
          <w:szCs w:val="22"/>
          <w:b w:val="1"/>
          <w:bCs w:val="1"/>
          <w:i w:val="1"/>
          <w:iCs w:val="1"/>
          <w:color w:val="auto"/>
        </w:rPr>
        <w:t>R&amp;W Costs</w:t>
      </w:r>
      <w:r>
        <w:rPr>
          <w:rFonts w:ascii="Times New Roman" w:cs="Times New Roman" w:eastAsia="Times New Roman" w:hAnsi="Times New Roman"/>
          <w:sz w:val="22"/>
          <w:szCs w:val="22"/>
          <w:color w:val="auto"/>
        </w:rPr>
        <w:t>”), as such R&amp;W Costs are due. From and after issuance of the R&amp;W Policy, Buyer shall not amend, modify, or otherwise change, terminate or waive any provision of the R&amp;W Policy in a manner adverse to Seller. [Commercially sensitive provision relating to R&amp;W Costs redacted].</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6.13 Removal of Retained Marks; Name Change</w:t>
      </w:r>
      <w:r>
        <w:rPr>
          <w:rFonts w:ascii="Times New Roman" w:cs="Times New Roman" w:eastAsia="Times New Roman" w:hAnsi="Times New Roman"/>
          <w:sz w:val="22"/>
          <w:szCs w:val="22"/>
          <w:color w:val="auto"/>
        </w:rPr>
        <w:t>. Retained Marks will appear on some of the assets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Group, including on signage throughout the real property and pipeline rights of way of the Company Group, and on supplies, materials, stationery, brochures, advertising materials, manuals and similar consumable items or other collateral, be it physical or digital, of the Company Group. Buyer shall obtain no right, title, interest, license or any other right whatsoever to use the Retained Marks. Buyer shall promptly following the Closing, commence the process of changing the name of the Company and Plains Midstream Superior to remove any reference to the Retained Marks and thereafter prosecute to completion such name change with all reasonable diligence, within one hundred twenty (120) days after the Closing Date, remove the Retained Marks from the assets of the Company Group, including signage on the real and personal property of the Company Group, and provide written verification thereof to Seller promptly after completing such removal;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with respect to the removal of phone numbers or other Retained Marks on pipeline, valve and meter markers, Buyer shall complete such replacement or removal on or before such earlier date as required by applicable Law and within thirty (30) days after the Closing Date, return or destroy (with proof of destruction) all stationery, brochures, advertising materials, manuals and similar consumable items or other collateral, be it physical or digital of the Company Group that contain any Retained Marks that are not removable. Buyer will not conduct any business or offer any goods or services under the Retained Marks. Buyer will not send, or cause to be sent, any correspondence or other materials to any Person on any stationery that contains any Retained Marks or otherwise operate the Company Group in any manner which would or might confuse any Person into believing that Buyer has any right, title, interest, or license to use the Retained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6.14</w:t>
      </w:r>
      <w:r>
        <w:rPr>
          <w:sz w:val="20"/>
          <w:szCs w:val="20"/>
          <w:color w:val="auto"/>
        </w:rPr>
        <w:tab/>
      </w:r>
      <w:r>
        <w:rPr>
          <w:rFonts w:ascii="Times New Roman" w:cs="Times New Roman" w:eastAsia="Times New Roman" w:hAnsi="Times New Roman"/>
          <w:sz w:val="21"/>
          <w:szCs w:val="21"/>
          <w:b w:val="1"/>
          <w:bCs w:val="1"/>
          <w:color w:val="auto"/>
        </w:rPr>
        <w:t>Confidentiality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1"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notwithstanding anything to the contrary in the Confidentiality Agreement, the Confidentiality Agreement shall remain in full force and effect according to its terms until Closing (or if Closing does not occur, after termination of this Agreement as provided in the last sentence of this </w:t>
      </w:r>
      <w:r>
        <w:rPr>
          <w:rFonts w:ascii="Times New Roman" w:cs="Times New Roman" w:eastAsia="Times New Roman" w:hAnsi="Times New Roman"/>
          <w:sz w:val="22"/>
          <w:szCs w:val="22"/>
          <w:u w:val="single" w:color="auto"/>
          <w:color w:val="auto"/>
        </w:rPr>
        <w:t>Section 6.14(a)</w:t>
      </w:r>
      <w:r>
        <w:rPr>
          <w:rFonts w:ascii="Times New Roman" w:cs="Times New Roman" w:eastAsia="Times New Roman" w:hAnsi="Times New Roman"/>
          <w:sz w:val="22"/>
          <w:szCs w:val="22"/>
          <w:color w:val="auto"/>
        </w:rPr>
        <w:t xml:space="preserve">) and, Buyer shall keep confidential, in accordance with the provisions of the Confidentiality Agreement, information provided to Buyer pursuant to this Agreement and through the Closing, in each case, as if Buyer were a party to the Confidentiality Agreement. Effective upon Closing, the Confidentiality Agreement and the Clean Team Agreement shall terminate pursuant to the Confidentiality Agreements Termination. If this Agreement is terminated for any reason prior to the Closing, the Confidentiality Agreement and the provisions of this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shall nonetheless continue in full force and effect for a period of two (2) years after the date of such termination.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information regarding individuals that is provided by Seller or the Company to Buyer pursuant to or in connection with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 xml:space="preserve"> hereunder and any Personal Information disclosed by a Party in connection with the transactions contemplated by this Agreement (collectively, the “</w:t>
      </w:r>
      <w:r>
        <w:rPr>
          <w:rFonts w:ascii="Times New Roman" w:cs="Times New Roman" w:eastAsia="Times New Roman" w:hAnsi="Times New Roman"/>
          <w:sz w:val="22"/>
          <w:szCs w:val="22"/>
          <w:b w:val="1"/>
          <w:bCs w:val="1"/>
          <w:i w:val="1"/>
          <w:iCs w:val="1"/>
          <w:color w:val="auto"/>
        </w:rPr>
        <w:t>Transferred Information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Transferred Information is necessary to determine whether to proceed with the transactions contemplated under this Agreement, and if the determination is made to proceed with the transactions, to complete them;</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receiving Party of the Transferred Information shall:</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3"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disclose the Transferred Information solely for the purposes related to this Agreement or as otherwise permitted or required by Law,</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protect the Transferred Information by making reasonable security arrangements against such risks as unauthorized access, collection, use, disclosure, copying, modification, disposal or destruction;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arrangements include, at a minimum, safeguards appropriate to the sensitivity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Information, and</w:t>
      </w:r>
    </w:p>
    <w:p>
      <w:pPr>
        <w:spacing w:after="0" w:line="152" w:lineRule="exact"/>
        <w:rPr>
          <w:rFonts w:ascii="Times New Roman" w:cs="Times New Roman" w:eastAsia="Times New Roman" w:hAnsi="Times New Roman"/>
          <w:sz w:val="22"/>
          <w:szCs w:val="22"/>
          <w:color w:val="auto"/>
        </w:rPr>
      </w:pPr>
    </w:p>
    <w:p>
      <w:pPr>
        <w:ind w:left="1300" w:right="20" w:firstLine="1300"/>
        <w:spacing w:after="0" w:line="236" w:lineRule="auto"/>
        <w:tabs>
          <w:tab w:leader="none" w:pos="3235"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transactions contemplated under this Agreement do not proceed, return that information to the Party that disclosed it, or destroy it, within a reasonable time,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Closing does occur under this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w:t>
      </w:r>
    </w:p>
    <w:p>
      <w:pPr>
        <w:spacing w:after="0" w:line="179" w:lineRule="exact"/>
        <w:rPr>
          <w:rFonts w:ascii="Times New Roman" w:cs="Times New Roman" w:eastAsia="Times New Roman" w:hAnsi="Times New Roman"/>
          <w:sz w:val="22"/>
          <w:szCs w:val="22"/>
          <w:color w:val="auto"/>
        </w:rPr>
      </w:pPr>
    </w:p>
    <w:p>
      <w:pPr>
        <w:jc w:val="both"/>
        <w:ind w:left="1960" w:firstLine="1288"/>
        <w:spacing w:after="0" w:line="225" w:lineRule="auto"/>
        <w:tabs>
          <w:tab w:leader="none" w:pos="3899" w:val="left"/>
        </w:tabs>
        <w:numPr>
          <w:ilvl w:val="3"/>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disclose the Transferred Information solely for the purposes for which the Transferred Information were collected, permitted to be used or disclosed before the transactions were completed, or as otherwise permitted or required by Law,</w:t>
      </w:r>
    </w:p>
    <w:p>
      <w:pPr>
        <w:spacing w:after="0" w:line="152" w:lineRule="exact"/>
        <w:rPr>
          <w:rFonts w:ascii="Times New Roman" w:cs="Times New Roman" w:eastAsia="Times New Roman" w:hAnsi="Times New Roman"/>
          <w:sz w:val="22"/>
          <w:szCs w:val="22"/>
          <w:color w:val="auto"/>
        </w:rPr>
      </w:pPr>
    </w:p>
    <w:p>
      <w:pPr>
        <w:jc w:val="both"/>
        <w:ind w:left="1960" w:firstLine="1288"/>
        <w:spacing w:after="0" w:line="220" w:lineRule="auto"/>
        <w:tabs>
          <w:tab w:leader="none" w:pos="3899" w:val="left"/>
        </w:tabs>
        <w:numPr>
          <w:ilvl w:val="3"/>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protect the Transferred Information by making reasonable security arrangements against such risks as unauthorized access, collection, use, disclosure, copying, modification, disposal or destruction;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such arrangements include, at a minimum, safeguards appropriate to the sensitivity of the Transferred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3" w:lineRule="exact"/>
        <w:rPr>
          <w:sz w:val="20"/>
          <w:szCs w:val="20"/>
          <w:color w:val="auto"/>
        </w:rPr>
      </w:pPr>
    </w:p>
    <w:p>
      <w:pPr>
        <w:ind w:left="1960" w:firstLine="1288"/>
        <w:spacing w:after="0" w:line="236" w:lineRule="auto"/>
        <w:tabs>
          <w:tab w:leader="none" w:pos="3899"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effect to any withdrawal of consent made by an individual data subject of the Transferred Information made under applicable Law;</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notify each individual whose data is subject of the Transferred Information, within a reasonable time after Closing of the transactions contemplated under this Agreement that Closing has occurred and that their Personal Information has been disclosed in the course of determining whether to proceed with, and Closing, such transactions;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592"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greater certainty, without limiting any of the foregoing, Seller shall, and shall cause each of its Affiliates (other than the Company Group) to, protect and safeguard any Transferred Information which continues to be in any of their possession or under any of their control after Closing, and shall only use such Transferred Information in accordance with Privacy Laws.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Closing, subject to </w:t>
      </w:r>
      <w:r>
        <w:rPr>
          <w:rFonts w:ascii="Times New Roman" w:cs="Times New Roman" w:eastAsia="Times New Roman" w:hAnsi="Times New Roman"/>
          <w:sz w:val="21"/>
          <w:szCs w:val="21"/>
          <w:u w:val="single" w:color="auto"/>
          <w:color w:val="auto"/>
        </w:rPr>
        <w:t>Section 6.14(d)</w:t>
      </w:r>
      <w:r>
        <w:rPr>
          <w:rFonts w:ascii="Times New Roman" w:cs="Times New Roman" w:eastAsia="Times New Roman" w:hAnsi="Times New Roman"/>
          <w:sz w:val="21"/>
          <w:szCs w:val="21"/>
          <w:color w:val="auto"/>
        </w:rPr>
        <w:t xml:space="preserve">, each Party shall, and shall undertake Reasonable Efforts to cause its Affiliates and Representatives to, keep confidential and not disclose to any Person (other than such Party’s Affiliates and its and their Representatives that have a need to know, and with any further disclosure by any such Affiliate or Representative that such Party would be prohibited from making pursuant to the terms hereof being deemed a breach of such Party) in the case of Seller, any non-public information relating to the Company Group, its assets and businesses, this Agreement or the other Transaction Documents and in the case of Buyer, any information relating to Seller, the Seller Retained Assets, this Agreement or the other Transaction Documents, in each case of </w:t>
      </w:r>
      <w:r>
        <w:rPr>
          <w:rFonts w:ascii="Times New Roman" w:cs="Times New Roman" w:eastAsia="Times New Roman" w:hAnsi="Times New Roman"/>
          <w:sz w:val="21"/>
          <w:szCs w:val="21"/>
          <w:u w:val="single" w:color="auto"/>
          <w:color w:val="auto"/>
        </w:rPr>
        <w:t>clauses (c)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including any such information regarding the negotiations, terms and conditions of this Agreement or any other Transaction Document and all other documents related to the transactions contemplated hereunder, but subject to any confidentiality obligations set forth therein (collectively, the “</w:t>
      </w:r>
      <w:r>
        <w:rPr>
          <w:rFonts w:ascii="Times New Roman" w:cs="Times New Roman" w:eastAsia="Times New Roman" w:hAnsi="Times New Roman"/>
          <w:sz w:val="21"/>
          <w:szCs w:val="21"/>
          <w:b w:val="1"/>
          <w:bCs w:val="1"/>
          <w:i w:val="1"/>
          <w:iCs w:val="1"/>
          <w:color w:val="auto"/>
        </w:rPr>
        <w:t>Restricted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Information</w:t>
      </w:r>
      <w:r>
        <w:rPr>
          <w:rFonts w:ascii="Times New Roman" w:cs="Times New Roman" w:eastAsia="Times New Roman" w:hAnsi="Times New Roman"/>
          <w:sz w:val="21"/>
          <w:szCs w:val="21"/>
          <w:color w:val="auto"/>
        </w:rPr>
        <w:t>”) except as may be approved in writing by the other Party. Each Party and its Affiliates and Representatives 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directly or indirectly use such Restricted Information for any purpose, except as permitted by the terms of this Agreement.</w:t>
      </w:r>
    </w:p>
    <w:p>
      <w:pPr>
        <w:spacing w:after="0" w:line="157"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to keep such Restricted Information confidential and the restrictions on the use of such Restricted Information shall not apply to:</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10" w:lineRule="auto"/>
        <w:tabs>
          <w:tab w:leader="none" w:pos="259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information that is or becomes generally available to the public other than as a result of a breach of this </w:t>
      </w:r>
      <w:r>
        <w:rPr>
          <w:rFonts w:ascii="Times New Roman" w:cs="Times New Roman" w:eastAsia="Times New Roman" w:hAnsi="Times New Roman"/>
          <w:sz w:val="22"/>
          <w:szCs w:val="22"/>
          <w:u w:val="single" w:color="auto"/>
          <w:color w:val="auto"/>
        </w:rPr>
        <w:t>Section 6.14(d)</w:t>
      </w:r>
      <w:r>
        <w:rPr>
          <w:rFonts w:ascii="Times New Roman" w:cs="Times New Roman" w:eastAsia="Times New Roman" w:hAnsi="Times New Roman"/>
          <w:sz w:val="22"/>
          <w:szCs w:val="22"/>
          <w:color w:val="auto"/>
        </w:rPr>
        <w:t xml:space="preserve"> by the applicable Party or any of its Affiliates or its and their respective Representatives, was available to such Party or any of its Affiliates, or otherwise in the possession of such Party or any of its Affiliates, on a non-confidential basis prior to its disclosure to such Party by the disclosing Party or any of its Affiliates without such Party or any of its Affiliates being bound by a confidentiality agreement with, or secrecy obligation imposed by applicable law and owed to, such disclosing Party, any of its Affiliates, or any Third Party, becomes available to such Party or any of its Affiliates on a non-confidential basis from a source other than the disclosing Party or any of its Representatives,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source is not, to the knowledge of such Party or any of its Affiliates after reasonable inquiry, prohibited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transmitting the information to such Party or any of its Affiliates by a contractual or legal obligation to the disclosing Party or any of its Affiliates or is independently developed by such Party or any of its Affiliates without use or reference to any of the Restricted Information;</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and disclosures of Restricted Information in the course of any litigation, mediation or arbitration proceedings involving such Party, through interrogatory, or other similar requirement for such information to be disclosed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63"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 xml:space="preserve">rules of any other applicable United States, Canadian or other national stock exchange, the United States Securities and Exchange Commission or the Canadian Securities Administrators, to Governmental Entities lawfully requesting such information, to any Affiliates, legal, tax, accounting or other professional advisors of such Party, to prospective acquirers, financing sources, joint venture partners, equity investors or similar Persons in connection with any direct or indirect asset disposition or transfer, financing, merger, reorganization, equity investment or joint venture with respect to any Party or Affiliate of any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Persons enter into a confidentiality agreement containing confidentiality obligations that are substantially identical to (or no less restrictive) than the confidentiality obligations contained in this Agreement or reasonably necessary in order to consummate the transactions contemplated hereunder and under the other Transaction Documents; and</w:t>
      </w:r>
    </w:p>
    <w:p>
      <w:pPr>
        <w:spacing w:after="0" w:line="158" w:lineRule="exact"/>
        <w:rPr>
          <w:sz w:val="20"/>
          <w:szCs w:val="20"/>
          <w:color w:val="auto"/>
        </w:rPr>
      </w:pPr>
    </w:p>
    <w:p>
      <w:pPr>
        <w:jc w:val="both"/>
        <w:ind w:left="660" w:firstLine="1292"/>
        <w:spacing w:after="0" w:line="225" w:lineRule="auto"/>
        <w:tabs>
          <w:tab w:leader="none" w:pos="260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of the type that is customarily disclosed by a Party or its Affiliates in connection with rating agency, investor, analyst and earnings call presentations, meetings and conference calls or customary announcements and communications.</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6.15 Replacement of Bonds, Letters of Credit and Guarantees</w:t>
      </w:r>
      <w:r>
        <w:rPr>
          <w:rFonts w:ascii="Times New Roman" w:cs="Times New Roman" w:eastAsia="Times New Roman" w:hAnsi="Times New Roman"/>
          <w:sz w:val="22"/>
          <w:szCs w:val="22"/>
          <w:color w:val="auto"/>
        </w:rPr>
        <w:t>. Buyer shall use Reasonable Efforts to obtain,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cause to be obtained in the name of Buyer (or one of its Affiliates acceptable to the beneficiary thereof), prior to Closing, replacements for the bonds, letters of credit and guarantees identified in </w:t>
      </w:r>
      <w:r>
        <w:rPr>
          <w:rFonts w:ascii="Times New Roman" w:cs="Times New Roman" w:eastAsia="Times New Roman" w:hAnsi="Times New Roman"/>
          <w:sz w:val="22"/>
          <w:szCs w:val="22"/>
          <w:u w:val="single" w:color="auto"/>
          <w:color w:val="auto"/>
        </w:rPr>
        <w:t>Schedule 6.15</w:t>
      </w:r>
      <w:r>
        <w:rPr>
          <w:rFonts w:ascii="Times New Roman" w:cs="Times New Roman" w:eastAsia="Times New Roman" w:hAnsi="Times New Roman"/>
          <w:sz w:val="22"/>
          <w:szCs w:val="22"/>
          <w:color w:val="auto"/>
        </w:rPr>
        <w:t xml:space="preserve"> of the Seller Disclosure Schedules and such other bonds, letters of credit and guarantees posted (or supported) by Seller or any Seller Affiliate that may arise between the Execution Date and the Closing in the ordinary course of business consistent with past practice, or as required by a Governmental Entity, that are disclosed in writing by Seller to Buyer at least ten (10) Business Days prior to the Closing Date (collectively, the “</w:t>
      </w:r>
      <w:r>
        <w:rPr>
          <w:rFonts w:ascii="Times New Roman" w:cs="Times New Roman" w:eastAsia="Times New Roman" w:hAnsi="Times New Roman"/>
          <w:sz w:val="22"/>
          <w:szCs w:val="22"/>
          <w:b w:val="1"/>
          <w:bCs w:val="1"/>
          <w:i w:val="1"/>
          <w:iCs w:val="1"/>
          <w:color w:val="auto"/>
        </w:rPr>
        <w:t>Financial Guarantees</w:t>
      </w:r>
      <w:r>
        <w:rPr>
          <w:rFonts w:ascii="Times New Roman" w:cs="Times New Roman" w:eastAsia="Times New Roman" w:hAnsi="Times New Roman"/>
          <w:sz w:val="22"/>
          <w:szCs w:val="22"/>
          <w:color w:val="auto"/>
        </w:rPr>
        <w:t>”) and cause, effective as of the Closing, the cancellation or return to Seller of the Financial Guarantees. Seller shall provide reasonable cooperation to Buyer in connection therewith. If Buyer and Seller are unable to obtain a replacement or cancellation of any such bonds, letters of credit and guarantees prior to or at Closing, the Parties agree to continue to reasonably cooperate to affect such replacement or cancellation as soon as possible thereafter. From and after the Closing, Buyer shall indemnify and hold harmless Seller and each Seller Affiliate from and against any and all Losses arising from or relating to any Financial Guarantee.</w:t>
      </w:r>
    </w:p>
    <w:p>
      <w:pPr>
        <w:spacing w:after="0" w:line="152"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6.16 Insurance</w:t>
      </w:r>
      <w:r>
        <w:rPr>
          <w:rFonts w:ascii="Times New Roman" w:cs="Times New Roman" w:eastAsia="Times New Roman" w:hAnsi="Times New Roman"/>
          <w:sz w:val="22"/>
          <w:szCs w:val="22"/>
          <w:color w:val="auto"/>
        </w:rPr>
        <w:t>. Buyer acknowledges that, at or promptly following the Closing, the insurance policies maintained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 and Seller Affiliates for the benefit of any member of the Company Group shall be terminated or modified to exclude coverage of each member of the Company Group, and, as a result, Buyer shall be obligated from and after Closing to self-insure or obtain at its sole cost and expense replacement insurance, including insurance required by any Third Party to be maintained by or for the benefit of the Company Group. If required by Law or Contract, Buyer shall provide to Governmental Entities and Third Parties evidence of such replacement or substitute insurance coverage for the continued operations of the business of each member of the Company Group following the Closing.</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6.17 Seller Pre-Closing Reorganization</w:t>
      </w:r>
      <w:r>
        <w:rPr>
          <w:rFonts w:ascii="Times New Roman" w:cs="Times New Roman" w:eastAsia="Times New Roman" w:hAnsi="Times New Roman"/>
          <w:sz w:val="22"/>
          <w:szCs w:val="22"/>
          <w:color w:val="auto"/>
        </w:rPr>
        <w:t>. Seller shall undertake and complete the Pre-Closing Reorganization at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prior to Closing in a manner consistent in all material respects with the Reorganization Summary, subject to any Permitted Amendments. Not later than ten (10) Business Days prior to the Closing Date, Seller shall notify Buyer of any Permitted Amendments proposed to be made to the Pre-Closing Reorganization as compared to the Reorganization Summary and deliver to Buyer copies of all Pre-Closing Reorganization Documents to which any member of the Company Group is party, which shall be in a form and content satisfactory to Buyer, acting reasonably. In the event any such Permitted Amendments require the consent of Buyer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the definition of “Permitted Amendments”, Buyer’s consent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57"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2"/>
          <w:szCs w:val="22"/>
          <w:color w:val="auto"/>
        </w:rPr>
        <w:t>be considered granted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receipt by Buyer of notice of the applicable Permitted Amendment unless Buyer notifies Seller to the contrary prior to such date (it being understood that the Parties shall cooperate in good faith to resolve any matters to which Buyer reasonably withholds its consent as promptly as practicable after Buyer notifies Seller of same). Notwithstanding anything to the contrary in this Agreement, the transactions contemplated by this Agreement exclude, and prior to or on the Closing Date, Seller shall cause the Company Group to transfer to Seller or any Seller Affiliates, the Seller Retained Assets and Seller will be responsible for all costs and expenses and Taxes relating to the Pre-Closing Reorganization, including all costs and expenses relating to any consent required from any Third Party to implement the Pre-Closing Reorganization. Notwithstanding any other provision of this Agreement to the contrary, Seller’s representations and warranties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shall not apply to any of the Seller Retained Assets.</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6.18 Termination of Affiliate Contracts; Intercompany Balances</w:t>
      </w:r>
      <w:r>
        <w:rPr>
          <w:rFonts w:ascii="Times New Roman" w:cs="Times New Roman" w:eastAsia="Times New Roman" w:hAnsi="Times New Roman"/>
          <w:sz w:val="22"/>
          <w:szCs w:val="22"/>
          <w:color w:val="auto"/>
        </w:rPr>
        <w:t>. At or prior to the Closing, Seller shall: terminate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cause to be terminated each Contract between any member of the Company Group, on the one hand, and Seller or any Seller Affiliate (other than a member of the Company Group), on the other hand, except for those Contracts listed in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of the Seller Disclosure Schedules; and cause all intercompany accounts between any member of the Company Group, on the one hand, and Seller or any Seller Affiliate (other than a member of the Company Group), on the other hand (other than any accounts arising under a Contract listed in </w:t>
      </w:r>
      <w:r>
        <w:rPr>
          <w:rFonts w:ascii="Times New Roman" w:cs="Times New Roman" w:eastAsia="Times New Roman" w:hAnsi="Times New Roman"/>
          <w:sz w:val="22"/>
          <w:szCs w:val="22"/>
          <w:u w:val="single" w:color="auto"/>
          <w:color w:val="auto"/>
        </w:rPr>
        <w:t>Schedule 6.18</w:t>
      </w:r>
      <w:r>
        <w:rPr>
          <w:rFonts w:ascii="Times New Roman" w:cs="Times New Roman" w:eastAsia="Times New Roman" w:hAnsi="Times New Roman"/>
          <w:sz w:val="22"/>
          <w:szCs w:val="22"/>
          <w:color w:val="auto"/>
        </w:rPr>
        <w:t xml:space="preserve"> of the Seller Disclosure Schedules), to be fully settled and discharged without the transfer of cash or other assets from any member of the Company Group; any liability or obligation, whether fixed or contingent, to Buyer or any member of the Company Group following the Closing; and giving rise to any Tax Liability or consequence (including by way of application or reduction of any Tax attributes) to Buyer or any member of the Company Group, including under section 80 of the Canadian Tax Act.</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6.19 Inventory</w:t>
      </w:r>
      <w:r>
        <w:rPr>
          <w:rFonts w:ascii="Times New Roman" w:cs="Times New Roman" w:eastAsia="Times New Roman" w:hAnsi="Times New Roman"/>
          <w:sz w:val="22"/>
          <w:szCs w:val="22"/>
          <w:color w:val="auto"/>
        </w:rPr>
        <w:t>. On the Closing Date, representatives of Seller and Buyer shall conduct a measurement of the NGL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Inventory as of 7:00 a.m. Central Prevailing Time, in accordance with the Inventory Measurement Procedures (the “</w:t>
      </w:r>
      <w:r>
        <w:rPr>
          <w:rFonts w:ascii="Times New Roman" w:cs="Times New Roman" w:eastAsia="Times New Roman" w:hAnsi="Times New Roman"/>
          <w:sz w:val="22"/>
          <w:szCs w:val="22"/>
          <w:b w:val="1"/>
          <w:bCs w:val="1"/>
          <w:i w:val="1"/>
          <w:iCs w:val="1"/>
          <w:color w:val="auto"/>
        </w:rPr>
        <w:t>Inventory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Measurement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6.20</w:t>
      </w:r>
      <w:r>
        <w:rPr>
          <w:sz w:val="20"/>
          <w:szCs w:val="20"/>
          <w:color w:val="auto"/>
        </w:rPr>
        <w:tab/>
      </w:r>
      <w:r>
        <w:rPr>
          <w:rFonts w:ascii="Times New Roman" w:cs="Times New Roman" w:eastAsia="Times New Roman" w:hAnsi="Times New Roman"/>
          <w:sz w:val="21"/>
          <w:szCs w:val="21"/>
          <w:b w:val="1"/>
          <w:bCs w:val="1"/>
          <w:color w:val="auto"/>
        </w:rPr>
        <w:t>Financing Cooperation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Execution Date until the Closing or the termination of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Seller shall use commercially reasonable efforts to provide, and shall cause each of the Company and the Subsidiaries to use commercially reasonable efforts to provide (and to use commercially reasonable efforts to cause its and their Representatives to provide) such customary and timely cooperation to Buyer as Buyer may reasonably request in connection with arranging, syndicating, marketing and consummating the Financings, including: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2"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providing commercially reasonable cooperation in respect of presentations or meetings customary for financing marketing or syndication activities held by or on behalf of Buyer with the Financing Sources regarding the Financings;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shall not be obligated to cause the participation of representatives in meetings, presentations, conference calls, road shows, due diligence sessions, rating agencies sessions and other customary financing meetings or syndication activities;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8"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make available to Buyer, its Representatives and the Financing Sources and their respective advisors and agents, such financial information or other information as Buyer may reasonably request in connection with the preparation by Buyer and the Financing Sources of any marketing materials, offering memoranda, prospectuses, registration statements or similar offering documents, bank information memoranda, bank books, marketing or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5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presentations, ratings agency presentations and similar documents (collectively, the “</w:t>
      </w:r>
      <w:r>
        <w:rPr>
          <w:rFonts w:ascii="Times New Roman" w:cs="Times New Roman" w:eastAsia="Times New Roman" w:hAnsi="Times New Roman"/>
          <w:sz w:val="22"/>
          <w:szCs w:val="22"/>
          <w:b w:val="1"/>
          <w:bCs w:val="1"/>
          <w:i w:val="1"/>
          <w:iCs w:val="1"/>
          <w:color w:val="auto"/>
        </w:rPr>
        <w:t>Financing Materials</w:t>
      </w:r>
      <w:r>
        <w:rPr>
          <w:rFonts w:ascii="Times New Roman" w:cs="Times New Roman" w:eastAsia="Times New Roman" w:hAnsi="Times New Roman"/>
          <w:sz w:val="22"/>
          <w:szCs w:val="22"/>
          <w:color w:val="auto"/>
        </w:rPr>
        <w:t>”) proposed to be used in the Financings, including providing customary authorization letters acceptable to Buyer to the Financing Sources authorizing the distribution of information to prospective investors, lenders and other financing sources (without limiting the confidentiality restrictions noted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none of Seller, Seller Parent, the Company or any of its Subsidiaries shall be required to prepare any pro forma financial statements, prepare projections or other forward-looking information covering any period after the Closing or provide any information relating to the proposed aggregate amount of debt and equity financing, together with assumed interest rates, dividends (if any) and/or any fees and expenses relating to the incurrence of such debt or equity financing, any post-Closing or pro forma cost savings, synergies, capitalization, ownership or other pro forma adjustments desired to be incorporated into any information used in connection with the Financings or any financial information related to Seller Parent, the Company or any of its Subsidiaries or any adjustments that are not directly related to the acquisition of the Purchased Shares by Buyer);</w:t>
      </w:r>
    </w:p>
    <w:p>
      <w:pPr>
        <w:spacing w:after="0" w:line="151" w:lineRule="exact"/>
        <w:rPr>
          <w:sz w:val="20"/>
          <w:szCs w:val="20"/>
          <w:color w:val="auto"/>
        </w:rPr>
      </w:pPr>
    </w:p>
    <w:p>
      <w:pPr>
        <w:jc w:val="both"/>
        <w:ind w:firstLine="1292"/>
        <w:spacing w:after="0" w:line="212" w:lineRule="auto"/>
        <w:tabs>
          <w:tab w:leader="none" w:pos="19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providing Buyer and its Representatives with the Financial Statements, and permitting Buyer on reasonable terms to include and/or incorporate by reference in any such offering materials any public disclosure documents of Seller Parent or extracts therefrom;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any event, there shall be no obligation to provide (x) unaudited consolidated interim carve out financial statements for the fourth fiscal quarter of any fiscal year or any fiscal quarter prior to the date that is (ten) 10 Business Days after the date of publication of the quarterly financial statements of Seller Parent in respect of such fiscal quarter or (y) audited consolidated interim carve out financial statements for any fiscal year prior to the date that is ten (10) Business Days after the date of publication of the audited consolidated financial statements of Seller Parent in respect of such fiscal year;</w:t>
      </w:r>
    </w:p>
    <w:p>
      <w:pPr>
        <w:spacing w:after="0" w:line="156" w:lineRule="exact"/>
        <w:rPr>
          <w:rFonts w:ascii="Times New Roman" w:cs="Times New Roman" w:eastAsia="Times New Roman" w:hAnsi="Times New Roman"/>
          <w:sz w:val="22"/>
          <w:szCs w:val="22"/>
          <w:color w:val="auto"/>
        </w:rPr>
      </w:pPr>
    </w:p>
    <w:p>
      <w:pPr>
        <w:jc w:val="both"/>
        <w:ind w:firstLine="1292"/>
        <w:spacing w:after="0" w:line="217"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provide Buyer and the Financing Sources with information required with respect to the Company Group and its Affiliates (A) as may be reasonably requested by the Financing Sources under the Financing Documents, (B) in order to complete any disclosure schedules contemplated by any Financing Documents and (C) in order to create and perfect any security interests of the Financing Sources in connection with Financing;</w:t>
      </w:r>
    </w:p>
    <w:p>
      <w:pPr>
        <w:spacing w:after="0" w:line="152" w:lineRule="exact"/>
        <w:rPr>
          <w:rFonts w:ascii="Times New Roman" w:cs="Times New Roman" w:eastAsia="Times New Roman" w:hAnsi="Times New Roman"/>
          <w:sz w:val="22"/>
          <w:szCs w:val="22"/>
          <w:color w:val="auto"/>
        </w:rPr>
      </w:pPr>
    </w:p>
    <w:p>
      <w:pPr>
        <w:jc w:val="both"/>
        <w:ind w:firstLine="1292"/>
        <w:spacing w:after="0" w:line="21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request made in writing at least ten (10) Business Days prior to the Closing, providing Buyer and any of the Financing Sources with all documentation and other information required in connection with the Financings under applicable anti-money laundering or beneficial ownership disclosure laws, rules and regulations, know-your-client processes, including without limitation, the </w:t>
      </w:r>
      <w:r>
        <w:rPr>
          <w:rFonts w:ascii="Times New Roman" w:cs="Times New Roman" w:eastAsia="Times New Roman" w:hAnsi="Times New Roman"/>
          <w:sz w:val="22"/>
          <w:szCs w:val="22"/>
          <w:i w:val="1"/>
          <w:iCs w:val="1"/>
          <w:color w:val="auto"/>
        </w:rPr>
        <w:t>Uniting and Strengthening America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Providing Appropriate Tools Required to Intercept and Obstruct Terrorism Act of 2001</w:t>
      </w:r>
      <w:r>
        <w:rPr>
          <w:rFonts w:ascii="Times New Roman" w:cs="Times New Roman" w:eastAsia="Times New Roman" w:hAnsi="Times New Roman"/>
          <w:sz w:val="22"/>
          <w:szCs w:val="22"/>
          <w:color w:val="auto"/>
        </w:rPr>
        <w:t>, as amended and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beneficial ownership;</w:t>
      </w:r>
    </w:p>
    <w:p>
      <w:pPr>
        <w:spacing w:after="0" w:line="152" w:lineRule="exact"/>
        <w:rPr>
          <w:rFonts w:ascii="Times New Roman" w:cs="Times New Roman" w:eastAsia="Times New Roman" w:hAnsi="Times New Roman"/>
          <w:sz w:val="22"/>
          <w:szCs w:val="22"/>
          <w:color w:val="auto"/>
        </w:rPr>
      </w:pPr>
    </w:p>
    <w:p>
      <w:pPr>
        <w:jc w:val="both"/>
        <w:ind w:firstLine="1292"/>
        <w:spacing w:after="0" w:line="212"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commercially reasonable efforts to obtain customary cooperation from any of its auditors and any other advisors to the use of any financial or other expert information customarily included in Financing Materials or customarily included in offering materials for financing transactions similar to the Financings and to the identification in Financing Materials of each such advisor, including any consents from such auditors or other advisors with respect to the inclusion thereof in such Financing Materials and customary comfort letters with respect to such information (and if required for the provision of such comfort letters, to provide customary management representation letters in support of the foregoing) and, if reasonably required in connection with the Financings, using commercially reasonable efforts to cause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80"/>
          </w:cols>
          <w:pgMar w:left="980" w:top="1440" w:right="339" w:bottom="1440" w:gutter="0" w:footer="0" w:header="0"/>
        </w:sectPr>
      </w:pPr>
    </w:p>
    <w:bookmarkStart w:id="121" w:name="page122"/>
    <w:bookmarkEnd w:id="121"/>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auditors or other advisors to provide reasonable attendance at due diligence sessions in support of the foregoing.</w:t>
      </w:r>
    </w:p>
    <w:p>
      <w:pPr>
        <w:spacing w:after="0" w:line="179" w:lineRule="exact"/>
        <w:rPr>
          <w:sz w:val="20"/>
          <w:szCs w:val="20"/>
          <w:color w:val="auto"/>
        </w:rPr>
      </w:pPr>
    </w:p>
    <w:p>
      <w:pPr>
        <w:ind w:firstLine="1304"/>
        <w:spacing w:after="0" w:line="236"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only be required to undertake (or cause the Company or its Subsidiaries or any of their respective Representatives to undertake, as applicable) the actions described in </w:t>
      </w:r>
      <w:r>
        <w:rPr>
          <w:rFonts w:ascii="Times New Roman" w:cs="Times New Roman" w:eastAsia="Times New Roman" w:hAnsi="Times New Roman"/>
          <w:sz w:val="22"/>
          <w:szCs w:val="22"/>
          <w:u w:val="single" w:color="auto"/>
          <w:color w:val="auto"/>
        </w:rPr>
        <w:t>Section 6.20(a)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50"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cooperation does not unreasonably interfere with the ongoing business operations of Seller or any member of the Company Group or any of their Subsidiaries or any of their respective Representatives;</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any authorization letters as described in </w:t>
      </w:r>
      <w:r>
        <w:rPr>
          <w:rFonts w:ascii="Times New Roman" w:cs="Times New Roman" w:eastAsia="Times New Roman" w:hAnsi="Times New Roman"/>
          <w:sz w:val="21"/>
          <w:szCs w:val="21"/>
          <w:u w:val="single" w:color="auto"/>
          <w:color w:val="auto"/>
        </w:rPr>
        <w:t>Section 6.20(a)(i)</w:t>
      </w:r>
      <w:r>
        <w:rPr>
          <w:rFonts w:ascii="Times New Roman" w:cs="Times New Roman" w:eastAsia="Times New Roman" w:hAnsi="Times New Roman"/>
          <w:sz w:val="21"/>
          <w:szCs w:val="21"/>
          <w:color w:val="auto"/>
        </w:rPr>
        <w:t>, none of Seller or any member of the Company Group nor any of their Representatives shall be required to execute, enter into or perform any definitive financing documents, certification, instrument or agreement or make any representation in connection with the Financings or adopt any resolution approving the agreements, documents and/or instruments pursuant to which any debt financing is obtained or pledge any collateral with respect to any debt financing that is not contingent on the occurrence of Closing;</w:t>
      </w:r>
    </w:p>
    <w:p>
      <w:pPr>
        <w:spacing w:after="0" w:line="153" w:lineRule="exact"/>
        <w:rPr>
          <w:rFonts w:ascii="Times New Roman" w:cs="Times New Roman" w:eastAsia="Times New Roman" w:hAnsi="Times New Roman"/>
          <w:sz w:val="21"/>
          <w:szCs w:val="21"/>
          <w:color w:val="auto"/>
        </w:rPr>
      </w:pPr>
    </w:p>
    <w:p>
      <w:pPr>
        <w:jc w:val="both"/>
        <w:ind w:left="660" w:firstLine="1292"/>
        <w:spacing w:after="0" w:line="220" w:lineRule="auto"/>
        <w:tabs>
          <w:tab w:leader="none" w:pos="26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board of directors of the Company nor any of the Subsidiaries’ respective boards of directors (or equivalent bodies) shall be required to approve or adopt any financing or agreements related thereto (or any alternative financing) that would take effect prior to, or are not otherwise conditional upon the occurrence of, the Closing (and no such directors shall be required to take such action);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employee, officer or director of Seller or any member of the Company Group shall be required to take any action which could reasonably be expected to result in such Person incurring any personal liability (as opposed to liability in his or her capacity as an officer) with respect to any matters related to such Financing; and</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actions taken under </w:t>
      </w:r>
      <w:r>
        <w:rPr>
          <w:rFonts w:ascii="Times New Roman" w:cs="Times New Roman" w:eastAsia="Times New Roman" w:hAnsi="Times New Roman"/>
          <w:sz w:val="22"/>
          <w:szCs w:val="22"/>
          <w:u w:val="single" w:color="auto"/>
          <w:color w:val="auto"/>
        </w:rPr>
        <w:t>Section 6.20(a)(i)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(but subject to </w:t>
      </w:r>
      <w:r>
        <w:rPr>
          <w:rFonts w:ascii="Times New Roman" w:cs="Times New Roman" w:eastAsia="Times New Roman" w:hAnsi="Times New Roman"/>
          <w:sz w:val="22"/>
          <w:szCs w:val="22"/>
          <w:u w:val="single" w:color="auto"/>
          <w:color w:val="auto"/>
        </w:rPr>
        <w:t>Section 6.20(b)(i)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shall be, and shall be deemed to be, taken in compliance with </w:t>
      </w:r>
      <w:r>
        <w:rPr>
          <w:rFonts w:ascii="Times New Roman" w:cs="Times New Roman" w:eastAsia="Times New Roman" w:hAnsi="Times New Roman"/>
          <w:sz w:val="22"/>
          <w:szCs w:val="22"/>
          <w:u w:val="single" w:color="auto"/>
          <w:color w:val="auto"/>
        </w:rPr>
        <w:t>Section 6.20(a)</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w:t>
      </w:r>
      <w:r>
        <w:rPr>
          <w:rFonts w:ascii="Times New Roman" w:cs="Times New Roman" w:eastAsia="Times New Roman" w:hAnsi="Times New Roman"/>
          <w:sz w:val="22"/>
          <w:szCs w:val="22"/>
          <w:u w:val="single" w:color="auto"/>
          <w:color w:val="auto"/>
        </w:rPr>
        <w:t>Section 6.14</w:t>
      </w:r>
      <w:r>
        <w:rPr>
          <w:rFonts w:ascii="Times New Roman" w:cs="Times New Roman" w:eastAsia="Times New Roman" w:hAnsi="Times New Roman"/>
          <w:sz w:val="22"/>
          <w:szCs w:val="22"/>
          <w:color w:val="auto"/>
        </w:rPr>
        <w:t xml:space="preserve">, Seller acknowledges that, in connection with the Financings, Buyer may, upon reasonable consultation with Seller, have confidential discussions concerning this Agreement or the Transaction with the Financing Sources, rating agencies, prospective lenders and investors and each of their agents and advisors prior to and during syndication of the Financings (including any replacement or alternative financing) and that confidential or otherwise non-public information may be provided to the Financing Sources, rating agencies, prospective lenders and investors and each of their agents and advisors, and Seller consents, and confirms that the Company and the Subsidiaries have each consented to Buyer and its Affiliates and Representatives having such discussions and providing such information,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Financing Sources, rating agencies, prospective lenders and investors and each of their respective agents and advisors agree to keep any applicable confidential information concerning the Company Group confidential, including through “click through” confidentiality agreements and confidentiality provisions contained in customary bank books and offering memoranda, unless otherwise expressly permitted under the Confidentiality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Seller hereby consents to the reasonable use of all logos of the Company and the Subsidiaries, and to cause the Company and any of Seller’s Affiliates who hold the requisite rights and interests in such logos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5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color w:val="auto"/>
        </w:rPr>
        <w:t xml:space="preserve">their use by Buyer and the Financing Sources in any Financing Materials;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logos are used solely in a manner that is not intended, or reasonably likely, to harm or disparage Seller or its Affiliates or the reputation or goodwill of Seller or its Affiliates, and solely in connection with a description of the Company Group, its collective business and products or the Transaction (including the Financings); or used in any other manner as may be approved by the Company from time to time.</w:t>
      </w:r>
    </w:p>
    <w:p>
      <w:pPr>
        <w:spacing w:after="0" w:line="152" w:lineRule="exact"/>
        <w:rPr>
          <w:sz w:val="20"/>
          <w:szCs w:val="20"/>
          <w:color w:val="auto"/>
        </w:rPr>
      </w:pPr>
    </w:p>
    <w:p>
      <w:pPr>
        <w:jc w:val="both"/>
        <w:ind w:firstLine="1304"/>
        <w:spacing w:after="0" w:line="219" w:lineRule="auto"/>
        <w:tabs>
          <w:tab w:leader="none" w:pos="194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None of Seller or any of its Affiliates shall be required to: pay any commitment, consent or other similar fee, incur any liability, or provide or agree to provide any indemnity in connection with the Financings prior to the Closing; take any action or do anything that could reasonably be expected to: contravene any applicable Laws or its Organizational Documents in effect as of the date of this Agreement; breach or do any thing that would result in a default under any material contract to which Seller Parent or any member of the Company Group or its Subsidiary is party; cause any breach of this Agreement or cause any misrepresentation or warranty in this Agreement to be breached or cause any closing condition set forth in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to fail to be satisfied; prevent or materially delay the consummation of the Transaction; or jeopardize any solicitor-client privilege or other applicable legal privilege or protection of Seller Parent, the Company or any of its Subsidiaries; disclose any information that would result in the disclosure of any trade secrets or similar information or violate any obligations of Seller or its Affiliates with respect to confidentiality that are owed to any Third Party or disclose any information that is legally privileged;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Seller shall use commercially reasonable efforts, and shall use commercially reasonable efforts to cause the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and its Subsidiaries to, notify Buyer if any documentation and information is being so withheld, in each case, to the extent permitted under the applicable obligation of confidentiality; or waive or amend any terms of this Agreement. Nothing in this Agreement will require any Representative of Seller or its Affiliates to deliver any certificate or opinion or take any other action pursuant to this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that would or would reasonably be expected to result in personal liability to such Representative.</w:t>
      </w:r>
    </w:p>
    <w:p>
      <w:pPr>
        <w:spacing w:after="0" w:line="150" w:lineRule="exact"/>
        <w:rPr>
          <w:rFonts w:ascii="Times New Roman" w:cs="Times New Roman" w:eastAsia="Times New Roman" w:hAnsi="Times New Roman"/>
          <w:sz w:val="21"/>
          <w:szCs w:val="21"/>
          <w:color w:val="auto"/>
        </w:rPr>
      </w:pPr>
    </w:p>
    <w:p>
      <w:pPr>
        <w:jc w:val="both"/>
        <w:ind w:left="80" w:firstLine="1224"/>
        <w:spacing w:after="0" w:line="226" w:lineRule="auto"/>
        <w:tabs>
          <w:tab w:leader="none" w:pos="196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promptly upon request by Seller (and in any event following termination of this Agreement), reimburse Seller and/or if Affiliates, as applicable, for all reasonable and documented out-of-pocket costs (including reasonable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and documented out-of-pocket legal fees) incurred by Seller of its Affiliates in connection with any of the actions contemplated by this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 xml:space="preserve">, and shall indemnify and hold harmless Seller and its Affiliates and their respective Representatives from and against any and all losses, damages, claims, costs or expenses suffered or incurred by any of them in connection with the cooperation of Seller and the Company Group contemplated by this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 xml:space="preserve"> or in connection with the Financings, in each case, other than to the extent resulting from a misrepresentation (within the meaning of the </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xml:space="preserve"> (Alberta)) in any written information supplied by or on behalf of Seller, Seller Parent or the Company Group (or which relates to Seller, Seller Parent or the Company Group and is approved in writing (including by email) by Seller, Seller Parent or any of the Company Group) or from Seller’s, Seller Parent’s or the Company’s or any of the Subsidiaries’ fraud, gross negligence or willful misconduct, in each case as determined in a final and non-appealable judgment by a court of competent jurisdiction.</w:t>
      </w:r>
    </w:p>
    <w:p>
      <w:pPr>
        <w:spacing w:after="0" w:line="153" w:lineRule="exact"/>
        <w:rPr>
          <w:sz w:val="20"/>
          <w:szCs w:val="20"/>
          <w:color w:val="auto"/>
        </w:rPr>
      </w:pPr>
    </w:p>
    <w:p>
      <w:pPr>
        <w:jc w:val="both"/>
        <w:ind w:left="60" w:firstLine="1244"/>
        <w:spacing w:after="0" w:line="226" w:lineRule="auto"/>
        <w:tabs>
          <w:tab w:leader="none" w:pos="1939"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in this Agreement, the parties hereto acknowledge and agree that a breach by Seller of its obligations under this </w:t>
      </w:r>
      <w:r>
        <w:rPr>
          <w:rFonts w:ascii="Times New Roman" w:cs="Times New Roman" w:eastAsia="Times New Roman" w:hAnsi="Times New Roman"/>
          <w:sz w:val="21"/>
          <w:szCs w:val="21"/>
          <w:u w:val="single" w:color="auto"/>
          <w:color w:val="auto"/>
        </w:rPr>
        <w:t>Section 6.20</w:t>
      </w:r>
      <w:r>
        <w:rPr>
          <w:rFonts w:ascii="Times New Roman" w:cs="Times New Roman" w:eastAsia="Times New Roman" w:hAnsi="Times New Roman"/>
          <w:sz w:val="21"/>
          <w:szCs w:val="21"/>
          <w:color w:val="auto"/>
        </w:rPr>
        <w:t xml:space="preserve"> shall not (A) constitute a breach of this Agreement for which Buyer</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may seek damages unless such breach by Seller is (1) an intentional and material breach, (2) not cured by Seller within ten (10) Business Days after written notice from Buyer and (3) a significant contributing cause of Buyer not being able to obtain its Financings or (B) constitute a breach of the condition precedent in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and the provisions contained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6.20</w:t>
      </w:r>
      <w:r>
        <w:rPr>
          <w:rFonts w:ascii="Times New Roman" w:cs="Times New Roman" w:eastAsia="Times New Roman" w:hAnsi="Times New Roman"/>
          <w:sz w:val="22"/>
          <w:szCs w:val="22"/>
          <w:color w:val="auto"/>
        </w:rPr>
        <w:t xml:space="preserve"> represent the sole obligations of the Seller Parent, the Seller and the Company Group and any of their Representatives with respect to cooperation in connection with the arrangement of any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(including the Financings) to be obtained by Buyer or any of its Affiliates with respect to the Transaction, and no other provision of this Agreement (including the Exhibits and Schedules hereto) shall be deemed to expand or modify such obligations.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6.21</w:t>
      </w:r>
      <w:r>
        <w:rPr>
          <w:sz w:val="20"/>
          <w:szCs w:val="20"/>
          <w:color w:val="auto"/>
        </w:rPr>
        <w:tab/>
      </w:r>
      <w:r>
        <w:rPr>
          <w:rFonts w:ascii="Times New Roman" w:cs="Times New Roman" w:eastAsia="Times New Roman" w:hAnsi="Times New Roman"/>
          <w:sz w:val="21"/>
          <w:szCs w:val="21"/>
          <w:b w:val="1"/>
          <w:bCs w:val="1"/>
          <w:color w:val="auto"/>
        </w:rPr>
        <w:t>Buyer Reorganization.</w:t>
      </w:r>
    </w:p>
    <w:p>
      <w:pPr>
        <w:spacing w:after="0" w:line="183" w:lineRule="exact"/>
        <w:rPr>
          <w:sz w:val="20"/>
          <w:szCs w:val="20"/>
          <w:color w:val="auto"/>
        </w:rPr>
      </w:pPr>
    </w:p>
    <w:p>
      <w:pPr>
        <w:jc w:val="both"/>
        <w:ind w:firstLine="1304"/>
        <w:spacing w:after="0" w:line="211" w:lineRule="auto"/>
        <w:tabs>
          <w:tab w:leader="none" w:pos="194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and shall cause the Company to use its reasonable commercial efforts (at Buyer’s sole cost and expense) to co-operate with Buyer and its advisors in connection with planning any reorganization of the corporate structure, capital structure, business operations and assets of any member of the Company Group that Buyer considers necessary or desirable for the tax and business efficiency of the Company Group following Closing (the “</w:t>
      </w:r>
      <w:r>
        <w:rPr>
          <w:rFonts w:ascii="Times New Roman" w:cs="Times New Roman" w:eastAsia="Times New Roman" w:hAnsi="Times New Roman"/>
          <w:sz w:val="22"/>
          <w:szCs w:val="22"/>
          <w:b w:val="1"/>
          <w:bCs w:val="1"/>
          <w:color w:val="auto"/>
        </w:rPr>
        <w:t>Buyer Reorganization</w:t>
      </w:r>
      <w:r>
        <w:rPr>
          <w:rFonts w:ascii="Times New Roman" w:cs="Times New Roman" w:eastAsia="Times New Roman" w:hAnsi="Times New Roman"/>
          <w:sz w:val="22"/>
          <w:szCs w:val="22"/>
          <w:color w:val="auto"/>
        </w:rPr>
        <w:t xml:space="preserve">”), such cooperation to include determining whether a Buyer Reorganization can be undertaken and the manner in which the Buyer Reorganization would most effectively be undertaken. Buyer must provide written notice to the Company of the final steps of any Buyer Reorganization at least fifteen (15) Business Days prior to the Closing Date. Subject to </w:t>
      </w:r>
      <w:r>
        <w:rPr>
          <w:rFonts w:ascii="Times New Roman" w:cs="Times New Roman" w:eastAsia="Times New Roman" w:hAnsi="Times New Roman"/>
          <w:sz w:val="22"/>
          <w:szCs w:val="22"/>
          <w:u w:val="single" w:color="auto"/>
          <w:color w:val="auto"/>
        </w:rPr>
        <w:t>Section 6.21(b)</w:t>
      </w:r>
      <w:r>
        <w:rPr>
          <w:rFonts w:ascii="Times New Roman" w:cs="Times New Roman" w:eastAsia="Times New Roman" w:hAnsi="Times New Roman"/>
          <w:sz w:val="22"/>
          <w:szCs w:val="22"/>
          <w:color w:val="auto"/>
        </w:rPr>
        <w:t>, upon receipt of such notice, Buyer shall and Seller shall cause the Company to work cooperatively and use their commercially reasonable efforts to (i) obtain consents or waivers which might be required in connection with any Buyer Reorganization and (ii) prepare prior to the Closing all documentation necessary to give effect to such Buyer Reorganization.</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not be obligated to implement or cause the Company to implement the Buyer Reorganization, unless Seller determines to its satisfaction acting reasonably that (x) Seller, its Affiliates and the Company Group have received an indemnity from Buyer indemnifying such Persons for all Losses which any such Person may suffer or incur as a result of implementing the Buyer Reorganization and (y) the Buyer Reorganization:</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 be completed as close as reasonably practicable to the Closing, and can be reversed or unwound, without incurring any costs or expenses that are not subject to reimbursement or indemnification by Buyer and without adversely affecting Seller, its Affiliates or the Company Group the event Closing does not occur;</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detrimental to Seller, its Affiliates or the Company Group in any material respect;</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impair or impede the ability of Seller and its Affiliates to complete the Pre-Closing Reorganization or consummate the Transaction and would not reasonably be expected to delay the Pre-Closing Reorganization or Closing;</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result in any additional Taxes reasonably expected to be payable by Seller, its Affiliates or any Company Group member (other than Taxes which are subject to indemnification by Buyer), whether or not the Transaction is completed;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9"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accordance with all applicable Laws and does not require Seller, its Affiliates or a member of the Company Group to contravene their organizational documents or any Contract (including any confidentiality restrictions therein) or require any consents or waivers that have not been obtained; and</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59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with the consent of a member of the Company Group, shall not become effective unless Buyer has waived or confirmed in writing the satisfaction of all conditions in its favour under this Agreement and shall have confirmed in writing that Buyer is prepared, and able to promptly and without condition, proceed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63" w:lineRule="exact"/>
        <w:rPr>
          <w:sz w:val="20"/>
          <w:szCs w:val="20"/>
          <w:color w:val="auto"/>
        </w:rPr>
      </w:pPr>
    </w:p>
    <w:p>
      <w:pPr>
        <w:jc w:val="both"/>
        <w:ind w:firstLine="1304"/>
        <w:spacing w:after="0" w:line="220" w:lineRule="auto"/>
        <w:tabs>
          <w:tab w:leader="none" w:pos="194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waives any breach of a representation, warranty, covenant or other provision of this Agreement by Seller, or failure to satisfy any condition for the benefit of Buyer, where such breach or failure is a result of an action taken by Seller, its Affiliates or a member of the Company Group in connection with the Buyer Reorganization pursuant to a request by Buyer in accordance with this </w:t>
      </w:r>
      <w:r>
        <w:rPr>
          <w:rFonts w:ascii="Times New Roman" w:cs="Times New Roman" w:eastAsia="Times New Roman" w:hAnsi="Times New Roman"/>
          <w:sz w:val="22"/>
          <w:szCs w:val="22"/>
          <w:u w:val="single" w:color="auto"/>
          <w:color w:val="auto"/>
        </w:rPr>
        <w:t>Section 6.21</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6.22 Non-Solicitation</w:t>
      </w:r>
      <w:r>
        <w:rPr>
          <w:rFonts w:ascii="Times New Roman" w:cs="Times New Roman" w:eastAsia="Times New Roman" w:hAnsi="Times New Roman"/>
          <w:sz w:val="22"/>
          <w:szCs w:val="22"/>
          <w:color w:val="auto"/>
        </w:rPr>
        <w:t>. For a period of twelve (12) months from the Closing Date, neither Seller nor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Affiliates shall directly or indirectly, induce, encourage or solicit any Union Employee or Continuing Non-Union Employee to leave the employ of Buyer or any of its Affiliates;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xml:space="preserve"> shall not apply to: any general mass solicitation of employment not specifically directed toward employees of Buyer or any of its Affiliates and any subsequent hiring, or any Union Employee or Continuing Non-Union Employee whose employment is terminated by Buyer or who seeks employment with Seller or its Affiliates without direct or indirect solicitation by Seller or any of its Affiliates. This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 xml:space="preserve"> shall survive Closing.</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6.23</w:t>
        <w:tab/>
        <w:t>Disclaimers; Certain Limitations</w:t>
      </w:r>
      <w:r>
        <w:rPr>
          <w:rFonts w:ascii="Times New Roman" w:cs="Times New Roman" w:eastAsia="Times New Roman" w:hAnsi="Times New Roman"/>
          <w:sz w:val="22"/>
          <w:szCs w:val="22"/>
          <w:color w:val="auto"/>
        </w:rPr>
        <w:t>. EXCEPT AS AND TO THE EXTENT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jc w:val="both"/>
        <w:spacing w:after="0" w:line="216" w:lineRule="auto"/>
        <w:rPr>
          <w:sz w:val="20"/>
          <w:szCs w:val="20"/>
          <w:color w:val="auto"/>
        </w:rPr>
      </w:pP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IN THE CERTIFICATES OF SELLER TO BE DELIVERED AT CLOSING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SELLER AND EACH OTHER SELLER PARTY MAKES NO REPRESENTATION OR WARRANTY WHATSOEVER TO BUYER AND HEREBY DISCLAIMS ALL LIABILITY AND RESPONSIBILITY FOR ANY REPRESENTATION, WARRANTY, STATEMENT OR INFORMATION MADE, COMMUNICATED, OR FURNISHED (ORALLY OR IN WRITING) TO BUYER OR ITS REPRESENTATIVES (INCLUDING ANY OPINION, INFORMATION, PROJECTION, OR ADVICE THAT MAY HAVE BEEN OR MAY BE PROVIDED TO BUYER OR ITS REPRESENTATIVES BY ANY OFFICER, EMPLOYEE, AGENT, CONSULTANT OR REPRESENTATIVE OF SELLER OR A SELLER AFFILIATE). EXCEPT FOR THE REPRESENTATIONS AND WARRANTIES CONTAINED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OR IN THE CERTIFICATES OF SELLER TO BE DELIVERED AT CLOSING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SELLER HEREBY, ON BEHALF OF ITSELF AND EACH OTHER SELLER PARTY, EXPRESSLY DISCLAIMS AND NEGATES ANY REPRESENTATION OR WARRANTY, EXPRESSED OR IMPLIED, AT COMMON LAW, BY STATUTE OR OTHERWISE, RELATING TO THE CONDITION OF THE ASSETS OF ANY MEMBER OF THE COMPANY GROUP (INCLUDING ANY IMPLIED OR EXPRESSED WARRANTY OF MERCHANTABILITY OR FITNESS FOR A PARTICULAR PURPOSE, OR OF CONFORMITY TO MODELS OR SAMPLES OF MATERIALS). NOTWITHSTANDING ANYTHING HEREIN TO THE CONTRARY, SELLER AND EACH OTHER SELLER PARTY MAKES NO REPRESENTATION OR WARRANTY WHATSOEVER TO BUYER REGARDING, AND NONE OF THE REPRESENTATIONS AND WARRANTIES CONTAINED IN THIS AGREEMENT SHALL APPLY TO THE PROBABLE SUCCESS OR PROFITABILITY OF THE BUSINESS OF THE COMPANY GROUP OR THE POSSIBILITY, PROBABILITY OR LIKELIHOOD OF PROCEEDINGS ARISING FROM AND AFTER THE EXECUTION DATE WHICH CHALLENGE THE RATES CHARGED FOR SERVICES PROVIDED AT OR THROUGH THE OPERATION OF THE FACILITIES.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6.24</w:t>
      </w:r>
      <w:r>
        <w:rPr>
          <w:sz w:val="20"/>
          <w:szCs w:val="20"/>
          <w:color w:val="auto"/>
        </w:rPr>
        <w:tab/>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5" w:lineRule="auto"/>
        <w:tabs>
          <w:tab w:leader="none" w:pos="194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Closing, Seller, in its capacity as such, unconditionally, irrevocably and forever releases and discharges, to the extent permitted by Law, each member of the Company Group, each of the successors and permitted assigns of each member of the Company Group, and all present or former managers, directors, officers, partners, members, agents and fiduciaries of each member of the Company Group (collectively, the “</w:t>
      </w:r>
      <w:r>
        <w:rPr>
          <w:rFonts w:ascii="Times New Roman" w:cs="Times New Roman" w:eastAsia="Times New Roman" w:hAnsi="Times New Roman"/>
          <w:sz w:val="22"/>
          <w:szCs w:val="22"/>
          <w:b w:val="1"/>
          <w:bCs w:val="1"/>
          <w:i w:val="1"/>
          <w:iCs w:val="1"/>
          <w:color w:val="auto"/>
        </w:rPr>
        <w:t>Company Released Parties</w:t>
      </w:r>
      <w:r>
        <w:rPr>
          <w:rFonts w:ascii="Times New Roman" w:cs="Times New Roman" w:eastAsia="Times New Roman" w:hAnsi="Times New Roman"/>
          <w:sz w:val="22"/>
          <w:szCs w:val="22"/>
          <w:color w:val="auto"/>
        </w:rPr>
        <w:t>”), of and from, and hereby unconditionally and irrevocably waives, any and all Losses, that Seller ever had, now has or ever may have or claim to have against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6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Company Released Parties in their capacity as such, for or by reason of any matter, circumstance, event, action, inaction, omission, cause or thing whatsoever arising up to and including the Closing with respect to the assets, the business of any Company Group member or ownership or operation of Company Group or Purchased Shares, and Buyer (for itself, its Affiliates and its and their respective successors and permitted assigns, and all present or former managers, directors, officers, partners, members, agents and fiduciaries (collectively, the “</w:t>
      </w:r>
      <w:r>
        <w:rPr>
          <w:rFonts w:ascii="Times New Roman" w:cs="Times New Roman" w:eastAsia="Times New Roman" w:hAnsi="Times New Roman"/>
          <w:sz w:val="22"/>
          <w:szCs w:val="22"/>
          <w:b w:val="1"/>
          <w:bCs w:val="1"/>
          <w:i w:val="1"/>
          <w:iCs w:val="1"/>
          <w:color w:val="auto"/>
        </w:rPr>
        <w:t>Buyer Parties</w:t>
      </w:r>
      <w:r>
        <w:rPr>
          <w:rFonts w:ascii="Times New Roman" w:cs="Times New Roman" w:eastAsia="Times New Roman" w:hAnsi="Times New Roman"/>
          <w:sz w:val="22"/>
          <w:szCs w:val="22"/>
          <w:color w:val="auto"/>
        </w:rPr>
        <w:t xml:space="preserve">”)) agrees not to, and Buyer shall cause the Company Group not to, make any claim to recover Losses therewith or thereunder from any of the Seller Parties (including any claim for officer, director, partner, manager or controlling (or any other) stockholder or member liability or for breach of any fiduciary or other duty or breach of any employment contract (or similar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(x) does not extend to any claim: to enforce the terms or any breach of this Agreement or any Transaction Documents; or against any member of the Company Group due to such member of the Company Group’s violation of a criminal law or Fraud, and (y) shall not diminish or alter any agreement between Seller or any of its Affiliates, on the one hand, and Buyer or any of its Affiliates (including the Company Group), on the other hand.</w:t>
      </w:r>
    </w:p>
    <w:p>
      <w:pPr>
        <w:spacing w:after="0" w:line="152" w:lineRule="exact"/>
        <w:rPr>
          <w:sz w:val="20"/>
          <w:szCs w:val="20"/>
          <w:color w:val="auto"/>
        </w:rPr>
      </w:pPr>
    </w:p>
    <w:p>
      <w:pPr>
        <w:jc w:val="both"/>
        <w:ind w:firstLine="1304"/>
        <w:spacing w:after="0" w:line="209" w:lineRule="auto"/>
        <w:tabs>
          <w:tab w:leader="none" w:pos="193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remedies contained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effective as of the Closing, Buyer, on its own behalf and on behalf of each member of the Company Group, its Affiliates, and its successors and permitted assigns, and each of the foregoing’s respective Affiliates, unconditionally and irrevocably and forever releases and discharges, to the maximum extent permitted by Law, the Seller Parties of and from, and hereby unconditionally and irrevocably waives, any and all Losses that Buyer or any member of the Company Group ever had, now has or ever may have or claim to have against any of the Seller Parties in their capacity as such, for or by reason of any matter, circumstance, event, action, inaction, omission, cause or thing arising up to and including the Closing, and Seller (for itself and on behalf of each of the other Seller Parties) agrees not to make any claim to recover Losses therewith or thereunder from the Company Group or any of the Company Released Parties (including any claim for officer, director, partner, manager or controlling (or any other) stockholder or member liability or for breach of any fiduciary or other duty or breach of any employment contract (or similar arrangement));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(x) does not extend to any claim: to enforce the terms or any breach of this Agreement or any Transaction Documents; or against any Seller Party due to such Seller Party’s breach of a Seller Fundamental Representation, violation of a criminal Law, or (C) Fraud and (y) shall not diminish or alter the obligations of Buyer, the Company Group or any other Buyer Party under any agreement between Seller or any of its Affiliates, on the one hand, and Buyer or any of its Affiliates (including the Company Group), on the other hand.</w:t>
      </w:r>
    </w:p>
    <w:p>
      <w:pPr>
        <w:spacing w:after="0" w:line="151"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are intended to be for the benefit of, and shall be enforceable by, each Company Released Party and each Seller Party, as applicable, and his or her heirs; are in addition to, and not in substitution for, any other rights that any such Person may have by contract or otherwise; and shall be held by Seller (in the case of the Seller Parties) and Buyer (in the case of the Company Released Parties) in trust for and on behalf of such Persons. The obligations of Seller and Buyer under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shall not be terminated or modified in such a manner as to adversely affect any Person to whom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applies without the consent of the affected Person (it being expressly agreed that the Persons to whom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applies shall be third party beneficiaries of this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6.25 Data Room</w:t>
      </w:r>
      <w:r>
        <w:rPr>
          <w:rFonts w:ascii="Times New Roman" w:cs="Times New Roman" w:eastAsia="Times New Roman" w:hAnsi="Times New Roman"/>
          <w:sz w:val="22"/>
          <w:szCs w:val="22"/>
          <w:color w:val="auto"/>
        </w:rPr>
        <w:t>. During the period between the Execution Date and the Closing, Seller shall continue to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continuous access to Buyer and its representatives to the Data Room. Seller shall deliver or cause to be delivered, within ten (10) Business Days following the Closing Date, to Buyer, a USB drive or other storage device containing copies of the documents uploaded as of the Closing Date to the Data 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5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6.26 Seller Disclosure Schedule Updates</w:t>
      </w:r>
      <w:r>
        <w:rPr>
          <w:rFonts w:ascii="Times New Roman" w:cs="Times New Roman" w:eastAsia="Times New Roman" w:hAnsi="Times New Roman"/>
          <w:sz w:val="22"/>
          <w:szCs w:val="22"/>
          <w:color w:val="auto"/>
        </w:rPr>
        <w:t>. During the period between the Execution Date and the date that is five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Days prior to the Closing Date, Seller may from time to time amend or supplement the Seller Disclosure Schedules to correct any error or omission therein based on information that was known as of the Execution Date;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no such amendment or supplement may be made unless Seller first delivers any proposed amendment or supplement to Buyer for review and approval, which Buyer shall consider in good faith, and Buyer’s approval is evidenced by written notice to Seller,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unless the Parties agree otherwise, no amendment or supplement to the Seller Disclosure Schedules after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Execution Date will be deemed to have any effect on determining whether the conditions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220"/>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7.1 Conditions to Obligations of Each Party</w:t>
      </w:r>
      <w:r>
        <w:rPr>
          <w:rFonts w:ascii="Times New Roman" w:cs="Times New Roman" w:eastAsia="Times New Roman" w:hAnsi="Times New Roman"/>
          <w:sz w:val="22"/>
          <w:szCs w:val="22"/>
          <w:color w:val="auto"/>
        </w:rPr>
        <w:t>. The respective obligation of each Party to consummate the Closing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satisfaction, on or prior to the Closing Date, of each of the following conditions, any one or more of which may be waived in writing, in whole or in part, as to a Party by such Party (in such Party’s sole discretion):</w:t>
      </w:r>
    </w:p>
    <w:p>
      <w:pPr>
        <w:spacing w:after="0" w:line="150" w:lineRule="exact"/>
        <w:rPr>
          <w:sz w:val="20"/>
          <w:szCs w:val="20"/>
          <w:color w:val="auto"/>
        </w:rPr>
      </w:pPr>
    </w:p>
    <w:p>
      <w:pPr>
        <w:jc w:val="both"/>
        <w:ind w:firstLine="1304"/>
        <w:spacing w:after="0" w:line="225" w:lineRule="auto"/>
        <w:tabs>
          <w:tab w:leader="none" w:pos="19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Approvals</w:t>
      </w:r>
      <w:r>
        <w:rPr>
          <w:rFonts w:ascii="Times New Roman" w:cs="Times New Roman" w:eastAsia="Times New Roman" w:hAnsi="Times New Roman"/>
          <w:sz w:val="22"/>
          <w:szCs w:val="22"/>
          <w:color w:val="auto"/>
        </w:rPr>
        <w:t>. The Required Regulatory Approvals shall have been obtained and not have been revoked or the applicable waiting period thereunder has expired, and all conditions in respect thereof imposed by the applicable Governmental Entity that are required to be satisfied prior to Closing shall have been satisfied.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Governmental Restraints</w:t>
      </w:r>
      <w:r>
        <w:rPr>
          <w:rFonts w:ascii="Times New Roman" w:cs="Times New Roman" w:eastAsia="Times New Roman" w:hAnsi="Times New Roman"/>
          <w:sz w:val="22"/>
          <w:szCs w:val="22"/>
          <w:color w:val="auto"/>
        </w:rPr>
        <w:t>. No order, decree or injunction of any Governmental Entity shall be in effect, and no Law shall have been enacted or adopted, and be in effect that enjoins, prohibits or makes illegal the consummation of the transactions contemplated by the Transaction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Reorganization</w:t>
      </w:r>
      <w:r>
        <w:rPr>
          <w:rFonts w:ascii="Times New Roman" w:cs="Times New Roman" w:eastAsia="Times New Roman" w:hAnsi="Times New Roman"/>
          <w:sz w:val="22"/>
          <w:szCs w:val="22"/>
          <w:color w:val="auto"/>
        </w:rPr>
        <w:t>. The Pre-Closing Reorganization shall have been completed in a manner consistent in all material respects with the descriptions and steps set out in the Reorganization Summary, subject to any Permitted Amendments.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7.2 Conditions to Obligations of Buyer</w:t>
      </w:r>
      <w:r>
        <w:rPr>
          <w:rFonts w:ascii="Times New Roman" w:cs="Times New Roman" w:eastAsia="Times New Roman" w:hAnsi="Times New Roman"/>
          <w:sz w:val="22"/>
          <w:szCs w:val="22"/>
          <w:color w:val="auto"/>
        </w:rPr>
        <w:t>. The obligation of Buyer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on or prior to the Closing Date, of each of the following conditions, any one or more of which may be waived in writing, in whole or in part, by Buyer (in Buyer’s sole discretion):</w:t>
      </w:r>
    </w:p>
    <w:p>
      <w:pPr>
        <w:spacing w:after="0" w:line="150" w:lineRule="exact"/>
        <w:rPr>
          <w:sz w:val="20"/>
          <w:szCs w:val="20"/>
          <w:color w:val="auto"/>
        </w:rPr>
      </w:pPr>
    </w:p>
    <w:p>
      <w:pPr>
        <w:jc w:val="both"/>
        <w:ind w:firstLine="1304"/>
        <w:spacing w:after="0" w:line="211"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Seller</w:t>
      </w:r>
      <w:r>
        <w:rPr>
          <w:rFonts w:ascii="Times New Roman" w:cs="Times New Roman" w:eastAsia="Times New Roman" w:hAnsi="Times New Roman"/>
          <w:sz w:val="22"/>
          <w:szCs w:val="22"/>
          <w:color w:val="auto"/>
        </w:rPr>
        <w:t xml:space="preserve">. Each of the representations and warranties of Seller contained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other than the Seller Fundamental Representations, shall be true and correct in all respects (without regard to any Material Adverse Effect or other materiality qualifier) as if remade on and as of the Closing Date (except, in each case, for representations and warranties made as of another specific date other than the Execution Date, which shall be true and correct in all respects as of such specific date), except to the extent the failure of any such representations or warranties to be true and correct do not individually or in the aggregate result in a Material Adverse Effect, and the Seller Fundamental Representations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if remade on and as of the Closing Date (except, in each case, for representations and warranties made as of another specific date other than the Execution Date, which shall be true and correct in all respects as of such specific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63"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92"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7.2(b)(ii)</w:t>
      </w:r>
      <w:r>
        <w:rPr>
          <w:rFonts w:ascii="Times New Roman" w:cs="Times New Roman" w:eastAsia="Times New Roman" w:hAnsi="Times New Roman"/>
          <w:sz w:val="22"/>
          <w:szCs w:val="22"/>
          <w:b w:val="1"/>
          <w:bCs w:val="1"/>
          <w:u w:val="single" w:color="auto"/>
          <w:color w:val="auto"/>
        </w:rPr>
        <w:t>Error! Reference source not found.</w:t>
      </w:r>
      <w:r>
        <w:rPr>
          <w:rFonts w:ascii="Times New Roman" w:cs="Times New Roman" w:eastAsia="Times New Roman" w:hAnsi="Times New Roman"/>
          <w:sz w:val="22"/>
          <w:szCs w:val="22"/>
          <w:color w:val="auto"/>
        </w:rPr>
        <w:t>, Seller shall have performed and complied in all material respects with all covenants and agreements required by this Agreement to be performed or complied with by Seller on or prior to the Closing Date.</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breach or non-performance by Seller of the covenant in </w:t>
      </w:r>
      <w:r>
        <w:rPr>
          <w:rFonts w:ascii="Times New Roman" w:cs="Times New Roman" w:eastAsia="Times New Roman" w:hAnsi="Times New Roman"/>
          <w:sz w:val="22"/>
          <w:szCs w:val="22"/>
          <w:u w:val="single" w:color="auto"/>
          <w:color w:val="auto"/>
        </w:rPr>
        <w:t>Section 6.1(b)(i)</w:t>
      </w:r>
      <w:r>
        <w:rPr>
          <w:rFonts w:ascii="Times New Roman" w:cs="Times New Roman" w:eastAsia="Times New Roman" w:hAnsi="Times New Roman"/>
          <w:sz w:val="22"/>
          <w:szCs w:val="22"/>
          <w:color w:val="auto"/>
        </w:rPr>
        <w:t xml:space="preserve"> shall not entitle Buyer to refuse to consummate the Transaction unless one or more instances, individually or in the aggregate, of breach or non-performance of such covenant results in Losses to the Company Group in excess of [dollar amount redacted].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Execution Date, no Material Adverse Effect shall have occurred.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 xml:space="preserve">. Seller shall have delivered, caused to be delivered, or be ready, willing and able to deliver, to Buyer or the applicable required Person, all of the Closing deliveries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in the other Transaction Documents.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7.3 Conditions to Obligations of Seller</w:t>
      </w:r>
      <w:r>
        <w:rPr>
          <w:rFonts w:ascii="Times New Roman" w:cs="Times New Roman" w:eastAsia="Times New Roman" w:hAnsi="Times New Roman"/>
          <w:sz w:val="22"/>
          <w:szCs w:val="22"/>
          <w:color w:val="auto"/>
        </w:rPr>
        <w:t>. The obligation of Seller to consummate the Closing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satisfaction, on or prior to the Closing Date, of each of the following conditions, any one or more of which may be waived in writing, in whole or in part, by Seller (in Seller’s sole discretion):</w:t>
      </w:r>
    </w:p>
    <w:p>
      <w:pPr>
        <w:spacing w:after="0" w:line="150" w:lineRule="exact"/>
        <w:rPr>
          <w:sz w:val="20"/>
          <w:szCs w:val="20"/>
          <w:color w:val="auto"/>
        </w:rPr>
      </w:pPr>
    </w:p>
    <w:p>
      <w:pPr>
        <w:jc w:val="both"/>
        <w:ind w:firstLine="1304"/>
        <w:spacing w:after="0" w:line="210"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Buyer</w:t>
      </w:r>
      <w:r>
        <w:rPr>
          <w:rFonts w:ascii="Times New Roman" w:cs="Times New Roman" w:eastAsia="Times New Roman" w:hAnsi="Times New Roman"/>
          <w:sz w:val="22"/>
          <w:szCs w:val="22"/>
          <w:color w:val="auto"/>
        </w:rPr>
        <w:t xml:space="preserve">. Each of the representations and warranties of Buyer contained in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other than Buyer Fundamental Representations, shall be true and correct in all respects (it being understood that, for purposes of determining satisfaction of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all materiality qualifications contained in such representations and warranties shall be disregarded) as if remade on and as of the Closing Date (except, in each case, for representations and warranties made as of another specific date other than the Execution Date, which shall be true and correct in all respects as of such specific date), except to the extent the failure of any such representations or warranties to be true and correct do not in the aggregate result in a material adverse effect on the ability of Buyer to consummate any transaction contemplated by this Agreement or any Transaction Documents and the Buyer Fundamental Representations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if remade on and as of the Closing Date (except, in each case, for representations and warranties made as of another specific date other than the Execution Date, which shall be true and correct in all respects as of such specific date);</w:t>
      </w:r>
    </w:p>
    <w:p>
      <w:pPr>
        <w:spacing w:after="0" w:line="157"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Buyer shall have performed and complied in all material respects with all covenants and agreements required by this Agreement to be performed or complied with by Buyer on or prior to the Closing Date;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 xml:space="preserve">. Buyer shall have delivered, caused to be delivered, or be ready, willing and able to deliver, to Seller or the applicable required Person, all of the closing deliveries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and in the other Transaction Documents.</w:t>
      </w:r>
    </w:p>
    <w:p>
      <w:pPr>
        <w:spacing w:after="0" w:line="140"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ARTICLE 8</w:t>
      </w: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8.1 Closing</w:t>
      </w:r>
      <w:r>
        <w:rPr>
          <w:rFonts w:ascii="Times New Roman" w:cs="Times New Roman" w:eastAsia="Times New Roman" w:hAnsi="Times New Roman"/>
          <w:sz w:val="22"/>
          <w:szCs w:val="22"/>
          <w:color w:val="auto"/>
        </w:rPr>
        <w:t>. The closing of the sale, assignment, conveyance, transfer and delivery of the Purchased Shares to Buyer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other transactions contemplated by this Agreement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shall take place electronically, or such place as the Parties may agree,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6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Business Day of the month in which all conditions to Closing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have been satisfied or waived in writing (other than any conditions that can only be satisfied as of the Closing, but subject to the satisfaction or waiver of those conditions), if such conditions to Closing were satisfied or waived in writing at least five (5) Business Days before the end of such month, the last Business Day of the immediately succeeding month after the month in which all such conditions to Closing were satisfied or waived in writing, if such conditions to Closing were satisfied or waived in writing less than five (5) Business Days before the end of the immediately preceding month or any other date mutually agreed on by the Parties in writing. The date of the Closing is referred to in this Agreement as the “</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Unless otherwise agreed, all proceedings to be taken and all documents to be executed and delivered by the Parties at the Closing shall be deemed to have been taken, executed and delivered simultaneously, and no proceedings shall be deemed taken nor any documents executed or delivered until all have been taken, executed and delivered.</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8.2 Closing Deliveries by Seller</w:t>
      </w:r>
      <w:r>
        <w:rPr>
          <w:rFonts w:ascii="Times New Roman" w:cs="Times New Roman" w:eastAsia="Times New Roman" w:hAnsi="Times New Roman"/>
          <w:sz w:val="22"/>
          <w:szCs w:val="22"/>
          <w:color w:val="auto"/>
        </w:rPr>
        <w:t>. At the Closing, Seller will deliver (or cause a Seller Affiliate, as applicable,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 the following documents to Buyer:</w:t>
      </w:r>
    </w:p>
    <w:p>
      <w:pPr>
        <w:spacing w:after="0" w:line="150" w:lineRule="exact"/>
        <w:rPr>
          <w:sz w:val="20"/>
          <w:szCs w:val="20"/>
          <w:color w:val="auto"/>
        </w:rPr>
      </w:pPr>
    </w:p>
    <w:p>
      <w:pPr>
        <w:jc w:val="both"/>
        <w:ind w:firstLine="1304"/>
        <w:spacing w:after="0" w:line="22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executed on behalf of Seller by a senior officer or authorized signatory of Seller, dated the Closing Date, representing and certifying that the conditions set forth in </w:t>
      </w:r>
      <w:r>
        <w:rPr>
          <w:rFonts w:ascii="Times New Roman" w:cs="Times New Roman" w:eastAsia="Times New Roman" w:hAnsi="Times New Roman"/>
          <w:sz w:val="22"/>
          <w:szCs w:val="22"/>
          <w:u w:val="single" w:color="auto"/>
          <w:color w:val="auto"/>
        </w:rPr>
        <w:t>Sections 7.2(a)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7.2(b)</w:t>
      </w:r>
      <w:r>
        <w:rPr>
          <w:rFonts w:ascii="Times New Roman" w:cs="Times New Roman" w:eastAsia="Times New Roman" w:hAnsi="Times New Roman"/>
          <w:sz w:val="22"/>
          <w:szCs w:val="22"/>
          <w:color w:val="auto"/>
        </w:rPr>
        <w:t xml:space="preserve"> have been satisfied or waived in writing by Buyer;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 transfer form in respect of the Purchased Shares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duly executed by Seller (the “</w:t>
      </w:r>
      <w:r>
        <w:rPr>
          <w:rFonts w:ascii="Times New Roman" w:cs="Times New Roman" w:eastAsia="Times New Roman" w:hAnsi="Times New Roman"/>
          <w:sz w:val="22"/>
          <w:szCs w:val="22"/>
          <w:b w:val="1"/>
          <w:bCs w:val="1"/>
          <w:i w:val="1"/>
          <w:iCs w:val="1"/>
          <w:color w:val="auto"/>
        </w:rPr>
        <w:t>Assignment of Purchased Shares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firstLine="1304"/>
        <w:spacing w:after="0" w:line="239"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transition services agreement on the principal terms set out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Transition Services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duly executed by Seller;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tax conduct agreement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relating to the Canadian Tax Proceedings (the “</w:t>
      </w:r>
      <w:r>
        <w:rPr>
          <w:rFonts w:ascii="Times New Roman" w:cs="Times New Roman" w:eastAsia="Times New Roman" w:hAnsi="Times New Roman"/>
          <w:sz w:val="22"/>
          <w:szCs w:val="22"/>
          <w:b w:val="1"/>
          <w:bCs w:val="1"/>
          <w:i w:val="1"/>
          <w:iCs w:val="1"/>
          <w:color w:val="auto"/>
        </w:rPr>
        <w:t>Tax Conduct Agreement</w:t>
      </w:r>
      <w:r>
        <w:rPr>
          <w:rFonts w:ascii="Times New Roman" w:cs="Times New Roman" w:eastAsia="Times New Roman" w:hAnsi="Times New Roman"/>
          <w:sz w:val="22"/>
          <w:szCs w:val="22"/>
          <w:color w:val="auto"/>
        </w:rPr>
        <w:t>”), duly executed by Plains All American Pipeline, L.P.;</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Section 116 Certificate with a Certificate Limit not less than the Closing Payment and/or [commercially sensitive deliverable regarding withholding tax liability redacted] or (ii) a counterpart signature page to the Tax Escrow Agreement, duly executed by Seller;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Residence for Seller issued by the Tax Authority of Luxembourg dated as close as possible to the Closing Date and in any event no more than thirty (30) days preceding the Closing Date and certifying, to the best knowledge of the Tax Authority of Luxembourg, that Seller is resident in the Grand Duchy of Luxembourg within the meaning of Article 4 of the tax convention between Luxembourg and Canada;</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2.6(c), a CRA Form T2062C titled “Notification of an Acquisition of Treaty-Protected Property From a Non-Resident Seller” with Part A, Part B and Part D duly completed and executed by Seller;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letter agreement terminating the Confidentiality Agreement and Clean Team Agreement in substantially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Confidentiality Agreements Termination</w:t>
      </w:r>
      <w:r>
        <w:rPr>
          <w:rFonts w:ascii="Times New Roman" w:cs="Times New Roman" w:eastAsia="Times New Roman" w:hAnsi="Times New Roman"/>
          <w:sz w:val="22"/>
          <w:szCs w:val="22"/>
          <w:color w:val="auto"/>
        </w:rPr>
        <w:t>”), duly executed by Plains All American Pipeline, L.P.;</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resignations of each officer, director or committee member appointed by Seller from any such position such persons hold at any member of the Company Group, such resignations to be effective in each case concurrently with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63" w:lineRule="exact"/>
        <w:rPr>
          <w:sz w:val="20"/>
          <w:szCs w:val="20"/>
          <w:color w:val="auto"/>
        </w:rPr>
      </w:pPr>
    </w:p>
    <w:p>
      <w:pPr>
        <w:jc w:val="both"/>
        <w:ind w:firstLine="1304"/>
        <w:spacing w:after="0" w:line="220"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(i) consummation, in accordance with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of the Pre-Closing Reorganization together with copies of the Pre-Closing Reorganization Documents to which any member of the Company Group is party and (ii) release of each member of the Company Group from any Indebtedness (if any) and any related security interests, and hedges except for [commercially sensitive hedges exception redacted];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consummation of the Buyer Reorganization (if any) to be implemented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6.21</w:t>
      </w:r>
      <w:r>
        <w:rPr>
          <w:rFonts w:ascii="Times New Roman" w:cs="Times New Roman" w:eastAsia="Times New Roman" w:hAnsi="Times New Roman"/>
          <w:sz w:val="22"/>
          <w:szCs w:val="22"/>
          <w:color w:val="auto"/>
        </w:rPr>
        <w:t xml:space="preserve"> together with executed copies of the documents implementing same;</w:t>
      </w:r>
    </w:p>
    <w:p>
      <w:pPr>
        <w:spacing w:after="0" w:line="144" w:lineRule="exact"/>
        <w:rPr>
          <w:rFonts w:ascii="Times New Roman" w:cs="Times New Roman" w:eastAsia="Times New Roman" w:hAnsi="Times New Roman"/>
          <w:sz w:val="22"/>
          <w:szCs w:val="22"/>
          <w:color w:val="auto"/>
        </w:rPr>
      </w:pPr>
    </w:p>
    <w:p>
      <w:pPr>
        <w:ind w:firstLine="1304"/>
        <w:spacing w:after="0" w:line="239" w:lineRule="auto"/>
        <w:tabs>
          <w:tab w:leader="none" w:pos="193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NGL custody certificate delivered pursuant to the Inventory Measurement (the “</w:t>
      </w:r>
      <w:r>
        <w:rPr>
          <w:rFonts w:ascii="Times New Roman" w:cs="Times New Roman" w:eastAsia="Times New Roman" w:hAnsi="Times New Roman"/>
          <w:sz w:val="22"/>
          <w:szCs w:val="22"/>
          <w:b w:val="1"/>
          <w:bCs w:val="1"/>
          <w:i w:val="1"/>
          <w:iCs w:val="1"/>
          <w:color w:val="auto"/>
        </w:rPr>
        <w:t>NGL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Custody Certificate</w:t>
      </w:r>
      <w:r>
        <w:rPr>
          <w:rFonts w:ascii="Times New Roman" w:cs="Times New Roman" w:eastAsia="Times New Roman" w:hAnsi="Times New Roman"/>
          <w:sz w:val="22"/>
          <w:szCs w:val="22"/>
          <w:color w:val="auto"/>
        </w:rPr>
        <w:t>”), dated as of the Closing Date, duly executed by Seller;</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butane supply agreement substantially in the form of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duly executed by CrudeCo (the “</w:t>
      </w:r>
      <w:r>
        <w:rPr>
          <w:rFonts w:ascii="Times New Roman" w:cs="Times New Roman" w:eastAsia="Times New Roman" w:hAnsi="Times New Roman"/>
          <w:sz w:val="21"/>
          <w:szCs w:val="21"/>
          <w:b w:val="1"/>
          <w:bCs w:val="1"/>
          <w:i w:val="1"/>
          <w:iCs w:val="1"/>
          <w:color w:val="auto"/>
        </w:rPr>
        <w:t>Butane</w:t>
      </w:r>
    </w:p>
    <w:p>
      <w:pPr>
        <w:spacing w:after="0" w:line="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i w:val="1"/>
          <w:iCs w:val="1"/>
          <w:color w:val="auto"/>
        </w:rPr>
        <w:t>Supply Agreement</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evidence of all Third Party consents set forth on </w:t>
      </w:r>
      <w:r>
        <w:rPr>
          <w:rFonts w:ascii="Times New Roman" w:cs="Times New Roman" w:eastAsia="Times New Roman" w:hAnsi="Times New Roman"/>
          <w:sz w:val="22"/>
          <w:szCs w:val="22"/>
          <w:u w:val="single" w:color="auto"/>
          <w:color w:val="auto"/>
        </w:rPr>
        <w:t>Schedule 4.5</w:t>
      </w:r>
      <w:r>
        <w:rPr>
          <w:rFonts w:ascii="Times New Roman" w:cs="Times New Roman" w:eastAsia="Times New Roman" w:hAnsi="Times New Roman"/>
          <w:sz w:val="22"/>
          <w:szCs w:val="22"/>
          <w:color w:val="auto"/>
        </w:rPr>
        <w:t xml:space="preserve"> of the Seller Disclosure Schedules;</w:t>
      </w:r>
    </w:p>
    <w:p>
      <w:pPr>
        <w:spacing w:after="0" w:line="173" w:lineRule="exact"/>
        <w:rPr>
          <w:rFonts w:ascii="Times New Roman" w:cs="Times New Roman" w:eastAsia="Times New Roman" w:hAnsi="Times New Roman"/>
          <w:sz w:val="22"/>
          <w:szCs w:val="22"/>
          <w:color w:val="auto"/>
        </w:rPr>
      </w:pPr>
    </w:p>
    <w:p>
      <w:pPr>
        <w:ind w:firstLine="1304"/>
        <w:spacing w:after="0" w:line="239"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contract for difference in relation to C3+ substantially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Frac Spread Hedge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duly executed by CrudeCo;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release of Encumbrances on the Purchased Shares and the Subsidiary Interests (other than restrictions on transfer that may be imposed by applicable Law or the Company’s Organizational Documents);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certificates, instruments of conveyance and documents required by this Agreement or as may be reasonably requested by Buyer and agreed to by Seller prior to the Closing Date to carry out the intention and purposes of this Agreement.</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8.3</w:t>
      </w:r>
      <w:r>
        <w:rPr>
          <w:sz w:val="20"/>
          <w:szCs w:val="20"/>
          <w:color w:val="auto"/>
        </w:rPr>
        <w:tab/>
      </w:r>
      <w:r>
        <w:rPr>
          <w:rFonts w:ascii="Times New Roman" w:cs="Times New Roman" w:eastAsia="Times New Roman" w:hAnsi="Times New Roman"/>
          <w:sz w:val="22"/>
          <w:szCs w:val="22"/>
          <w:b w:val="1"/>
          <w:bCs w:val="1"/>
          <w:color w:val="auto"/>
        </w:rPr>
        <w:t>Closing Deliveries by Buyer</w:t>
      </w:r>
      <w:r>
        <w:rPr>
          <w:rFonts w:ascii="Times New Roman" w:cs="Times New Roman" w:eastAsia="Times New Roman" w:hAnsi="Times New Roman"/>
          <w:sz w:val="22"/>
          <w:szCs w:val="22"/>
          <w:color w:val="auto"/>
        </w:rPr>
        <w:t>. At the Closing, in addition to the payment of the Closing Payment pursuant to</w:t>
      </w:r>
    </w:p>
    <w:p>
      <w:pPr>
        <w:spacing w:after="0"/>
        <w:rPr>
          <w:sz w:val="20"/>
          <w:szCs w:val="20"/>
          <w:color w:val="auto"/>
        </w:rPr>
      </w:pP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Buyer will deliver (or cause its Affiliates, as applicable, to deliver) the following documents to Seller:</w:t>
      </w:r>
    </w:p>
    <w:p>
      <w:pPr>
        <w:spacing w:after="0" w:line="155" w:lineRule="exact"/>
        <w:rPr>
          <w:sz w:val="20"/>
          <w:szCs w:val="20"/>
          <w:color w:val="auto"/>
        </w:rPr>
      </w:pPr>
    </w:p>
    <w:p>
      <w:pPr>
        <w:jc w:val="both"/>
        <w:ind w:firstLine="1304"/>
        <w:spacing w:after="0" w:line="225"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executed by a senior officer or authorized signatory of Buyer, dated the Closing Date, representing and certifying that the conditions set forth in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7.3(b)</w:t>
      </w:r>
      <w:r>
        <w:rPr>
          <w:rFonts w:ascii="Times New Roman" w:cs="Times New Roman" w:eastAsia="Times New Roman" w:hAnsi="Times New Roman"/>
          <w:sz w:val="22"/>
          <w:szCs w:val="22"/>
          <w:color w:val="auto"/>
        </w:rPr>
        <w:t xml:space="preserve"> have been satisfied or waived in writing by Seller;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Assignment of Purchased Shares, duly executed by Buyer;</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Transition Services Agreement, duly executed by Buyer and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Tax Conduct Agreement, duly executed by Buyer and the Company;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a counterpart signature page to the Tax Escrow Agreement, duly executed by Buyer;</w:t>
      </w:r>
    </w:p>
    <w:p>
      <w:pPr>
        <w:spacing w:after="0" w:line="16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Confidentiality Agreements Termination, duly executed by Keyera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50" w:lineRule="exact"/>
        <w:rPr>
          <w:sz w:val="20"/>
          <w:szCs w:val="20"/>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to the NGL Custody Certificate, dated as of the Closing Date, duly executed by Buyer or its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Affiliate;</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signature page to the Butane Supply Agreement, duly executed by Keyera Partnership;</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Frac Spread Hedge Agreement, duly executed by Keyera Partnership; and</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certificates, instruments of conveyance, and documents required by this Agreement or as may be reasonably requested by Seller prior to the Closing Date to carry out the intention and purposes of this Agreement.</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4840"/>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15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9.1 Termination Rights</w:t>
      </w:r>
      <w:r>
        <w:rPr>
          <w:rFonts w:ascii="Times New Roman" w:cs="Times New Roman" w:eastAsia="Times New Roman" w:hAnsi="Times New Roman"/>
          <w:sz w:val="22"/>
          <w:szCs w:val="22"/>
          <w:color w:val="auto"/>
        </w:rPr>
        <w:t>. This Agreement may be terminated at any time prior to the Closing as follows (the date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permitted termination of this Agreement under this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940" w:hanging="636"/>
        <w:spacing w:after="0"/>
        <w:tabs>
          <w:tab w:leader="none" w:pos="19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the Parties;</w:t>
      </w:r>
    </w:p>
    <w:p>
      <w:pPr>
        <w:spacing w:after="0" w:line="179"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Seller or Buyer if any Governmental Entity of competent jurisdiction shall have issued a final and non-appealable order, decree, judgment or Law prohibiting the consummation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not be available to a Party if the issuance of, enacting of, entering into, promulgation of or enforcement of such final and non-appealable order, decree, judgment or Law was primarily due to the failure of such Party to perform or comply with, in all material respects, any of the covenants or agreements to be performed or complied with by such Party under this Agreement prior to the Closing;</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Buyer in the event that the Closing has not occurred on or prior to March 17, 2026 (the “</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if the Required Regulatory Approvals have not been obtained on or prior to such date but all other conditions to the Closing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(other than (x) those conditions that by their nature are to be satisfied by actions taken at the Closing and (y) the Pre-Closing Reorganization) shall have been satisfied or waived, then Buyer or Seller may, cumulatively, extend the Outside Date by up to three successive periods of thirty (30) days each (each an “</w:t>
      </w:r>
      <w:r>
        <w:rPr>
          <w:rFonts w:ascii="Times New Roman" w:cs="Times New Roman" w:eastAsia="Times New Roman" w:hAnsi="Times New Roman"/>
          <w:sz w:val="22"/>
          <w:szCs w:val="22"/>
          <w:b w:val="1"/>
          <w:bCs w:val="1"/>
          <w:i w:val="1"/>
          <w:iCs w:val="1"/>
          <w:color w:val="auto"/>
        </w:rPr>
        <w:t>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by giving written notice of such Extension Period to the other Party at least three (3) Business Days prior to the then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applicable Outside Date and, upon receipt of an extension notice by a Party, all references thereafter to the “Outside Date” herein will be to the Outside Date as so extended;</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at Seller’s option, in the event that there has been a breach or inaccuracy of Buyer’s representations and warranties in this Agreement or a failure by Buyer to perform its covenants in this Agreement, in any such case, in a manner that would cause the conditions to the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not to be satisfied and, following written notice thereof from Seller to Buyer specifying the reason such condition is unsatisfied, such condition remains unsatisfied for a period of ten (10) Business Days after Buyer’s receipt of written notice thereof from Seller;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at Buyer’s option, in the event that there has been a breach or inaccuracy of Seller’s representations and warranties in this Agreement or a failure by Seller to perform its covenants in this Agreement, in any such case, in a manner that would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conditions to the Closing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not to be satisfied and, following written notice thereof from Buyer to Seller specifying the reason such condition is unsatisfied, such condition remains unsatisfied for a period of ten (10) Business Days after Seller’s receipt of written notice thereof from Buyer;</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no Party shall be entitled to terminate this Agreement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9.1(e)</w:t>
      </w:r>
      <w:r>
        <w:rPr>
          <w:rFonts w:ascii="Times New Roman" w:cs="Times New Roman" w:eastAsia="Times New Roman" w:hAnsi="Times New Roman"/>
          <w:sz w:val="22"/>
          <w:szCs w:val="22"/>
          <w:color w:val="auto"/>
        </w:rPr>
        <w:t xml:space="preserve"> if such terminating Party is, at such time, in material breach of any provision of this Agreement (unless the breach arises from the action or inaction of the non-terminating Party).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9.2</w:t>
      </w:r>
      <w:r>
        <w:rPr>
          <w:sz w:val="20"/>
          <w:szCs w:val="20"/>
          <w:color w:val="auto"/>
        </w:rPr>
        <w:tab/>
      </w:r>
      <w:r>
        <w:rPr>
          <w:rFonts w:ascii="Times New Roman" w:cs="Times New Roman" w:eastAsia="Times New Roman" w:hAnsi="Times New Roman"/>
          <w:sz w:val="21"/>
          <w:szCs w:val="21"/>
          <w:b w:val="1"/>
          <w:bCs w:val="1"/>
          <w:color w:val="auto"/>
        </w:rPr>
        <w:t>Effect of Termination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5" w:lineRule="auto"/>
        <w:tabs>
          <w:tab w:leader="none" w:pos="194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the termination of this Agreement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all rights and obligations of the Parties under this Agreement shall terminate and become void, and the Parties shall have no liability hereunder, except for the provisions of </w:t>
      </w:r>
      <w:r>
        <w:rPr>
          <w:rFonts w:ascii="Times New Roman" w:cs="Times New Roman" w:eastAsia="Times New Roman" w:hAnsi="Times New Roman"/>
          <w:sz w:val="21"/>
          <w:szCs w:val="21"/>
          <w:u w:val="single" w:color="auto"/>
          <w:color w:val="auto"/>
        </w:rPr>
        <w:t>Section 6.14</w:t>
      </w:r>
      <w:r>
        <w:rPr>
          <w:rFonts w:ascii="Times New Roman" w:cs="Times New Roman" w:eastAsia="Times New Roman" w:hAnsi="Times New Roman"/>
          <w:sz w:val="21"/>
          <w:szCs w:val="21"/>
          <w:color w:val="auto"/>
        </w:rPr>
        <w:t xml:space="preserve"> to the extent set forth therein and the provisions of this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u w:val="single" w:color="auto"/>
          <w:color w:val="auto"/>
        </w:rPr>
        <w:t>Section 12.7</w:t>
      </w:r>
      <w:r>
        <w:rPr>
          <w:rFonts w:ascii="Times New Roman" w:cs="Times New Roman" w:eastAsia="Times New Roman" w:hAnsi="Times New Roman"/>
          <w:sz w:val="21"/>
          <w:szCs w:val="21"/>
          <w:color w:val="auto"/>
        </w:rPr>
        <w:t xml:space="preserve"> shall only survive with respect to the Parties’ obligations under </w:t>
      </w:r>
      <w:r>
        <w:rPr>
          <w:rFonts w:ascii="Times New Roman" w:cs="Times New Roman" w:eastAsia="Times New Roman" w:hAnsi="Times New Roman"/>
          <w:sz w:val="21"/>
          <w:szCs w:val="21"/>
          <w:u w:val="single" w:color="auto"/>
          <w:color w:val="auto"/>
        </w:rPr>
        <w:t>Section 6.6</w:t>
      </w:r>
      <w:r>
        <w:rPr>
          <w:rFonts w:ascii="Times New Roman" w:cs="Times New Roman" w:eastAsia="Times New Roman" w:hAnsi="Times New Roman"/>
          <w:sz w:val="21"/>
          <w:szCs w:val="21"/>
          <w:color w:val="auto"/>
        </w:rPr>
        <w:t xml:space="preserve">), and such of the defined terms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give context to such Sections and Articles, all of which shall survive and continue in full force and effect for the period set forth therein, or, if no such period is specified, indefinitely.</w:t>
      </w:r>
    </w:p>
    <w:p>
      <w:pPr>
        <w:spacing w:after="0" w:line="153"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the time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conditions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not been satisfied, all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been satisfied (excluding conditions that, by their terms, cannot be satisfied until Closing) or waived in writing by Buyer (unless the failure to satisfy such condition arises from the action or inaction of Buyer or its Affiliates, or their respective members, owners, directors, officers, employees, or consultants) and Seller is ready, willing and able to perform its obligations under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then, in such event, Seller shall be entitled to seek all rights and remedies available at Law or in equity for Buyer’s breach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the time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 conditions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have not been satisfied, all conditions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have been satisfied (excluding conditions that, by their terms, cannot be satisfied until Closing) or waived in writing by Seller (unless the failure to satisfy such condition arises from the action or inaction of Seller or its Affiliates, or their respective members, owners, directors, officers, employees, or consultants) and Buyer is ready, willing and able to perform its obligations under </w:t>
      </w:r>
      <w:r>
        <w:rPr>
          <w:rFonts w:ascii="Times New Roman" w:cs="Times New Roman" w:eastAsia="Times New Roman" w:hAnsi="Times New Roman"/>
          <w:sz w:val="22"/>
          <w:szCs w:val="22"/>
          <w:u w:val="single" w:color="auto"/>
          <w:color w:val="auto"/>
        </w:rPr>
        <w:t>Section 8.3(b)</w:t>
      </w:r>
      <w:r>
        <w:rPr>
          <w:rFonts w:ascii="Times New Roman" w:cs="Times New Roman" w:eastAsia="Times New Roman" w:hAnsi="Times New Roman"/>
          <w:sz w:val="22"/>
          <w:szCs w:val="22"/>
          <w:color w:val="auto"/>
        </w:rPr>
        <w:t>, then, in such event, Buyer shall be entitled to seek all rights and remedies available at Law or in equity for Seller’s breach of this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9.3</w:t>
      </w:r>
      <w:r>
        <w:rPr>
          <w:sz w:val="20"/>
          <w:szCs w:val="20"/>
          <w:color w:val="auto"/>
        </w:rPr>
        <w:tab/>
      </w:r>
      <w:r>
        <w:rPr>
          <w:rFonts w:ascii="Times New Roman" w:cs="Times New Roman" w:eastAsia="Times New Roman" w:hAnsi="Times New Roman"/>
          <w:sz w:val="21"/>
          <w:szCs w:val="21"/>
          <w:b w:val="1"/>
          <w:bCs w:val="1"/>
          <w:color w:val="auto"/>
        </w:rPr>
        <w:t>Termination Fee</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this Agreement is terminated by Seller or Buyer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legal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restraint</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upon reaching Outside Date</w:t>
      </w:r>
      <w:r>
        <w:rPr>
          <w:rFonts w:ascii="Times New Roman" w:cs="Times New Roman" w:eastAsia="Times New Roman" w:hAnsi="Times New Roman"/>
          <w:sz w:val="22"/>
          <w:szCs w:val="22"/>
          <w:color w:val="auto"/>
        </w:rPr>
        <w:t>) owing to the Required Regulatory Approvals not having been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obtained, and all other conditions to Closing have been satisfied or are reasonably capable of being satisfied, and provided that Seller has, or has caused, its obligations in </w:t>
      </w:r>
      <w:r>
        <w:rPr>
          <w:rFonts w:ascii="Times New Roman" w:cs="Times New Roman" w:eastAsia="Times New Roman" w:hAnsi="Times New Roman"/>
          <w:sz w:val="22"/>
          <w:szCs w:val="22"/>
          <w:u w:val="single" w:color="auto"/>
          <w:color w:val="auto"/>
        </w:rPr>
        <w:t>Sections 6.6(b)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6.6(f)</w:t>
      </w:r>
      <w:r>
        <w:rPr>
          <w:rFonts w:ascii="Times New Roman" w:cs="Times New Roman" w:eastAsia="Times New Roman" w:hAnsi="Times New Roman"/>
          <w:sz w:val="22"/>
          <w:szCs w:val="22"/>
          <w:color w:val="auto"/>
        </w:rPr>
        <w:t xml:space="preserve"> to be satisfied in all material respects, and at the time of termination any waiting periods under any Required Regulatory Approvals have not expired or otherwise terminated, in each case, then Buyer shall, promptly and in any event within two (2) Business Days of such termination, pay Seller a non-refundable termination fee, without offset or reduction of any kind, in an amount of One Hundred and Twenty-five Million Dollars (C$125,000,000) (the “</w:t>
      </w:r>
      <w:r>
        <w:rPr>
          <w:rFonts w:ascii="Times New Roman" w:cs="Times New Roman" w:eastAsia="Times New Roman" w:hAnsi="Times New Roman"/>
          <w:sz w:val="22"/>
          <w:szCs w:val="22"/>
          <w:b w:val="1"/>
          <w:bCs w:val="1"/>
          <w:i w:val="1"/>
          <w:iCs w:val="1"/>
          <w:color w:val="auto"/>
        </w:rPr>
        <w:t>Buyer Termination Fee</w:t>
      </w:r>
      <w:r>
        <w:rPr>
          <w:rFonts w:ascii="Times New Roman" w:cs="Times New Roman" w:eastAsia="Times New Roman" w:hAnsi="Times New Roman"/>
          <w:sz w:val="22"/>
          <w:szCs w:val="22"/>
          <w:color w:val="auto"/>
        </w:rPr>
        <w:t xml:space="preserve">”), it being understood that in no event shall Buyer be required to pay the Buyer Termination Fee on more than one occasion. Any amount that becomes payable pursuant to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shall be paid by wire transfer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6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immediately available funds to an account or accounts that have been designated by Seller. Until such time as this Agreement is terminated in any of the circumstances described in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and the Buyer Termination Fee is paid by or on behalf of Buyer in accordance therewith, nothing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prohibit Seller from seeking specific performance pursuant to, and on the terms and conditions set forth in, </w:t>
      </w:r>
      <w:r>
        <w:rPr>
          <w:rFonts w:ascii="Times New Roman" w:cs="Times New Roman" w:eastAsia="Times New Roman" w:hAnsi="Times New Roman"/>
          <w:sz w:val="22"/>
          <w:szCs w:val="22"/>
          <w:u w:val="single" w:color="auto"/>
          <w:color w:val="auto"/>
        </w:rPr>
        <w:t>Section 12.7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not be entitled under any circumstances to obtain both a recovery of monetary damages in the form of the Buyer Termination Fee (and any Interest Amount or Collection Costs recoverable by Seller pursuant to this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and specific performance of the consummation of the Closing pursuant to this Agreement.</w:t>
      </w:r>
    </w:p>
    <w:p>
      <w:pPr>
        <w:spacing w:after="0" w:line="156" w:lineRule="exact"/>
        <w:rPr>
          <w:sz w:val="20"/>
          <w:szCs w:val="20"/>
          <w:color w:val="auto"/>
        </w:rPr>
      </w:pPr>
    </w:p>
    <w:p>
      <w:pPr>
        <w:jc w:val="both"/>
        <w:ind w:firstLine="1304"/>
        <w:spacing w:after="0" w:line="207"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Buyer Termination Fee is paid to Seller pursuant to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Buyer shall not have any liability of any nature whatsoever to Seller or any other Person with respect to any breach of this Agreement or the failure of the Closing to occur, other than the liability of the Buyer to pay the Buyer Termination Fee in accordance with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as applicable or any amounts payable under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Buyer fails to pay the Buyer Termination Fee when due (x) if, in order to obtain such payment, Seller commence a Proceeding that results in a judgment against Buyer, Buyer shall reimburse Seller for its reasonable and documented, out-of-pocket costs and expenses (including reasonable attorneys’ fees and expenses) incurred in connection with such Proceeding (such amount, the “</w:t>
      </w:r>
      <w:r>
        <w:rPr>
          <w:rFonts w:ascii="Times New Roman" w:cs="Times New Roman" w:eastAsia="Times New Roman" w:hAnsi="Times New Roman"/>
          <w:sz w:val="22"/>
          <w:szCs w:val="22"/>
          <w:b w:val="1"/>
          <w:bCs w:val="1"/>
          <w:i w:val="1"/>
          <w:iCs w:val="1"/>
          <w:color w:val="auto"/>
        </w:rPr>
        <w:t>Collection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Costs</w:t>
      </w:r>
      <w:r>
        <w:rPr>
          <w:rFonts w:ascii="Times New Roman" w:cs="Times New Roman" w:eastAsia="Times New Roman" w:hAnsi="Times New Roman"/>
          <w:sz w:val="22"/>
          <w:szCs w:val="22"/>
          <w:color w:val="auto"/>
        </w:rPr>
        <w:t>”) and (y) interest shall accrue on the Buyer Termination Fee from the date of termination of this Agreement at a rate per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annum equal to the prime rate as published in the Wall Street Journal, Eastern Edition, in effect on the date of termination of this Agreement (such amount, the “</w:t>
      </w:r>
      <w:r>
        <w:rPr>
          <w:rFonts w:ascii="Times New Roman" w:cs="Times New Roman" w:eastAsia="Times New Roman" w:hAnsi="Times New Roman"/>
          <w:sz w:val="22"/>
          <w:szCs w:val="22"/>
          <w:b w:val="1"/>
          <w:bCs w:val="1"/>
          <w:i w:val="1"/>
          <w:iCs w:val="1"/>
          <w:color w:val="auto"/>
        </w:rPr>
        <w:t>Interest Amount</w:t>
      </w:r>
      <w:r>
        <w:rPr>
          <w:rFonts w:ascii="Times New Roman" w:cs="Times New Roman" w:eastAsia="Times New Roman" w:hAnsi="Times New Roman"/>
          <w:sz w:val="22"/>
          <w:szCs w:val="22"/>
          <w:color w:val="auto"/>
        </w:rPr>
        <w:t xml:space="preserve">”). In the event that the Buyer Termination Fee is paid to Seller pursuant to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Seller acknowledges and agrees that, other than with respect to amounts payable pursuant to this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 xml:space="preserve"> (including the Collection Costs and Interest Amount), payment by Buyer of the Buyer Termination Fee (and any Interest Amount or Collection Costs) shall be the sole and exclusive remedy, whether in any individual, corporate or any other capacity, with respect to any and all claims relating (directly or indirectly) to the subject matter of this Agreement or the transactions contemplated hereby, regardless of the legal theory under which such material Liability or obligation may be sought to be imposed, whether sounding in contract or tort, or whether at law or in equity, of Seller and any of its Affiliates, for any material Liabilities suffered as a result of any breach (whether willful, intentional, unintentional or otherwise) of any representation, warranty, covenant or agreement in this Agreement, or related to the subject matter of this Agreement or the transactions contemplated hereby, against Buyer or any of its Affiliates or the failure (whether willful, intentional, unintentional or otherwise) of the transactions contemplated hereby to be consummated and none of Seller or its Affiliates shall bring or permit any of their respective Affiliates to bring any Proceeding in connection with any such failure of the transactions contemplated hereby to be consummated.</w:t>
      </w:r>
    </w:p>
    <w:p>
      <w:pPr>
        <w:spacing w:after="0" w:line="167"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acknowledge and agree that the Buyer Termination Fee is not a penalty, but rather is liquidated damages in a reasonable amount that will compensate Seller in the circumstances in which the Buyer Termination Fee is payable for the efforts and resources expended and the opportunities foregone while negotiating this Agreement and in reliance on this Agreement and on the expectation of the consummation of the transactions contemplated by this Agreement, which amount would otherwise be uncertain and incapable of accurate determination.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acknowledge and agree that the agreements contained in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are an integral part of the transactions contemplated by this Agreement, and that, without these agreements, neither Buyer nor Seller would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860"/>
        <w:spacing w:after="0"/>
        <w:rPr>
          <w:sz w:val="20"/>
          <w:szCs w:val="20"/>
          <w:color w:val="auto"/>
        </w:rPr>
      </w:pPr>
      <w:r>
        <w:rPr>
          <w:rFonts w:ascii="Times New Roman" w:cs="Times New Roman" w:eastAsia="Times New Roman" w:hAnsi="Times New Roman"/>
          <w:sz w:val="22"/>
          <w:szCs w:val="22"/>
          <w:b w:val="1"/>
          <w:bCs w:val="1"/>
          <w:color w:val="auto"/>
        </w:rPr>
        <w:t>TAX MATTERS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Filing of Tax Returns; Payment of Taxes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31" w:lineRule="auto"/>
        <w:tabs>
          <w:tab w:leader="none" w:pos="194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prepare and file, or cause to be prepared and filed, all Tax Returns of or with respect to the Company Group required to be filed after the Closing Date for all Pre-Closing Tax Periods (“</w:t>
      </w:r>
      <w:r>
        <w:rPr>
          <w:rFonts w:ascii="Times New Roman" w:cs="Times New Roman" w:eastAsia="Times New Roman" w:hAnsi="Times New Roman"/>
          <w:sz w:val="21"/>
          <w:szCs w:val="21"/>
          <w:b w:val="1"/>
          <w:bCs w:val="1"/>
          <w:i w:val="1"/>
          <w:iCs w:val="1"/>
          <w:color w:val="auto"/>
        </w:rPr>
        <w:t>Pre-Closing Tax Returns</w:t>
      </w:r>
      <w:r>
        <w:rPr>
          <w:rFonts w:ascii="Times New Roman" w:cs="Times New Roman" w:eastAsia="Times New Roman" w:hAnsi="Times New Roman"/>
          <w:sz w:val="21"/>
          <w:szCs w:val="21"/>
          <w:color w:val="auto"/>
        </w:rPr>
        <w:t>”), and such Pre-Closing Tax Returns are to be prepared and filed in a manner consistent with prior practice with respect to the treatment of specific items thereon (to the extent such treatment is reasonable in the circumstances and not prohibited by applicable Law).</w:t>
      </w:r>
    </w:p>
    <w:p>
      <w:pPr>
        <w:spacing w:after="0" w:line="150"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deliver to Buyer a substantially final draft of each such Pre-Closing Tax Return for review not less than thirty (30) days prior to the due date thereof (taking into account any extensions) or as promptly following the Closing Date as practicable if the Closing Date occurs within thirty (30) days prior to such due date, together with all working papers relating to its preparation and shall,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Buyer delivers comments in writing on such Pre-Closing Tax Return by the date that is ten (10) days prior to the due date thereof, take such comments into account in good faith in the Pre-Closing Tax Return that is filed.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cooperate to enable Seller to file (or cause to be filed) any such Pre-Closing Tax Returns, and to the extent required under applicable Law, Buyer will join in the execution of such Pre-Closing Tax Returns.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not to have subsection 256(9) of the Canadian Tax Act (and comparable provisions of applicable provincial or territorial Law) apply in respect of the taxation year of any Company Group member ending as a result of the Closing shall be made.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is subject to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color w:val="auto"/>
        </w:rPr>
        <w:t>Tax Allocation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20"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Solely for purposes of determining Estimated Closing Working Capital and Closing Working Capital adjustments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Seller shall be allocated all Taxes for any Pre-Closing Tax Period and all Taxes attributable to the Pre-Closing Reorganization and Buyer shall be allocated all Taxes attributable to a Buyer Reorganization to the extent not otherwise indemnified by Buyer.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the allocation in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in the case of Taxes that are payable with respect to a Straddle Period, the portion of any such Taxes that is attributable to the Pre-Closing Tax Period: in the case of Taxes that are either based upon or related to income or receipts or imposed in connection with any sale or other transfer or assignment of property (real or personal, tangible or intangible), shall be allocated to the period in which the transaction giving rise to such Taxes occurred,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Pre-Closing Reorganization shall be deemed to occur in a Pre-Closing Tax Period; and in the cases of Taxes that are ad valorem, property or other Taxes imposed on a periodic basis, deemed to be the amount of such Taxes for the entire Straddle Period, multiplied by a fraction the numerator of which is the number of calendar days in the Pre-Closing Tax Period and the denominator of which is the number of calendar days in the entire period.</w:t>
      </w:r>
    </w:p>
    <w:p>
      <w:pPr>
        <w:spacing w:after="0" w:line="15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10.3 True-Up</w:t>
      </w:r>
      <w:r>
        <w:rPr>
          <w:rFonts w:ascii="Times New Roman" w:cs="Times New Roman" w:eastAsia="Times New Roman" w:hAnsi="Times New Roman"/>
          <w:sz w:val="21"/>
          <w:szCs w:val="21"/>
          <w:color w:val="auto"/>
        </w:rPr>
        <w:t>. To the extent the actual amount of a Tax with respect to a Straddle Period is not known at the time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adjustment is to be made with respect to such Tax pursuant to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as applicable, the Parties shall utilize the most recent information available in estimating the amount of such Tax for purposes of such adjustment.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actual amount of a Tax shown as due on the Tax Return as filed is ultimately determined to be different from the amount (if any) that was taken into account in the Post-Closing Statement as finally determined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timely payments will be made from one Party to the other to the extent necessary to cause each Party to bear the amount of such Tax that is allocable to such Party under </w:t>
      </w:r>
      <w:r>
        <w:rPr>
          <w:rFonts w:ascii="Times New Roman" w:cs="Times New Roman" w:eastAsia="Times New Roman" w:hAnsi="Times New Roman"/>
          <w:sz w:val="22"/>
          <w:szCs w:val="22"/>
          <w:u w:val="single" w:color="auto"/>
          <w:color w:val="auto"/>
        </w:rPr>
        <w:t>Section 10.2(a)</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10.4 Cooperation</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Buyer shall cooperate fully, as and to the extent reasonably requested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Seller, in connection with the filing of Tax Returns in respect of a Pre-Closing Tax Period of any member of the Company Group. Such cooperation will include the retention and, upon the request of Seller, the provision of records and information that are relevant to any such Tax Return and making employees reasonably available on a mutually convenient basis to provide additional information and explanation of any material provided hereunder. Buyer agrees to: at the sole cost and expense of Seller, use Reasonable Efforts to obtain any certificate or other document from any Governmental Entity or any other Person as may be reasonably requested to mitigate, reduce or eliminate any Tax that could be imposed on Seller, Buyer, or the Company Group (with respect to the transactions contemplated hereby); retain all books and records with respect to Tax matters pertinent to the members of the Company Group relating to any Pre-Closing Tax Period until the expiration of any applicable reassessment period, and to abide by all record retention agreements entered into with any Governmental Entity and described in Schedule 10.4 of the Seller Disclosure Schedule; and give Seller reasonable written notice prior to transferring, destroying or discarding any such books and records and, if Seller so requests, Buyer shall provide Seller and their authorized representatives with authorized access (for the purpose of examining and copying), at reasonable times and upon reasonable notice, such books and records.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b w:val="1"/>
          <w:bCs w:val="1"/>
          <w:color w:val="auto"/>
        </w:rPr>
        <w:t>10.5 Tax Disclosure</w:t>
      </w:r>
      <w:r>
        <w:rPr>
          <w:rFonts w:ascii="Times New Roman" w:cs="Times New Roman" w:eastAsia="Times New Roman" w:hAnsi="Times New Roman"/>
          <w:sz w:val="21"/>
          <w:szCs w:val="21"/>
          <w:color w:val="auto"/>
        </w:rPr>
        <w:t>. If, at any time, any of the Parties determines, or becomes aware that an “advisor” (as is defined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section 237.3 or section 237.4 of the Canadian Tax Act) has determined, that any step or steps in the series of transactions that includes the Transaction should be reported under the reporting requirements under section 237.3 of the Canadian Tax Act, or the notification requirements under section 237.4 of the Canadian Tax Act, or any substantially similar provision of applicable Canadian provincial or territorial laws, including as a result of any future amendments or proposed amendments to such provisions (collectively, the “</w:t>
      </w:r>
      <w:r>
        <w:rPr>
          <w:rFonts w:ascii="Times New Roman" w:cs="Times New Roman" w:eastAsia="Times New Roman" w:hAnsi="Times New Roman"/>
          <w:sz w:val="21"/>
          <w:szCs w:val="21"/>
          <w:b w:val="1"/>
          <w:bCs w:val="1"/>
          <w:i w:val="1"/>
          <w:iCs w:val="1"/>
          <w:color w:val="auto"/>
        </w:rPr>
        <w:t>Disclosure Requirements</w:t>
      </w:r>
      <w:r>
        <w:rPr>
          <w:rFonts w:ascii="Times New Roman" w:cs="Times New Roman" w:eastAsia="Times New Roman" w:hAnsi="Times New Roman"/>
          <w:sz w:val="21"/>
          <w:szCs w:val="21"/>
          <w:color w:val="auto"/>
        </w:rPr>
        <w:t>”), the applicable Party will promptly inform the other Party of its intent, or the advisor’s intent, to comply with the Disclosure Requirements and the Parties will cooperate in good faith to determine the applicability of such requirements. In the event that, following such cooperation, it is ultimately determined that any Party will file any applicable information return, notification and/or disclosure in accordance with the Disclosure Requirements (in each case, a “</w:t>
      </w:r>
      <w:r>
        <w:rPr>
          <w:rFonts w:ascii="Times New Roman" w:cs="Times New Roman" w:eastAsia="Times New Roman" w:hAnsi="Times New Roman"/>
          <w:sz w:val="21"/>
          <w:szCs w:val="21"/>
          <w:b w:val="1"/>
          <w:bCs w:val="1"/>
          <w:i w:val="1"/>
          <w:iCs w:val="1"/>
          <w:color w:val="auto"/>
        </w:rPr>
        <w:t>Mandatory Disclosure</w:t>
      </w:r>
      <w:r>
        <w:rPr>
          <w:rFonts w:ascii="Times New Roman" w:cs="Times New Roman" w:eastAsia="Times New Roman" w:hAnsi="Times New Roman"/>
          <w:sz w:val="21"/>
          <w:szCs w:val="21"/>
          <w:color w:val="auto"/>
        </w:rPr>
        <w:t>”), each Party required to file a Mandatory Disclosure (a “</w:t>
      </w:r>
      <w:r>
        <w:rPr>
          <w:rFonts w:ascii="Times New Roman" w:cs="Times New Roman" w:eastAsia="Times New Roman" w:hAnsi="Times New Roman"/>
          <w:sz w:val="21"/>
          <w:szCs w:val="21"/>
          <w:b w:val="1"/>
          <w:bCs w:val="1"/>
          <w:i w:val="1"/>
          <w:iCs w:val="1"/>
          <w:color w:val="auto"/>
        </w:rPr>
        <w:t>Disclosing Party</w:t>
      </w:r>
      <w:r>
        <w:rPr>
          <w:rFonts w:ascii="Times New Roman" w:cs="Times New Roman" w:eastAsia="Times New Roman" w:hAnsi="Times New Roman"/>
          <w:sz w:val="21"/>
          <w:szCs w:val="21"/>
          <w:color w:val="auto"/>
        </w:rPr>
        <w:t>”) shall submit to the other Party a draft of such Mandatory Disclosure at least thirty (30) days before the date on which such Mandatory Disclosure is required by law to be filed, and within fifteen (15) days of receipt such other Parties shall have the right to make reasonable comments or changes on such draft by communicating such comments or changes in writing to the Disclosing Party. The Disclosing Party shall consider in good faith any such comments or changes proposed by the other Party and shall incorporate such comments or changes which the Disclosing Party determines are reasonable and in accordance with law. Notwithstanding the foregoing, no Party shall be under any obligation to report a transaction that it determines, acting reasonably, not to be subject to a reporting requirement pursuant to the Disclosure Requirements, nor prohibited from reporting a transaction that it determines, acting reasonably, should be disclosed pursuant to the Disclosure Requirements.</w:t>
      </w:r>
    </w:p>
    <w:p>
      <w:pPr>
        <w:spacing w:after="0" w:line="15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10.6 Transfer Taxes</w:t>
      </w:r>
      <w:r>
        <w:rPr>
          <w:rFonts w:ascii="Times New Roman" w:cs="Times New Roman" w:eastAsia="Times New Roman" w:hAnsi="Times New Roman"/>
          <w:sz w:val="21"/>
          <w:szCs w:val="21"/>
          <w:color w:val="auto"/>
        </w:rPr>
        <w:t>. In the event any excise, sales, use, stamp, transfer, documentary, filing, recordation, value added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 similar Taxes or fees will be incurred as a result of or with respect to the consummation of the transactions contemplated hereby (excluding, for the avoidance of doubt, any such Taxes incurred as a result of the Pre-Closing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(collectively, “</w:t>
      </w:r>
      <w:r>
        <w:rPr>
          <w:rFonts w:ascii="Times New Roman" w:cs="Times New Roman" w:eastAsia="Times New Roman" w:hAnsi="Times New Roman"/>
          <w:sz w:val="22"/>
          <w:szCs w:val="22"/>
          <w:b w:val="1"/>
          <w:bCs w:val="1"/>
          <w:i w:val="1"/>
          <w:iCs w:val="1"/>
          <w:color w:val="auto"/>
        </w:rPr>
        <w:t>Transfer Taxes</w:t>
      </w:r>
      <w:r>
        <w:rPr>
          <w:rFonts w:ascii="Times New Roman" w:cs="Times New Roman" w:eastAsia="Times New Roman" w:hAnsi="Times New Roman"/>
          <w:sz w:val="22"/>
          <w:szCs w:val="22"/>
          <w:color w:val="auto"/>
        </w:rPr>
        <w:t>”), Buyer will be responsible for one hundred percent (100%) of such Transfer Taxes. Seller and Buyer will reasonably cooperate in good faith to minimize, to the extent permissible under applicable Law, the amount of any such Transfer Taxes. Buyer shall prepare and file all Tax Returns relating to such Transfer Taxes.</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10.7 Tax Refunds</w:t>
      </w:r>
      <w:r>
        <w:rPr>
          <w:rFonts w:ascii="Times New Roman" w:cs="Times New Roman" w:eastAsia="Times New Roman" w:hAnsi="Times New Roman"/>
          <w:sz w:val="22"/>
          <w:szCs w:val="22"/>
          <w:color w:val="auto"/>
        </w:rPr>
        <w:t xml:space="preserve">. Any Tax refunds, credits or offsets against Tax of any member of the Company Group for a Pre-Closing Tax Period (excluding any such refunds, credits or offsets that were included as a current asset in the final calculation of Closing Working Capital or that result from the application of Tax attributes after Closing), shall be for the account of Seller. Except to the extent included in the computation of the Closing Working Capital, upon receipt of any such refund after the Closing Date (or upon use of any such credit or offset to reduce cash Taxes otherwise payable), Buyer shall promptly pay (or cause its Subsidiaries or Affiliates or members of the Company Group to promptly pay) to Seller the amount of such refunds, credits or offsets, net of any reasonable third-party expenses incurred in obtaining such refunds, credits or offsets, and any Taxes payable by a member of the Company Group on such refund, credit or offset. Buyer shall, and shall cause its Subsidiaries and Affiliates and the members of the Company Group to, use reasonable best efforts to obtain any such available refunds, credits or offsets. Seller shall repay to Buyer the amount paid over pursuant to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(plus any penalties, interest or other charges imposed by the relevant Tax Authority) in the event that Buyer or any of its Affiliates (including the Company Group after the Closing Date) is required to repay such refund, credit or offset to the applicable Tax Authority, provided that Buyer requests such repayment and provides evidence reasonably satisfactory to Seller. Any payments made to Seller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shall be a dollar-for-dollar increase in the Purchase Price and any payments made to Buyer under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shall be a dollar-for-dollar decrease in the Purchase Price. For the avoidance of doubt, the covenants and agreements in this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shall survive Closing.</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10.8 Tax Proceedings</w:t>
      </w:r>
      <w:r>
        <w:rPr>
          <w:rFonts w:ascii="Times New Roman" w:cs="Times New Roman" w:eastAsia="Times New Roman" w:hAnsi="Times New Roman"/>
          <w:sz w:val="22"/>
          <w:szCs w:val="22"/>
          <w:color w:val="auto"/>
        </w:rPr>
        <w:t>. Subject to the provisions of the Tax Conduct Agreement, within fifteen (15) days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written notice from a Tax Authority regarding the commencement of a Tax Proceeding after the Closing Date the outcome of which would reasonably be expected to affect Pre-Closing Tax Liabilities or Flow-Through Taxes of any member of the Company Group for a Pre-Closing Tax Period (and for certainty in either case that do not relate to a “Subject Tax Proceeding” within the meaning of the Tax Conduct Agreement) (a “</w:t>
      </w:r>
      <w:r>
        <w:rPr>
          <w:rFonts w:ascii="Times New Roman" w:cs="Times New Roman" w:eastAsia="Times New Roman" w:hAnsi="Times New Roman"/>
          <w:sz w:val="22"/>
          <w:szCs w:val="22"/>
          <w:b w:val="1"/>
          <w:bCs w:val="1"/>
          <w:i w:val="1"/>
          <w:iCs w:val="1"/>
          <w:color w:val="auto"/>
        </w:rPr>
        <w:t>Tax Contest</w:t>
      </w:r>
      <w:r>
        <w:rPr>
          <w:rFonts w:ascii="Times New Roman" w:cs="Times New Roman" w:eastAsia="Times New Roman" w:hAnsi="Times New Roman"/>
          <w:sz w:val="22"/>
          <w:szCs w:val="22"/>
          <w:color w:val="auto"/>
        </w:rPr>
        <w:t xml:space="preserve">”), the Party that receives such notice shall provide the other Party with written notice thereof. Buyer shall be entitled to control all Tax Contests;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shall: keep Seller reasonably informed regarding any developments concerning such Tax Contest (including by providing copies of any material written correspondence in connection therewith); and allow Seller to participate (at its own cost and expense) in such Tax Contest; and consult in good faith with Seller before settling or compromising any such Tax Contest.</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10.9 Certain Tax Actions</w:t>
      </w:r>
      <w:r>
        <w:rPr>
          <w:rFonts w:ascii="Times New Roman" w:cs="Times New Roman" w:eastAsia="Times New Roman" w:hAnsi="Times New Roman"/>
          <w:sz w:val="22"/>
          <w:szCs w:val="22"/>
          <w:color w:val="auto"/>
        </w:rPr>
        <w:t>. Buyer shall not (and shall not cause or permit any of its Affiliates or any member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Group to): amend or refile any Tax Return of any member of the Company Group for a Pre-Closing Tax Period except as required by applicable Law; make, revoke or change any Tax election in respect of any member of the Company Group with effect in a Pre-Closing Tax Period, except as required by applicable Law; make, enter into, file or initiate any discussions with a Tax Authority relating to any voluntary disclosure, agreement or arrangement with any Tax Authority that relates to Taxes for a Pre-Closing Tax Period or a Pre-Closing Tax Return; or enter into any agreement with a Tax Authority to extend the applicable statute of limitations for the assessment or collection of any Taxes or Tax Returns of any member of the Company Group for any Pre-Closing Tax Period, in each case, without the prior written consent of Seller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11</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SURVIVAL; INDEMNIFICATION; REMEDIES</w:t>
      </w:r>
    </w:p>
    <w:p>
      <w:pPr>
        <w:spacing w:after="0" w:line="151"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11.1 Survival</w:t>
      </w:r>
      <w:r>
        <w:rPr>
          <w:rFonts w:ascii="Times New Roman" w:cs="Times New Roman" w:eastAsia="Times New Roman" w:hAnsi="Times New Roman"/>
          <w:sz w:val="22"/>
          <w:szCs w:val="22"/>
          <w:color w:val="auto"/>
        </w:rPr>
        <w:t>. None of the representations, warranties, covenants or agreements in this Agreement or in any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pursuant to this Agreement, except for the Pre-Closing Reorganization Documents, shall survive the Closing, except:</w:t>
      </w:r>
    </w:p>
    <w:p>
      <w:pPr>
        <w:spacing w:after="0" w:line="150" w:lineRule="exact"/>
        <w:rPr>
          <w:sz w:val="20"/>
          <w:szCs w:val="20"/>
          <w:color w:val="auto"/>
        </w:rPr>
      </w:pPr>
    </w:p>
    <w:p>
      <w:pPr>
        <w:jc w:val="both"/>
        <w:ind w:firstLine="1304"/>
        <w:spacing w:after="0" w:line="225"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covenants and agreements contained herein and therein which by their term expressly apply in whole or in part after the Closing or state they survive the Closing, shall survive the Closing until fully performed in accordance with their terms;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Fundamental Representations and Buyer Fundamental Representations and any other rights arising out of any breach of such representations and warranties which shall survive indefinitely;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indemnification for any Special Indemnity Matter provided by Seller pursuant to </w:t>
      </w:r>
      <w:r>
        <w:rPr>
          <w:rFonts w:ascii="Times New Roman" w:cs="Times New Roman" w:eastAsia="Times New Roman" w:hAnsi="Times New Roman"/>
          <w:sz w:val="22"/>
          <w:szCs w:val="22"/>
          <w:u w:val="single" w:color="auto"/>
          <w:color w:val="auto"/>
        </w:rPr>
        <w:t>Section 11.2(a)(iii)</w:t>
      </w:r>
      <w:r>
        <w:rPr>
          <w:rFonts w:ascii="Times New Roman" w:cs="Times New Roman" w:eastAsia="Times New Roman" w:hAnsi="Times New Roman"/>
          <w:sz w:val="22"/>
          <w:szCs w:val="22"/>
          <w:color w:val="auto"/>
        </w:rPr>
        <w:t xml:space="preserve"> shall survive for the period set forth for such Special Indemnity Matter in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is not intended to limit the survival periods contained in any R&amp;W Policy, which, other than with respect to Seller Fundamental Representations, shall be Buyer’s sole and exclusive recourse (except in the case of Fraud) with respect to any breach or alleged breach by Seller of any representations and warranties of Seller contained in this Agreement or in any instrument delivered pursuant to this Agreement, and which shall contain survival periods that shall control for purposes thereunder and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is not intended to limit the rights and remedies of Buyer with respect to Fraud.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11.2</w:t>
      </w:r>
      <w:r>
        <w:rPr>
          <w:sz w:val="20"/>
          <w:szCs w:val="20"/>
          <w:color w:val="auto"/>
        </w:rPr>
        <w:tab/>
      </w:r>
      <w:r>
        <w:rPr>
          <w:rFonts w:ascii="Times New Roman" w:cs="Times New Roman" w:eastAsia="Times New Roman" w:hAnsi="Times New Roman"/>
          <w:sz w:val="21"/>
          <w:szCs w:val="21"/>
          <w:b w:val="1"/>
          <w:bCs w:val="1"/>
          <w:color w:val="auto"/>
        </w:rPr>
        <w:t>Indemnification by Seller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subject to the limitations set forth in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Seller shall indemnify, defend and hold Buyer, its Affiliates (including the Company Group) and their respective directors, officers, managers, employees, agents, representatives, successors and permitted assigns (collectively, the “</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harmless from and against, and pay to the applicable Buyer Indemnified Parties the amount of any Losses suffered or incurred by such Buyer Indemnified Parties to the extent based upon, resulting from or related to:</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breach or non-performance of any covenant or agreement made by Seller in this Agreement that</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survives the Closing;</w:t>
      </w:r>
    </w:p>
    <w:p>
      <w:pPr>
        <w:spacing w:after="0" w:line="15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or inaccuracy in the Seller Fundamental Representations;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Indemnity Matters;</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Retained Assets;</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17" w:lineRule="auto"/>
        <w:tabs>
          <w:tab w:leader="none" w:pos="2599"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Pre-Closing Reorganization (other than Losses related to Pre-Closing Tax Liabilities and specifically excluding Liabilities associated with the assets allocated to US NGL Co or remaining in another member of the Company Group in connection with the Pre-Closing Reorganization, and/or Liabilities associated with such assets that are assumed by US NGL Co or that remain in another member of the Company Group in connection with the Pre-Closing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63" w:lineRule="exact"/>
        <w:rPr>
          <w:sz w:val="20"/>
          <w:szCs w:val="20"/>
          <w:color w:val="auto"/>
        </w:rPr>
      </w:pPr>
    </w:p>
    <w:p>
      <w:pPr>
        <w:ind w:left="2580" w:hanging="628"/>
        <w:spacing w:after="0"/>
        <w:tabs>
          <w:tab w:leader="none" w:pos="2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Retained Employment Liabilities;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Pre-Closing Tax Liabilities;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Tax Liabilities; and</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related matter description redacted].</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Tax Conduct Agreement, promptly after receipt by Buyer of written notice of the assertion or commencement of any claim with respect to the matters referred to in </w:t>
      </w:r>
      <w:r>
        <w:rPr>
          <w:rFonts w:ascii="Times New Roman" w:cs="Times New Roman" w:eastAsia="Times New Roman" w:hAnsi="Times New Roman"/>
          <w:sz w:val="22"/>
          <w:szCs w:val="22"/>
          <w:u w:val="single" w:color="auto"/>
          <w:color w:val="auto"/>
        </w:rPr>
        <w:t>Section 11.2(a)(viii)</w:t>
      </w:r>
      <w:r>
        <w:rPr>
          <w:rFonts w:ascii="Times New Roman" w:cs="Times New Roman" w:eastAsia="Times New Roman" w:hAnsi="Times New Roman"/>
          <w:sz w:val="22"/>
          <w:szCs w:val="22"/>
          <w:color w:val="auto"/>
        </w:rPr>
        <w:t>, Buyer will give written notice describing such claim in reasonable detail in light of the circumstances then known to Buyer to Seller, and thereafter keep Seller reasonably informed with respect thereto.</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shall survive the Closing.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11.3</w:t>
      </w:r>
      <w:r>
        <w:rPr>
          <w:sz w:val="20"/>
          <w:szCs w:val="20"/>
          <w:color w:val="auto"/>
        </w:rPr>
        <w:tab/>
      </w:r>
      <w:r>
        <w:rPr>
          <w:rFonts w:ascii="Times New Roman" w:cs="Times New Roman" w:eastAsia="Times New Roman" w:hAnsi="Times New Roman"/>
          <w:sz w:val="21"/>
          <w:szCs w:val="21"/>
          <w:b w:val="1"/>
          <w:bCs w:val="1"/>
          <w:color w:val="auto"/>
        </w:rPr>
        <w:t>Indemnification by Buyer</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7"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Buyer shall indemnify, defend and hold Seller, its Affiliates (excluding the Company Group) and their respective directors, officers, managers, employees, agents, representatives, successors and permitted assigns (collectively, the “</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harmless from and against, and pay to the applicable Seller Indemnified Parties the amount of any Losses suffered or incurred by such Seller Indemnified Parties to the extent based upon, resulting from or related to:</w:t>
      </w:r>
    </w:p>
    <w:p>
      <w:pPr>
        <w:spacing w:after="0" w:line="152" w:lineRule="exact"/>
        <w:rPr>
          <w:rFonts w:ascii="Times New Roman" w:cs="Times New Roman" w:eastAsia="Times New Roman" w:hAnsi="Times New Roman"/>
          <w:sz w:val="22"/>
          <w:szCs w:val="22"/>
          <w:color w:val="auto"/>
        </w:rPr>
      </w:pPr>
    </w:p>
    <w:p>
      <w:pPr>
        <w:ind w:left="660" w:firstLine="1292"/>
        <w:spacing w:after="0" w:line="236" w:lineRule="auto"/>
        <w:tabs>
          <w:tab w:leader="none" w:pos="259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or non-performance of any covenant or agreement made by Buyer in this Agreement that survives the Closing;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or inaccuracy in the Buyer Fundamental Representations.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shall survive the Closing.</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11.4</w:t>
      </w:r>
      <w:r>
        <w:rPr>
          <w:sz w:val="20"/>
          <w:szCs w:val="20"/>
          <w:color w:val="auto"/>
        </w:rPr>
        <w:tab/>
      </w:r>
      <w:r>
        <w:rPr>
          <w:rFonts w:ascii="Times New Roman" w:cs="Times New Roman" w:eastAsia="Times New Roman" w:hAnsi="Times New Roman"/>
          <w:sz w:val="21"/>
          <w:szCs w:val="21"/>
          <w:b w:val="1"/>
          <w:bCs w:val="1"/>
          <w:color w:val="auto"/>
        </w:rPr>
        <w:t>Limits on Indemnification</w:t>
      </w:r>
      <w:r>
        <w:rPr>
          <w:rFonts w:ascii="Times New Roman" w:cs="Times New Roman" w:eastAsia="Times New Roman" w:hAnsi="Times New Roman"/>
          <w:sz w:val="21"/>
          <w:szCs w:val="21"/>
          <w:color w:val="auto"/>
        </w:rPr>
        <w:t>. Notwithstanding anything to the contrary in this Agreement:</w:t>
      </w:r>
    </w:p>
    <w:p>
      <w:pPr>
        <w:spacing w:after="0" w:line="183" w:lineRule="exact"/>
        <w:rPr>
          <w:sz w:val="20"/>
          <w:szCs w:val="20"/>
          <w:color w:val="auto"/>
        </w:rPr>
      </w:pPr>
    </w:p>
    <w:p>
      <w:pPr>
        <w:jc w:val="both"/>
        <w:ind w:firstLine="1304"/>
        <w:spacing w:after="0" w:line="217"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Buyer Indemnified Party or Seller Indemnified Party shall be entitled to indemnification or reimbursement under any provision of this Agreement for any amount to the extent any Buyer Indemnified Party or Seller Indemnified Party, as the case may be, has been reimbursed for such amount under any other provision of this Agreement (including by reason of such amount having been taken into account in the determination of the Post-Closing Statement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or by reason of [commercially sensitive matter relating to withholding tax liability redacted]).</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NO PARTY SHALL BE LIABLE TO THE OTHER PARTY OR ANY OTHER PERSON FOR ANY EXEMPLARY, PUNITIVE, SPECIAL, INDIRECT, CONSEQUENTIAL, REMOTE OR SPECULATIVE DAMAGES, LOSS OF FUTURE REVENUE OR INCOME, LOSS OF BUSINESS REPUTATION OR OPPORTUNITY RELATING TO THE BREACH OR ALLEGED BREACH OF THIS AGREEMENT OR DIMINUTION OF VALUE OR ANY DAMAGES BASED ON ANY TYPE OF MULTIPLE, EXCEPT TO THE EXTENT THAT ANY SUCH DAMAGES ARE INCLUDED IN ANY THIRD PARTY CLAIM AGAINST AN INDEMNIFIED PARTY FOR WHICH SUCH INDEMNIFIED PARTY IS ENTITLED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11.5</w:t>
      </w:r>
      <w:r>
        <w:rPr>
          <w:sz w:val="20"/>
          <w:szCs w:val="20"/>
          <w:color w:val="auto"/>
        </w:rPr>
        <w:tab/>
      </w:r>
      <w:r>
        <w:rPr>
          <w:rFonts w:ascii="Times New Roman" w:cs="Times New Roman" w:eastAsia="Times New Roman" w:hAnsi="Times New Roman"/>
          <w:sz w:val="21"/>
          <w:szCs w:val="21"/>
          <w:b w:val="1"/>
          <w:bCs w:val="1"/>
          <w:color w:val="auto"/>
        </w:rPr>
        <w:t>Indemnification Procedures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11.2(b)</w:t>
      </w:r>
      <w:r>
        <w:rPr>
          <w:rFonts w:ascii="Times New Roman" w:cs="Times New Roman" w:eastAsia="Times New Roman" w:hAnsi="Times New Roman"/>
          <w:sz w:val="22"/>
          <w:szCs w:val="22"/>
          <w:color w:val="auto"/>
        </w:rPr>
        <w:t>, any claim by an Indemnified Party on account of a Loss which does not result from a Third Party Claim (a “</w:t>
      </w:r>
      <w:r>
        <w:rPr>
          <w:rFonts w:ascii="Times New Roman" w:cs="Times New Roman" w:eastAsia="Times New Roman" w:hAnsi="Times New Roman"/>
          <w:sz w:val="22"/>
          <w:szCs w:val="22"/>
          <w:b w:val="1"/>
          <w:bCs w:val="1"/>
          <w:i w:val="1"/>
          <w:iCs w:val="1"/>
          <w:color w:val="auto"/>
        </w:rPr>
        <w:t>Direct Claim</w:t>
      </w:r>
      <w:r>
        <w:rPr>
          <w:rFonts w:ascii="Times New Roman" w:cs="Times New Roman" w:eastAsia="Times New Roman" w:hAnsi="Times New Roman"/>
          <w:sz w:val="22"/>
          <w:szCs w:val="22"/>
          <w:color w:val="auto"/>
        </w:rPr>
        <w:t>”) shall be asserted by the Indemnified Party giving the Indemnifying Party reasonably prompt written notice thereof (each, a “</w:t>
      </w:r>
      <w:r>
        <w:rPr>
          <w:rFonts w:ascii="Times New Roman" w:cs="Times New Roman" w:eastAsia="Times New Roman" w:hAnsi="Times New Roman"/>
          <w:sz w:val="22"/>
          <w:szCs w:val="22"/>
          <w:b w:val="1"/>
          <w:bCs w:val="1"/>
          <w:i w:val="1"/>
          <w:iCs w:val="1"/>
          <w:color w:val="auto"/>
        </w:rPr>
        <w:t>Claim Notice</w:t>
      </w:r>
      <w:r>
        <w:rPr>
          <w:rFonts w:ascii="Times New Roman" w:cs="Times New Roman" w:eastAsia="Times New Roman" w:hAnsi="Times New Roman"/>
          <w:sz w:val="22"/>
          <w:szCs w:val="22"/>
          <w:color w:val="auto"/>
        </w:rPr>
        <w:t>”). The failure of the Indemnified Party to promptly give a Claim Notice of any Direct Claim shall not release, waive or otherwise affect the Indemnifying Party’s obligations with respect thereto, except to the extent that the Indemnifying Party is actually and materially prejudiced as a result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If the Indemnifying Party does not so respond within such thirty (30)-day period, the Indemnifying Party shall be deemed to have agreed to such claim and the Indemnifying Party’s obligation to indemnify the Indemnified Party for the full amount of all Losses related to or resulting therefrom. If any Proceeding is commenced with respect to a Direct Claim, the prevailing Party in such Proceeding shall be entitled to recover from the non-prevailing party the reasonable legal fees (on a solicitor and its own client basis), court costs and other expenses incurred by the prevailing party in connection with such Proceeding in addition to any other relief to which such Party may be entitled.</w:t>
      </w:r>
    </w:p>
    <w:p>
      <w:pPr>
        <w:spacing w:after="0" w:line="155"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11.2(b)</w:t>
      </w:r>
      <w:r>
        <w:rPr>
          <w:rFonts w:ascii="Times New Roman" w:cs="Times New Roman" w:eastAsia="Times New Roman" w:hAnsi="Times New Roman"/>
          <w:sz w:val="21"/>
          <w:szCs w:val="21"/>
          <w:color w:val="auto"/>
        </w:rPr>
        <w:t xml:space="preserve"> and the Tax Conduct Agreement, in the event that any Proceeding shall be instituted or that any claim or demand shall be asserted by any Person who is not a Party or an Affiliate of any Party or a representative of any of the foregoing, against an Indemnified Party with respect to which the Indemnifying Party is obligated to provide indemnification under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b w:val="1"/>
          <w:bCs w:val="1"/>
          <w:i w:val="1"/>
          <w:iCs w:val="1"/>
          <w:color w:val="auto"/>
        </w:rPr>
        <w:t>Third Party Claim</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the Indemnified Party shall reasonably promptly cause a Claim Notice regarding any Third Party Claim of which it has knowledge that is covered by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to be forwarded to the Indemnifying Party. The failure of an Indemnified Party to reasonably promptly provide a Claim Notice of any Third Party Claim shall not release, waive or otherwise affect the Indemnifying Party’s obligations with respect thereto, except to the extent that the Indemnifying Party is actually and materially prejudiced as a result of such failure. The Indemnifying Party shall have fifteen (15) days after its receipt of a Claim Notice to notify the Indemnified Party that the Indemnifying Party has elected to conduct and control the defense, negotiation or settlement of such Third Party Claim and any Proceeding resulting therefrom with counsel of its choice (reasonably acceptable to the Indemnified Party) and at its sole cost and expense (a “</w:t>
      </w:r>
      <w:r>
        <w:rPr>
          <w:rFonts w:ascii="Times New Roman" w:cs="Times New Roman" w:eastAsia="Times New Roman" w:hAnsi="Times New Roman"/>
          <w:sz w:val="21"/>
          <w:szCs w:val="21"/>
          <w:b w:val="1"/>
          <w:bCs w:val="1"/>
          <w:i w:val="1"/>
          <w:iCs w:val="1"/>
          <w:color w:val="auto"/>
        </w:rPr>
        <w:t>Third Party Defense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Indemnifying Party shall not have the right to assume the defense of a Third Party Claim to the extent that the principal relief sought by such Third Party Claim is an injunction or equitable relief against the Indemnified Party. If the Indemnifying Party assumes the Third Party Defense in accordance herewith, the Indemnified Party may retain separate co-counsel (the costs for which the Indemnified Party will not be entitled to indemnification, unless the named parties to such Proceeding (including any impleaded parties) include the Indemnifying Party and the Indemnified Party and representation of both parties by the same counsel would not be permitted under applicable standards of professional conduct or such Indemnified Party shall have been advised by its outside counsel that there may be one or more legal defenses available to the Indemnified Party which are not available to such Indemnifying Party, or if available to such Indemnifying Party, the assertion of which would be adverse to or in conflict with the interests of the Indemnifying Party, or if so requested to participate by Indemnifying Party, and then in each such case, the fees, costs and expenses of such counsel shall be indemnifiable amounts hereunder) and participate in the defense of the Third Party Claim but the Indemnifying Party shall control the investigation, defense and settlement thereof. If the Indemnifying Party does not assume the Third Party Defense within such fifteen (15) day period, or the Indemnifying Party is not entitled to assume the Third Party Defense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6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herewith, the Indemnified Party will be entitled to conduct and control the Third Party Defense, and such fees and costs shall be indemnifiable Losses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Indemnifying Party may retain separate co-counsel at its sole cost and expense and participate in the defense of the Third Party Claim but the Indemnified Party shall control the investigation, defense and settlement, subject to the provisions herein; and the Indemnifying Party shall cooperate in good faith in such defense. Notwithstanding anything in this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 xml:space="preserve"> to the contrary, the Indemnified Party shall not, without the written consent of the Indemnifying Party (which shall not be unreasonably withheld, conditioned or delayed), (y) settle or compromise any Third Party Claim, or (z) permit a default or consent to entry of any judgment, in each case of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unless the claimant provides to the Indemnifying Party a release in respect of the Third Party Claim. The Indemnifying Party may settle or compromise any Third Party Claim or permit a default or consent to entry of any judgment, in each case,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settlement, default or judgment is solely for money damages that the Indemnifying Party has agreed in writing to pay and the Indemnified Party and its Affiliates are fully released for any claims relating thereto.</w:t>
      </w:r>
    </w:p>
    <w:p>
      <w:pPr>
        <w:spacing w:after="0" w:line="157" w:lineRule="exact"/>
        <w:rPr>
          <w:sz w:val="20"/>
          <w:szCs w:val="20"/>
          <w:color w:val="auto"/>
        </w:rPr>
      </w:pPr>
    </w:p>
    <w:p>
      <w:pPr>
        <w:jc w:val="both"/>
        <w:ind w:firstLine="1304"/>
        <w:spacing w:after="0" w:line="217"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any final decision, judgment or award been rendered by a Governmental Entity of competent jurisdiction or Tax Authority, or a settlement shall have been entered into, or the Indemnified Party and the Indemnifying Party shall have entered into a mutually binding agreement with respect to a claim hereunder, or the Indemnifying Party fails to object to a Direct Claim in the time provided above, then the Indemnifying Party shall pay, or cause to be paid, to the Indemnified Party any sums due and owing pursuant to this Agreement with respect to such matter.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11.6</w:t>
      </w:r>
      <w:r>
        <w:rPr>
          <w:sz w:val="20"/>
          <w:szCs w:val="20"/>
          <w:color w:val="auto"/>
        </w:rPr>
        <w:tab/>
      </w:r>
      <w:r>
        <w:rPr>
          <w:rFonts w:ascii="Times New Roman" w:cs="Times New Roman" w:eastAsia="Times New Roman" w:hAnsi="Times New Roman"/>
          <w:sz w:val="21"/>
          <w:szCs w:val="21"/>
          <w:b w:val="1"/>
          <w:bCs w:val="1"/>
          <w:color w:val="auto"/>
        </w:rPr>
        <w:t>Calculation of Losses</w:t>
      </w:r>
      <w:r>
        <w:rPr>
          <w:rFonts w:ascii="Times New Roman" w:cs="Times New Roman" w:eastAsia="Times New Roman" w:hAnsi="Times New Roman"/>
          <w:sz w:val="21"/>
          <w:szCs w:val="21"/>
          <w:color w:val="auto"/>
        </w:rPr>
        <w:t>. Notwithstanding anything in this Agreement to the contrary:</w:t>
      </w:r>
    </w:p>
    <w:p>
      <w:pPr>
        <w:spacing w:after="0" w:line="183" w:lineRule="exact"/>
        <w:rPr>
          <w:sz w:val="20"/>
          <w:szCs w:val="20"/>
          <w:color w:val="auto"/>
        </w:rPr>
      </w:pPr>
    </w:p>
    <w:p>
      <w:pPr>
        <w:jc w:val="both"/>
        <w:ind w:firstLine="1304"/>
        <w:spacing w:after="0" w:line="212"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Losses for which indemnification is provided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be net of any amounts actually recovered by the Indemnified Party under other sources of indemnification, insurance policies, [commercially sensitive matter regarding withholding tax liability redacted] or otherwise with respect to such Losses (net of any Tax or costs or expenses incurred in connection with such recovery);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there shall be no obligation to seek recovery from such sources. The Indemnified Party shall reimburse the Indemnifying Party for any and all Losses paid by the Indemnifying Party to the Indemnified Party pursuant to this Agreement to the extent such amount is subsequently actually received by the Indemnified Party from any Person other than the Indemnifying Party (net of any Tax or costs or expenses incurred in connection with such recovery).</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Seller shall have no liability for any Loss to the extent such Loss is actually taken into account and specifically included in the adjustment to the Base Purchase Price as provided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any inaccuracy in, breach or failure to be true and correct of any representation or warranty and the calculation of any Losses in connection therewith, shall be determined without regard to any “materiality,” “Material Adverse Effect,” or other similar qualification or exception contained in or otherwise applicable to such representation or warranty;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dollar thresholds contained in such representation or warranty covenant shall not be ignored for purposes of determining any such inaccuracy or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11.7</w:t>
      </w:r>
      <w:r>
        <w:rPr>
          <w:sz w:val="20"/>
          <w:szCs w:val="20"/>
          <w:color w:val="auto"/>
        </w:rPr>
        <w:tab/>
      </w:r>
      <w:r>
        <w:rPr>
          <w:rFonts w:ascii="Times New Roman" w:cs="Times New Roman" w:eastAsia="Times New Roman" w:hAnsi="Times New Roman"/>
          <w:sz w:val="21"/>
          <w:szCs w:val="21"/>
          <w:b w:val="1"/>
          <w:bCs w:val="1"/>
          <w:color w:val="auto"/>
        </w:rPr>
        <w:t>Sources of Recovery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94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Buyer Indemnified Party is entitled to Losses hereunder, those Losses will be satisfied from the following sources in the following order:</w:t>
      </w:r>
    </w:p>
    <w:p>
      <w:pPr>
        <w:spacing w:after="0" w:line="150"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relating to amounts that constitute Pre-Closing Tax Liabilities in respect of which a claim would be available under the R&amp;W Policy, Buyer shall make a claim under the R&amp;W Policy and shall recover as follows:</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3" w:val="left"/>
        </w:tabs>
        <w:numPr>
          <w:ilvl w:val="3"/>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first, to the extent such Losses are properly recoverable under </w:t>
      </w:r>
      <w:r>
        <w:rPr>
          <w:rFonts w:ascii="Times New Roman" w:cs="Times New Roman" w:eastAsia="Times New Roman" w:hAnsi="Times New Roman"/>
          <w:sz w:val="21"/>
          <w:szCs w:val="21"/>
          <w:u w:val="single" w:color="auto"/>
          <w:color w:val="auto"/>
        </w:rPr>
        <w:t>Section 11.2(a)(vii)</w:t>
      </w:r>
      <w:r>
        <w:rPr>
          <w:rFonts w:ascii="Times New Roman" w:cs="Times New Roman" w:eastAsia="Times New Roman" w:hAnsi="Times New Roman"/>
          <w:sz w:val="21"/>
          <w:szCs w:val="21"/>
          <w:color w:val="auto"/>
        </w:rPr>
        <w:t>, by direct recovery from Seller, in an amount equal to no more than the aggregate amount of the uneroded retention under the R&amp;W Policy (at any given time, the “</w:t>
      </w:r>
      <w:r>
        <w:rPr>
          <w:rFonts w:ascii="Times New Roman" w:cs="Times New Roman" w:eastAsia="Times New Roman" w:hAnsi="Times New Roman"/>
          <w:sz w:val="21"/>
          <w:szCs w:val="21"/>
          <w:b w:val="1"/>
          <w:bCs w:val="1"/>
          <w:i w:val="1"/>
          <w:iCs w:val="1"/>
          <w:color w:val="auto"/>
        </w:rPr>
        <w:t>Remaining Retention</w:t>
      </w:r>
      <w:r>
        <w:rPr>
          <w:rFonts w:ascii="Times New Roman" w:cs="Times New Roman" w:eastAsia="Times New Roman" w:hAnsi="Times New Roman"/>
          <w:sz w:val="21"/>
          <w:szCs w:val="21"/>
          <w:color w:val="auto"/>
        </w:rPr>
        <w:t>”) as of the time of the applicable Loss (but only to the extent the Remaining Retention is actually eroded as a result of the payment of proceeds to Buyer under the R&amp;W Policy resulting from such Loss), which in no event shall exceed [dollar amount redacted] (or, following the date that is [term redacted] after the Closing, [dollar amount redacted]) (as applicable, the “</w:t>
      </w:r>
      <w:r>
        <w:rPr>
          <w:rFonts w:ascii="Times New Roman" w:cs="Times New Roman" w:eastAsia="Times New Roman" w:hAnsi="Times New Roman"/>
          <w:sz w:val="21"/>
          <w:szCs w:val="21"/>
          <w:b w:val="1"/>
          <w:bCs w:val="1"/>
          <w:i w:val="1"/>
          <w:iCs w:val="1"/>
          <w:color w:val="auto"/>
        </w:rPr>
        <w:t>Initial Retention</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jc w:val="both"/>
        <w:ind w:left="1300" w:firstLine="1300"/>
        <w:spacing w:after="0" w:line="225" w:lineRule="auto"/>
        <w:tabs>
          <w:tab w:leader="none" w:pos="3235" w:val="left"/>
        </w:tabs>
        <w:numPr>
          <w:ilvl w:val="3"/>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the coverage provided under the R&amp;W Policy, up to a cap equal to the lesser of [dollar amount redacted] and the amount of the coverage available under the R&amp;W Policy at the time the Loss resulting from the Pre-Closing Tax Liability arises; and</w:t>
      </w:r>
    </w:p>
    <w:p>
      <w:pPr>
        <w:spacing w:after="0" w:line="152" w:lineRule="exact"/>
        <w:rPr>
          <w:rFonts w:ascii="Times New Roman" w:cs="Times New Roman" w:eastAsia="Times New Roman" w:hAnsi="Times New Roman"/>
          <w:sz w:val="22"/>
          <w:szCs w:val="22"/>
          <w:color w:val="auto"/>
        </w:rPr>
      </w:pPr>
    </w:p>
    <w:p>
      <w:pPr>
        <w:ind w:left="1300" w:firstLine="1300"/>
        <w:spacing w:after="0" w:line="236" w:lineRule="auto"/>
        <w:tabs>
          <w:tab w:leader="none" w:pos="3235" w:val="left"/>
        </w:tabs>
        <w:numPr>
          <w:ilvl w:val="3"/>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to the extent such Losses are properly recoverable under </w:t>
      </w:r>
      <w:r>
        <w:rPr>
          <w:rFonts w:ascii="Times New Roman" w:cs="Times New Roman" w:eastAsia="Times New Roman" w:hAnsi="Times New Roman"/>
          <w:sz w:val="22"/>
          <w:szCs w:val="22"/>
          <w:u w:val="single" w:color="auto"/>
          <w:color w:val="auto"/>
        </w:rPr>
        <w:t>Section 11.2(a)(vii)</w:t>
      </w:r>
      <w:r>
        <w:rPr>
          <w:rFonts w:ascii="Times New Roman" w:cs="Times New Roman" w:eastAsia="Times New Roman" w:hAnsi="Times New Roman"/>
          <w:sz w:val="22"/>
          <w:szCs w:val="22"/>
          <w:color w:val="auto"/>
        </w:rPr>
        <w:t>, by direct recovery from Seller;</w:t>
      </w:r>
    </w:p>
    <w:p>
      <w:pPr>
        <w:spacing w:after="0" w:line="173" w:lineRule="exact"/>
        <w:rPr>
          <w:rFonts w:ascii="Times New Roman" w:cs="Times New Roman" w:eastAsia="Times New Roman" w:hAnsi="Times New Roman"/>
          <w:sz w:val="22"/>
          <w:szCs w:val="22"/>
          <w:color w:val="auto"/>
        </w:rPr>
      </w:pPr>
    </w:p>
    <w:p>
      <w:pPr>
        <w:jc w:val="both"/>
        <w:ind w:firstLine="8"/>
        <w:spacing w:after="0" w:line="250" w:lineRule="auto"/>
        <w:tabs>
          <w:tab w:leader="none" w:pos="63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if, with respect to any claim Buyer has made as provided herein under the R&amp;W Policy related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amounts that constitute Pre-Closing Tax Liabilities, (1) any Tax Authority requires a payment by Buyer or any member of the Company Group of any amounts in respect of such Pre-Closing Tax Liabilities and (2) such payment to the Tax Authority must be made prior to Buyer’s expected receipt of amounts in respect of its claim under the R&amp;W Policy, then (x) upon notice from Buyer, Seller shall promptly, and in any event not later than five (5) Business Days after such notice, advance to Buyer the payment that must be made to such Tax Authority and (y) upon receipt of any amount in respect of its claim under the R&amp;W Policy, Buyer shall promptly remit to Seller a repayment of the advance from Seller equal to the lesser of the amount received by Buyer in respect of its claim under the R&amp;W Policy and the amount advanced by Seller pursuant to </w:t>
      </w:r>
      <w:r>
        <w:rPr>
          <w:rFonts w:ascii="Times New Roman" w:cs="Times New Roman" w:eastAsia="Times New Roman" w:hAnsi="Times New Roman"/>
          <w:sz w:val="22"/>
          <w:szCs w:val="22"/>
          <w:u w:val="single" w:color="auto"/>
          <w:color w:val="auto"/>
        </w:rPr>
        <w:t>clause (x)</w:t>
      </w:r>
      <w:r>
        <w:rPr>
          <w:rFonts w:ascii="Times New Roman" w:cs="Times New Roman" w:eastAsia="Times New Roman" w:hAnsi="Times New Roman"/>
          <w:sz w:val="22"/>
          <w:szCs w:val="22"/>
          <w:color w:val="auto"/>
        </w:rPr>
        <w:t xml:space="preserve"> hereof for payment to such Tax Authority.</w:t>
      </w:r>
    </w:p>
    <w:p>
      <w:pPr>
        <w:spacing w:after="0" w:line="156" w:lineRule="exact"/>
        <w:rPr>
          <w:rFonts w:ascii="Times New Roman" w:cs="Times New Roman" w:eastAsia="Times New Roman" w:hAnsi="Times New Roman"/>
          <w:sz w:val="22"/>
          <w:szCs w:val="22"/>
          <w:color w:val="auto"/>
        </w:rPr>
      </w:pPr>
    </w:p>
    <w:p>
      <w:pPr>
        <w:ind w:left="660" w:firstLine="1292"/>
        <w:spacing w:after="0" w:line="236" w:lineRule="auto"/>
        <w:tabs>
          <w:tab w:leader="none" w:pos="2598" w:val="left"/>
        </w:tabs>
        <w:numPr>
          <w:ilvl w:val="2"/>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relating to a breach or inaccuracy of a Seller Fundamental Representation, Buyer shall make a claim under the R&amp;W Policy and shall recover as follows:</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the coverage available under the R&amp;W Policy at the time of the Loss;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5" w:val="left"/>
        </w:tabs>
        <w:numPr>
          <w:ilvl w:val="3"/>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by direct recovery from Seller, in an amount equal to no more than the Remaining Retention as of the time of the applicable Loss (but only to the extent the Remaining Retention is actually eroded as a result of the payment of proceeds to Buyer under the R&amp;W Policy resulting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xml:space="preserve">Loss as contemplated by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which in no event shall exceed the Initial Retention; and</w:t>
      </w:r>
    </w:p>
    <w:p>
      <w:pPr>
        <w:spacing w:after="0" w:line="175" w:lineRule="exact"/>
        <w:rPr>
          <w:sz w:val="20"/>
          <w:szCs w:val="20"/>
          <w:color w:val="auto"/>
        </w:rPr>
      </w:pPr>
    </w:p>
    <w:p>
      <w:pPr>
        <w:ind w:left="3240" w:hanging="640"/>
        <w:spacing w:after="0"/>
        <w:tabs>
          <w:tab w:leader="none" w:pos="3240" w:val="left"/>
        </w:tabs>
        <w:numPr>
          <w:ilvl w:val="2"/>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third, by direct recovery from Seller, up to a cap equal to the Purchase Price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sum of</w:t>
      </w:r>
    </w:p>
    <w:p>
      <w:pPr>
        <w:spacing w:after="0" w:line="2" w:lineRule="exact"/>
        <w:rPr>
          <w:rFonts w:ascii="Times New Roman" w:cs="Times New Roman" w:eastAsia="Times New Roman" w:hAnsi="Times New Roman"/>
          <w:sz w:val="21"/>
          <w:szCs w:val="21"/>
          <w:color w:val="auto"/>
        </w:rPr>
      </w:pPr>
    </w:p>
    <w:p>
      <w:pPr>
        <w:ind w:left="1300" w:firstLine="4"/>
        <w:spacing w:after="0" w:line="225" w:lineRule="auto"/>
        <w:tabs>
          <w:tab w:leader="none" w:pos="1632"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paid to Buyer pursuant to the R&amp;W Policy in respect of the breach of inaccuracy of the Seller Fundamental Representation and (y) the amount of the retention under the R&amp;W Policy.</w:t>
      </w:r>
    </w:p>
    <w:p>
      <w:pPr>
        <w:spacing w:after="0" w:line="149" w:lineRule="exact"/>
        <w:rPr>
          <w:rFonts w:ascii="Times New Roman" w:cs="Times New Roman" w:eastAsia="Times New Roman" w:hAnsi="Times New Roman"/>
          <w:sz w:val="22"/>
          <w:szCs w:val="22"/>
          <w:color w:val="auto"/>
        </w:rPr>
      </w:pPr>
    </w:p>
    <w:p>
      <w:pPr>
        <w:ind w:left="660" w:firstLine="1292"/>
        <w:spacing w:after="0" w:line="236" w:lineRule="auto"/>
        <w:tabs>
          <w:tab w:leader="none" w:pos="2604"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Losses in respect of Fraud, Buyer shall make a claim under the R&amp;W Policy and shall recover as follows:</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the coverage available under the R&amp;W Policy at the time of the Loss;</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5"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 by direct recovery from Seller, in an amount equal to no more than the Remaining Retention as of the time of the applicable Loss (but only to the extent the Remaining Retention is actually eroded as a result of the payment of proceeds to Buyer under the R&amp;W Policy resulting from such Loss as contemplated by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which in no event shall exceed the Initial Retention; and</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by direct recovery from Seller.</w:t>
      </w:r>
    </w:p>
    <w:p>
      <w:pPr>
        <w:spacing w:after="0" w:line="179" w:lineRule="exact"/>
        <w:rPr>
          <w:rFonts w:ascii="Times New Roman" w:cs="Times New Roman" w:eastAsia="Times New Roman" w:hAnsi="Times New Roman"/>
          <w:sz w:val="22"/>
          <w:szCs w:val="22"/>
          <w:color w:val="auto"/>
        </w:rPr>
      </w:pPr>
    </w:p>
    <w:p>
      <w:pPr>
        <w:ind w:left="660" w:right="20" w:firstLine="1292"/>
        <w:spacing w:after="0" w:line="236" w:lineRule="auto"/>
        <w:tabs>
          <w:tab w:leader="none" w:pos="259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other Losses, other than a Loss covered by </w:t>
      </w:r>
      <w:r>
        <w:rPr>
          <w:rFonts w:ascii="Times New Roman" w:cs="Times New Roman" w:eastAsia="Times New Roman" w:hAnsi="Times New Roman"/>
          <w:sz w:val="22"/>
          <w:szCs w:val="22"/>
          <w:u w:val="single" w:color="auto"/>
          <w:color w:val="auto"/>
        </w:rPr>
        <w:t>Section 11.7(b)</w:t>
      </w:r>
      <w:r>
        <w:rPr>
          <w:rFonts w:ascii="Times New Roman" w:cs="Times New Roman" w:eastAsia="Times New Roman" w:hAnsi="Times New Roman"/>
          <w:sz w:val="22"/>
          <w:szCs w:val="22"/>
          <w:color w:val="auto"/>
        </w:rPr>
        <w:t>, from the coverage available under the R&amp;W Policy.</w:t>
      </w:r>
    </w:p>
    <w:p>
      <w:pPr>
        <w:spacing w:after="0" w:line="150" w:lineRule="exact"/>
        <w:rPr>
          <w:sz w:val="20"/>
          <w:szCs w:val="20"/>
          <w:color w:val="auto"/>
        </w:rPr>
      </w:pPr>
    </w:p>
    <w:p>
      <w:pPr>
        <w:jc w:val="both"/>
        <w:ind w:firstLine="1304"/>
        <w:spacing w:after="0" w:line="215"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11.7(a)</w:t>
      </w:r>
      <w:r>
        <w:rPr>
          <w:rFonts w:ascii="Times New Roman" w:cs="Times New Roman" w:eastAsia="Times New Roman" w:hAnsi="Times New Roman"/>
          <w:sz w:val="22"/>
          <w:szCs w:val="22"/>
          <w:color w:val="auto"/>
        </w:rPr>
        <w:t xml:space="preserve"> solely with respect to Special Indemnity Matters, Seller Retained Assets, the Pre-Closing Reorganization, Seller Retained Employment Liabilities or Seller Tax Liabilities, Pre-Closing Tax Liabilities for which no claim is available under the R&amp;W Policy or [environmental related matter description redacted], Buyer shall be entitled to claim direct recovery of Losses from Seller and shall not be required to make any claim or seek any recovery under the R&amp;W Policy;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Losses claimed by Buyer relating to the [environmental related matter description redacted] shall be subject to a cap equal to [dollar amount redacted].</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11.8 Treatment of Payments</w:t>
      </w:r>
      <w:r>
        <w:rPr>
          <w:rFonts w:ascii="Times New Roman" w:cs="Times New Roman" w:eastAsia="Times New Roman" w:hAnsi="Times New Roman"/>
          <w:sz w:val="22"/>
          <w:szCs w:val="22"/>
          <w:color w:val="auto"/>
        </w:rPr>
        <w:t>. Any indemnification payments (other than any indemnification in respect of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arising as a result of the application of section 116 of the Canadian Tax Act) made pursuant to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shall be treated as adjustments to the Purchase Price, to the extent permitted by applicable Law.</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11.9 Limit on Remedies</w:t>
      </w:r>
      <w:r>
        <w:rPr>
          <w:rFonts w:ascii="Times New Roman" w:cs="Times New Roman" w:eastAsia="Times New Roman" w:hAnsi="Times New Roman"/>
          <w:sz w:val="22"/>
          <w:szCs w:val="22"/>
          <w:color w:val="auto"/>
        </w:rPr>
        <w:t>. Other than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(taking into account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neither Seller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other Seller Party shall have any liability with respect to any representation, warranty, covenant, or agreement given or to be performed by it from and after the time that such representation, warranty, covenant, or agreement ceases to survive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shall not limit any claim by Buyer under the R&amp;W Policy or any claim of Fraud against Seller.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Subject to the proviso in the immediately preceding sentence, other than as set forth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(taking into account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w:t>
      </w:r>
      <w:r>
        <w:rPr>
          <w:rFonts w:ascii="Times New Roman" w:cs="Times New Roman" w:eastAsia="Times New Roman" w:hAnsi="Times New Roman"/>
          <w:sz w:val="22"/>
          <w:szCs w:val="22"/>
          <w:color w:val="auto"/>
        </w:rPr>
        <w:t>), Buyer hereby covenants forever not to assert, file, prosecute, commence or institute (or sponsor or purposely facilitate any Person in connection with the foregoing) any complaint or lawsuit or any legal, equitable, arbitral or administrative proceeding of any nature, against Seller or any other Seller Party in connection with any Losses incurred, arising out of or relating to any such claims or proceedings in accordance with this Agreement, and all such remedies available at Law (including Environmental Laws) or in equity, in tort, contract or otherwise are hereby waived, released and discharged by Buyer. If the amounts available under the R&amp;W Policy are insufficient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Buyer or its Affiliates (or any other insured under the R&amp;W Policy) any amounts owed to such Person in respect of any breaches or inaccuracies of any representation, except as provided in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or in the case of a claim against Seller for Fraud, none of Buyer, its Affiliates or any other Person shall be entitled to collect any remaining amounts not satisfied from the R&amp;W Policy from any Seller nor any other Seller Party, and no such Person shall have any liability for such deficiency or shortfall. Notwithstanding anything in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to the contrary, this </w:t>
      </w:r>
      <w:r>
        <w:rPr>
          <w:rFonts w:ascii="Times New Roman" w:cs="Times New Roman" w:eastAsia="Times New Roman" w:hAnsi="Times New Roman"/>
          <w:sz w:val="22"/>
          <w:szCs w:val="22"/>
          <w:u w:val="single" w:color="auto"/>
          <w:color w:val="auto"/>
        </w:rPr>
        <w:t>Section 11.9</w:t>
      </w:r>
      <w:r>
        <w:rPr>
          <w:rFonts w:ascii="Times New Roman" w:cs="Times New Roman" w:eastAsia="Times New Roman" w:hAnsi="Times New Roman"/>
          <w:sz w:val="22"/>
          <w:szCs w:val="22"/>
          <w:color w:val="auto"/>
        </w:rPr>
        <w:t xml:space="preserve"> shall not limit the rights of the Parties, if any, to seek specific performance or injunctive relief.</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12</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 Notices</w:t>
      </w:r>
      <w:r>
        <w:rPr>
          <w:rFonts w:ascii="Times New Roman" w:cs="Times New Roman" w:eastAsia="Times New Roman" w:hAnsi="Times New Roman"/>
          <w:sz w:val="22"/>
          <w:szCs w:val="22"/>
          <w:color w:val="auto"/>
        </w:rPr>
        <w:t>. All notices, requests, demands, and other communications required or permitted to be given or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by either Party (each a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shall be in writing and shall be deemed to have been duly given or made if delivered personally, transmitted by first class registered or certified mail, postage prepaid, return receipt requested, delivered by prepaid overnight courier service or delivered by e-mail of a PDF document, in each case, to the Parties at the following addresses (or at such other addresses as shall be specified by the Parties by similar notice):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Buyer: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Keyera Corp.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Suite 200, The Ampersand West Tower</w:t>
      </w:r>
    </w:p>
    <w:p>
      <w:pPr>
        <w:ind w:left="1300"/>
        <w:spacing w:after="0" w:line="203" w:lineRule="auto"/>
        <w:rPr>
          <w:sz w:val="20"/>
          <w:szCs w:val="20"/>
          <w:color w:val="auto"/>
        </w:rPr>
      </w:pPr>
      <w:r>
        <w:rPr>
          <w:rFonts w:ascii="Times New Roman" w:cs="Times New Roman" w:eastAsia="Times New Roman" w:hAnsi="Times New Roman"/>
          <w:sz w:val="22"/>
          <w:szCs w:val="22"/>
          <w:color w:val="auto"/>
        </w:rPr>
        <w:t>144 4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 T2P 3N4</w:t>
      </w:r>
    </w:p>
    <w:p>
      <w:pPr>
        <w:spacing w:after="0" w:line="19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Norton Rose Fulbright Canada LLP</w:t>
      </w:r>
    </w:p>
    <w:p>
      <w:pPr>
        <w:ind w:left="1300"/>
        <w:spacing w:after="0" w:line="211" w:lineRule="auto"/>
        <w:rPr>
          <w:sz w:val="20"/>
          <w:szCs w:val="20"/>
          <w:color w:val="auto"/>
        </w:rPr>
      </w:pPr>
      <w:r>
        <w:rPr>
          <w:rFonts w:ascii="Times New Roman" w:cs="Times New Roman" w:eastAsia="Times New Roman" w:hAnsi="Times New Roman"/>
          <w:sz w:val="22"/>
          <w:szCs w:val="22"/>
          <w:color w:val="auto"/>
        </w:rPr>
        <w:t>Suite 3700, 400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Avenue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 T2P 4H2</w:t>
      </w:r>
    </w:p>
    <w:p>
      <w:pPr>
        <w:spacing w:after="0" w:line="19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Seller: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Plains Midstream Luxembourg S.à r.l.</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28, Boulevard F.W. Raiffeisen,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L-2411 Luxembourg</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copies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Plains All American Pipeline, 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333 Clay Street, Suite 1600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spacing w:after="0" w:line="207"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Vinson &amp; Elkins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Texas Tower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845 Texas Avenue, Suite 4700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 redacted]</w:t>
      </w:r>
    </w:p>
    <w:p>
      <w:pPr>
        <w:spacing w:after="0" w:line="28"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Bennett Jones LLP</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4500 Bankers Hall East</w:t>
      </w:r>
    </w:p>
    <w:p>
      <w:pPr>
        <w:ind w:left="1300"/>
        <w:spacing w:after="0" w:line="202" w:lineRule="auto"/>
        <w:rPr>
          <w:sz w:val="20"/>
          <w:szCs w:val="20"/>
          <w:color w:val="auto"/>
        </w:rPr>
      </w:pPr>
      <w:r>
        <w:rPr>
          <w:rFonts w:ascii="Times New Roman" w:cs="Times New Roman" w:eastAsia="Times New Roman" w:hAnsi="Times New Roman"/>
          <w:sz w:val="22"/>
          <w:szCs w:val="22"/>
          <w:color w:val="auto"/>
        </w:rPr>
        <w:t>855 2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 SW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Calgary, Alberta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T2P 4K7</w:t>
      </w:r>
    </w:p>
    <w:p>
      <w:pPr>
        <w:spacing w:after="0" w:line="196"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[named redacted]</w:t>
      </w:r>
    </w:p>
    <w:p>
      <w:pPr>
        <w:spacing w:after="0" w:line="29"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[email redacted]</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Notices shall be effective if delivered personally or sent by courier service, upon actual receipt by the intended recipient, if mailed, upon the earlier of five (5) days after deposit in the mail or the date of delivery as shown by the return receipt therefor or on the date sent by e-mail, if sent during normal business hours of the recipient, or on the next Business Day, if sent after normal business hours of the recipient.</w:t>
      </w:r>
    </w:p>
    <w:p>
      <w:pPr>
        <w:spacing w:after="0" w:line="162"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12.2 Entire Agreement</w:t>
      </w:r>
      <w:r>
        <w:rPr>
          <w:rFonts w:ascii="Times New Roman" w:cs="Times New Roman" w:eastAsia="Times New Roman" w:hAnsi="Times New Roman"/>
          <w:sz w:val="22"/>
          <w:szCs w:val="22"/>
          <w:color w:val="auto"/>
        </w:rPr>
        <w:t>. This Agreement, together with the Exhibits, the Attachments, the other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and the Confidentiality Agreement and the Clean Team Agreement, constitute the entire agreement between the Parties with respect to the subject matter hereof and supersede all prior agreements and understandings, both written and oral, between the Parties with respect to the subject matter hereof. There are no restrictions, promises, representations, warranties, covenants or undertakings between the Parties, other than those expressly set forth or referred to herein or therein.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color w:val="auto"/>
        </w:rPr>
        <w:t>Amendment and Waiver</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1940" w:hanging="636"/>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not be amended except by an instrument in writing signed by or on behalf of both</w:t>
      </w: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155" w:lineRule="exact"/>
        <w:rPr>
          <w:sz w:val="20"/>
          <w:szCs w:val="20"/>
          <w:color w:val="auto"/>
        </w:rPr>
      </w:pPr>
    </w:p>
    <w:p>
      <w:pPr>
        <w:ind w:firstLine="1304"/>
        <w:spacing w:after="0" w:line="236" w:lineRule="auto"/>
        <w:tabs>
          <w:tab w:leader="none" w:pos="193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waive any inaccuracies in the representations and warranties of the other contained herein or in any document, certificate, or writing delivered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type w:val="continuous"/>
        </w:sectPr>
      </w:pPr>
    </w:p>
    <w:bookmarkStart w:id="144" w:name="page145"/>
    <w:bookmarkEnd w:id="144"/>
    <w:p>
      <w:pPr>
        <w:spacing w:after="0" w:line="6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pursuant hereto or waive compliance by the other Party with any of such other Party’s agreements or the fulfillment of any conditions to its own obligations contained herein. Any agreement on the part of a Party to any such waiver shall be valid only if set forth in an instrument in writing signed by or on behalf of such Party. Except as specifically set forth in this Agreement, no failure or delay by a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color w:val="auto"/>
        </w:rPr>
        <w:t>Binding Effect; Assignment; No Third Party Benefit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1940" w:hanging="636"/>
        <w:spacing w:after="0"/>
        <w:tabs>
          <w:tab w:leader="none" w:pos="194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Parties and their successors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assigns.</w:t>
      </w:r>
    </w:p>
    <w:p>
      <w:pPr>
        <w:spacing w:after="0" w:line="155"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of the rights, interests, or obligations hereunder may otherwise be assigned by either Party without the prior written consent of the other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may, without consent from but upon giving written notice to Seller, at any time on or prior to the Closing, assign its rights and obligations under this Agreement to an Affiliate subject to the following conditions:</w:t>
      </w:r>
    </w:p>
    <w:p>
      <w:pPr>
        <w:spacing w:after="0" w:line="152" w:lineRule="exact"/>
        <w:rPr>
          <w:rFonts w:ascii="Times New Roman" w:cs="Times New Roman" w:eastAsia="Times New Roman" w:hAnsi="Times New Roman"/>
          <w:sz w:val="22"/>
          <w:szCs w:val="22"/>
          <w:color w:val="auto"/>
        </w:rPr>
      </w:pPr>
    </w:p>
    <w:p>
      <w:pPr>
        <w:ind w:left="660" w:firstLine="1292"/>
        <w:spacing w:after="0" w:line="255" w:lineRule="auto"/>
        <w:tabs>
          <w:tab w:leader="none" w:pos="2592"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becomes jointly and severally liable with Buyer, as a principal and not as a surety, with respect to all of the representations, warranties, covenants, indemnities and agreements of Buyer in this Agreement; and</w:t>
      </w:r>
    </w:p>
    <w:p>
      <w:pPr>
        <w:spacing w:after="0" w:line="133"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assignee and Buyer execute and deliver to Seller an agreement confirming (A) the assignment,</w:t>
      </w:r>
    </w:p>
    <w:p>
      <w:pPr>
        <w:ind w:left="660" w:hanging="4"/>
        <w:spacing w:after="0" w:line="225" w:lineRule="auto"/>
        <w:tabs>
          <w:tab w:leader="none" w:pos="101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assumption by the assignee of all obligations of Buyer under this Agreement, and (C) that Buyer continues to be bound by the provisions of this Agreement.</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herein, nothing in this Agreement is intended to or shall confer upon any Person other than the Parties (and the Persons specified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6.24</w:t>
      </w:r>
      <w:r>
        <w:rPr>
          <w:rFonts w:ascii="Times New Roman" w:cs="Times New Roman" w:eastAsia="Times New Roman" w:hAnsi="Times New Roman"/>
          <w:sz w:val="22"/>
          <w:szCs w:val="22"/>
          <w:color w:val="auto"/>
        </w:rPr>
        <w:t xml:space="preserve"> to the extent set forth therein), and their successors and assigns, any rights, benefits, or remedies of any nature whatsoever under or by reason of this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12.5 Severability</w:t>
      </w:r>
      <w:r>
        <w:rPr>
          <w:rFonts w:ascii="Times New Roman" w:cs="Times New Roman" w:eastAsia="Times New Roman" w:hAnsi="Times New Roman"/>
          <w:sz w:val="22"/>
          <w:szCs w:val="22"/>
          <w:color w:val="auto"/>
        </w:rPr>
        <w:t>. If any provision of this Agreement is held to be unenforceable, this Agreement shall be considered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divisible and such provision shall be deemed inoperative to the extent it is deemed unenforceable, and in all other respects this Agreement shall remain in full force and effect. Upon any determination that any provision in this Agreement is unenforceable, the Parties will negotiate in good faith to modify this Agreement so as to effect the original intent (including economic entitlements) of the Parties as closely as possible in an acceptable manner to the end that the transactions contemplated by this Agreement are fulfilled to the fullest extent possible.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b w:val="1"/>
          <w:bCs w:val="1"/>
          <w:color w:val="auto"/>
        </w:rPr>
        <w:t>Governing Law; Consent to Jurisdiction; Waiver of Jury Trial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2"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shall be governed by and construed in accordance with the Laws of the Province of Alberta (without regard to the conflict of Laws principles thereof). Each of the Parties irrevocably agrees that any legal action or proceeding with respect to this Agreement or the transactions contemplated hereby shall be brought and determined in the Court of King’s Bench of Alberta situated in the City of Calgary, and each of the Parties irrevocably submits to the jurisdiction of such courts. The Parties agree not to contest such jurisdiction or seek to transfer any legal action or proceeding to any other jurisdiction on the grounds of inconvenient forum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shall not limit the rights of the Parties to obtain execution of judgment in any other jurisdiction. The Parties further agree, to the extent permitted by Law, that a final and unappealable judgment against a Party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action or proceeding contemplated above shall be conclusive and may be enforced in any other jurisdiction within or outside Canada by suit on the judgment, a certified copy of which shall be conclusive evidence of the fact and amount of such judgment.</w:t>
      </w:r>
    </w:p>
    <w:p>
      <w:pPr>
        <w:spacing w:after="0" w:line="135" w:lineRule="exact"/>
        <w:rPr>
          <w:sz w:val="20"/>
          <w:szCs w:val="20"/>
          <w:color w:val="auto"/>
        </w:rPr>
      </w:pPr>
    </w:p>
    <w:p>
      <w:pPr>
        <w:jc w:val="both"/>
        <w:ind w:firstLine="1304"/>
        <w:spacing w:after="0" w:line="222" w:lineRule="auto"/>
        <w:tabs>
          <w:tab w:leader="none" w:pos="1939"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waives such immunity in respect</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 xml:space="preserve">of its obligations with respect to this Agreement and submits to the personal jurisdiction of the court described in </w:t>
      </w:r>
      <w:r>
        <w:rPr>
          <w:rFonts w:ascii="Times New Roman" w:cs="Times New Roman" w:eastAsia="Times New Roman" w:hAnsi="Times New Roman"/>
          <w:sz w:val="22"/>
          <w:szCs w:val="22"/>
          <w:u w:val="single" w:color="auto"/>
          <w:color w:val="auto"/>
        </w:rPr>
        <w:t>Section 12.6(a)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304"/>
        <w:spacing w:after="0" w:line="225" w:lineRule="auto"/>
        <w:tabs>
          <w:tab w:leader="none" w:pos="194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HEREBY WAIVE TRIAL BY JURY IN ANY ACTION, PROCEEDING OR COUNTERCLAIM BROUGHT BY ANY PARTY AGAINST ANOTHER PARTY IN ANY MATTER WHATSOEVER ARISING OUT OF OR IN RELATION TO OR IN CONNECTION WITH THIS AGREEMENT.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12.7 Specific Performance</w:t>
      </w:r>
      <w:r>
        <w:rPr>
          <w:rFonts w:ascii="Times New Roman" w:cs="Times New Roman" w:eastAsia="Times New Roman" w:hAnsi="Times New Roman"/>
          <w:sz w:val="22"/>
          <w:szCs w:val="22"/>
          <w:color w:val="auto"/>
        </w:rPr>
        <w:t>. Each Party hereby acknowledges and agrees that the rights of each Party to consummate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transactions contemplated hereby are special, unique and of extraordinary character and that, if any Party violates or fails or refuses to perform any covenant or agreement made by it herein, the non-breaching Party may be without an adequate remedy at Law. If any Party violates or fails or refuses to perform any covenant or agreement made by such Party herein, the non-breaching Party, subject to the terms hereof and in addition to any remedy at Law for damages or other relief permitted under this Agreement, may (at any time prior to the valid termination of this Agreement pursuant to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institute and prosecute an action in any court of competent jurisdiction to enforce specific performance of such covenant or agreement or seek any other equitable relief, without the necessity of proving actual damages or posting of a bond.</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12.8 Time of the Essence</w:t>
      </w:r>
      <w:r>
        <w:rPr>
          <w:rFonts w:ascii="Times New Roman" w:cs="Times New Roman" w:eastAsia="Times New Roman" w:hAnsi="Times New Roman"/>
          <w:sz w:val="22"/>
          <w:szCs w:val="22"/>
          <w:color w:val="auto"/>
        </w:rPr>
        <w:t>. Time is of the essence in the performance of each and every term, condition, and covenant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this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12.9 Further Assurances</w:t>
      </w:r>
      <w:r>
        <w:rPr>
          <w:rFonts w:ascii="Times New Roman" w:cs="Times New Roman" w:eastAsia="Times New Roman" w:hAnsi="Times New Roman"/>
          <w:sz w:val="22"/>
          <w:szCs w:val="22"/>
          <w:color w:val="auto"/>
        </w:rPr>
        <w:t>. From time to time following the Closing, at the request of either Party and without further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other Party shall execute and deliver to such requesting Party such instruments and documents and take such other action (but without incurring any material financial obligation) as such requesting Party may reasonably request to consummate more fully and effectively the transactions contemplated hereby.</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12.10 Disclosure Schedules</w:t>
      </w:r>
      <w:r>
        <w:rPr>
          <w:rFonts w:ascii="Times New Roman" w:cs="Times New Roman" w:eastAsia="Times New Roman" w:hAnsi="Times New Roman"/>
          <w:sz w:val="22"/>
          <w:szCs w:val="22"/>
          <w:color w:val="auto"/>
        </w:rPr>
        <w:t>. Certain information set forth in the Seller Disclosure Schedules is included solely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Seller Disclosure Schedules is not intended to imply that such amounts (or higher or lower amounts) are or are not material, and no Party shall use the fact of the setting of such amounts or the fact of the inclusion of any such item in the Seller Disclosure Schedules in any dispute or controversy between the Parties as to whether any obligation, item or matter not described herein or included in the Seller Disclosure Schedules is or is not material for purposes of this Agreement. The Seller Disclosure Schedules are arranged in sections corresponding to those contained in this Agreement merely for convenience, such heading sections are not to be used to interpret or construe any provision of this Agreement or the Seller Disclosure Schedules and any matter disclosed on any section of such schedules will be deemed to be disclosed on any other sections or schedules of the Seller Disclosure Schedules to which such matter’s relevance is reasonably apparent on the face of such disclosure even if such other section or schedule indicates thereon that there are no other disclosures made or required to be made in such section or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relating to the particular section of the Agreement that makes reference to such schedule or section.</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12.11 Counterparts and Electronic Signatures</w:t>
      </w:r>
      <w:r>
        <w:rPr>
          <w:rFonts w:ascii="Times New Roman" w:cs="Times New Roman" w:eastAsia="Times New Roman" w:hAnsi="Times New Roman"/>
          <w:sz w:val="22"/>
          <w:szCs w:val="22"/>
          <w:color w:val="auto"/>
        </w:rPr>
        <w:t>. This Agreement may be executed by the Parties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Agreement.</w:t>
      </w:r>
    </w:p>
    <w:p>
      <w:pPr>
        <w:spacing w:after="0" w:line="147"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b w:val="1"/>
          <w:bCs w:val="1"/>
          <w:color w:val="auto"/>
        </w:rPr>
        <w:t>12.12 Non-Recourse</w:t>
      </w:r>
      <w:r>
        <w:rPr>
          <w:rFonts w:ascii="Times New Roman" w:cs="Times New Roman" w:eastAsia="Times New Roman" w:hAnsi="Times New Roman"/>
          <w:sz w:val="22"/>
          <w:szCs w:val="22"/>
          <w:color w:val="auto"/>
        </w:rPr>
        <w:t>. Each Transaction Document shall be enforceable only against, and any Proceeding based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under, out of or in connection with or related in any manner to a Transaction Document, or the transactions contemplated by the Transaction Documents shall be brought only against the parties signatory thereto, and then only with respect to the specific obligations set forth therein that are applicable to such party. No Person that is not a party to the applicable Transaction Document, including any past, present or future Representative or Affiliate of such party or any Affiliate of any of the foregoing (each, a “</w:t>
      </w:r>
      <w:r>
        <w:rPr>
          <w:rFonts w:ascii="Times New Roman" w:cs="Times New Roman" w:eastAsia="Times New Roman" w:hAnsi="Times New Roman"/>
          <w:sz w:val="22"/>
          <w:szCs w:val="22"/>
          <w:b w:val="1"/>
          <w:bCs w:val="1"/>
          <w:i w:val="1"/>
          <w:iCs w:val="1"/>
          <w:color w:val="auto"/>
        </w:rPr>
        <w:t>Nonparty Affiliate</w:t>
      </w:r>
      <w:r>
        <w:rPr>
          <w:rFonts w:ascii="Times New Roman" w:cs="Times New Roman" w:eastAsia="Times New Roman" w:hAnsi="Times New Roman"/>
          <w:sz w:val="22"/>
          <w:szCs w:val="22"/>
          <w:color w:val="auto"/>
        </w:rPr>
        <w:t xml:space="preserve">”), shall have any Liability (whether in contract, tort, strict liability, at Law, in equity or otherwise) for any claims, causes of action, Liabilities or other obligations arising under, out of or in connection with or related in any manner to such Transaction Document or the transactions contemplated by the Transaction Documents, or based upon, in respect of or by reason of such Transaction Document or the negotiation, execution, performance or breach of any of the Transaction Documents. To the extent permitted by Law, each party hereby waives and releases all such claims, causes of action, Liabilities and other obligations against any such Nonparty Affiliates, waives and releases any and all claims, causes of action, rights, remedies, demands or Proceedings that may otherwise be available to avoid or disregard the entity form of a party or otherwise impose the Liability of a party on any Nonparty Affiliate, whether granted by Law or based on theories of equity, agency, control, instrumentality, alter ego, domination, sham, single business enterprise, piercing the veil, unfairness, undercapitalization or otherwise and disclaims any reliance upon any Nonparty Affiliates with respect to the performance of this Agreement and any representation or warranty made in, in connection with or as an inducement hereto. Nothing in this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xml:space="preserve"> is intended to, or shall, limit the guarantees provided by Seller Parent with respect to the specified obligations of Seller as expressly set forth in the Seller Parent Guarantee.</w:t>
      </w:r>
    </w:p>
    <w:p>
      <w:pPr>
        <w:spacing w:after="0" w:line="15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b w:val="1"/>
          <w:bCs w:val="1"/>
          <w:color w:val="auto"/>
        </w:rPr>
        <w:t>12.13 Legal Representation</w:t>
      </w:r>
      <w:r>
        <w:rPr>
          <w:rFonts w:ascii="Times New Roman" w:cs="Times New Roman" w:eastAsia="Times New Roman" w:hAnsi="Times New Roman"/>
          <w:sz w:val="22"/>
          <w:szCs w:val="22"/>
          <w:color w:val="auto"/>
        </w:rPr>
        <w:t>. Buyer, on behalf of itself and its Affiliates, acknowledges and agrees that Vinson &amp;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Elkins L.L.P., Bennett Jones LLP, (c) Felesky Flynn LLP, (d) Arendt &amp; Medernach SA and (e) Latham &amp; Watkins LLP (collectively, “</w:t>
      </w:r>
      <w:r>
        <w:rPr>
          <w:rFonts w:ascii="Times New Roman" w:cs="Times New Roman" w:eastAsia="Times New Roman" w:hAnsi="Times New Roman"/>
          <w:sz w:val="22"/>
          <w:szCs w:val="22"/>
          <w:b w:val="1"/>
          <w:bCs w:val="1"/>
          <w:i w:val="1"/>
          <w:iCs w:val="1"/>
          <w:color w:val="auto"/>
        </w:rPr>
        <w:t>Seller’s Counsel</w:t>
      </w:r>
      <w:r>
        <w:rPr>
          <w:rFonts w:ascii="Times New Roman" w:cs="Times New Roman" w:eastAsia="Times New Roman" w:hAnsi="Times New Roman"/>
          <w:sz w:val="22"/>
          <w:szCs w:val="22"/>
          <w:color w:val="auto"/>
        </w:rPr>
        <w:t xml:space="preserve">”) has acted as counsel for Seller, the Company Group and their respective Affiliates in the past and that such Persons reasonably anticipate that Seller’s Counsel will continue to represent them in future matters. Accordingly, Buyer, on behalf of itself and its Affiliates, expressly consents to the representation by Seller’s Counsel of Seller, the Company Group and their respective Affiliates in any post-Closing matter in which the interests of Buyer or its Affiliates, on the one hand, and Seller, the Company Group or their respective Affiliates, on the other hand, are adverse, including any matter relating to the transactions contemplated by the Transaction Documents or any disagreement or dispute relating hereto, and whether or not such matter is one in which Seller’s Counsel may have previously advised such Persons and the disclosure by Seller’s Counsel to Seller, the Company Group or their respective Affiliates of any information learned by Seller’s Counsel in the course of its representation of such Persons, whether or not such information is subject to solicitor-client privilege or Seller’s Counsel’s duty of confidentiality. Furthermore, subject to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 Buyer, on behalf of itself and its Affiliates, irrevocably waives any right it or its Affiliates may have to discover or obtain information or documentation relating to the representation of Seller or its Affiliates (other than the Company Group) by Seller’s Counsel in connection with the transactions contemplated by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Documents, to the extent that such information or documentation was privileged as to Seller or its Affiliates (other than the Company Group). Buyer, on behalf of itself and its Affiliates, further covenants and agrees that each shall not assert any claim against Seller’s Counsel in respect of legal services provided to Seller, the Company Group or their respective Affiliates by Seller’s Counsel in connection with this Agreement or the transactions contemplated by the Transaction Documents.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12.14  Privileged Communications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304"/>
        <w:spacing w:after="0" w:line="209"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all communications among Seller’s Counsel or Seller’s in-house counsel, on the one hand, and Seller, any member of the Company Group or Subsidiary thereof, or any of their respective Affiliates or Representatives, on the other hand, that relate in any way to the transactions contemplated by the Transaction Documents and that constitute attorney-client privileged communications or are otherwise privileged under Law (collectively, the “</w:t>
      </w:r>
      <w:r>
        <w:rPr>
          <w:rFonts w:ascii="Times New Roman" w:cs="Times New Roman" w:eastAsia="Times New Roman" w:hAnsi="Times New Roman"/>
          <w:sz w:val="22"/>
          <w:szCs w:val="22"/>
          <w:b w:val="1"/>
          <w:bCs w:val="1"/>
          <w:i w:val="1"/>
          <w:iCs w:val="1"/>
          <w:color w:val="auto"/>
        </w:rPr>
        <w:t>Privileged Communications</w:t>
      </w:r>
      <w:r>
        <w:rPr>
          <w:rFonts w:ascii="Times New Roman" w:cs="Times New Roman" w:eastAsia="Times New Roman" w:hAnsi="Times New Roman"/>
          <w:sz w:val="22"/>
          <w:szCs w:val="22"/>
          <w:color w:val="auto"/>
        </w:rPr>
        <w:t xml:space="preserve">”), the privilege and the expectation of client confidence belongs to Seller, may be controlled by Seller and shall not pass to or be claimed by Buyer, any member of the Company Group or any Subsidiary or Affiliate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 respect to any Privileged Communications that are related to the Business, Facilities, Pipelines or any other assets, Liabilities, Losses, Proceedings or other matters associated with any member of the Company Group and are only tangentially related to the transactions contemplated by the Transaction Documents, or reasonably necessary for or material to the prosecution, defence or resolution by any member of the Company Group of any Third Party dispute or claim (collectively, the “</w:t>
      </w:r>
      <w:r>
        <w:rPr>
          <w:rFonts w:ascii="Times New Roman" w:cs="Times New Roman" w:eastAsia="Times New Roman" w:hAnsi="Times New Roman"/>
          <w:sz w:val="22"/>
          <w:szCs w:val="22"/>
          <w:b w:val="1"/>
          <w:bCs w:val="1"/>
          <w:i w:val="1"/>
          <w:iCs w:val="1"/>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Communications</w:t>
      </w:r>
      <w:r>
        <w:rPr>
          <w:rFonts w:ascii="Times New Roman" w:cs="Times New Roman" w:eastAsia="Times New Roman" w:hAnsi="Times New Roman"/>
          <w:sz w:val="22"/>
          <w:szCs w:val="22"/>
          <w:color w:val="auto"/>
        </w:rPr>
        <w:t>”), the privilege and the expectation of client confidence belongs to the applicable member of the Company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Group, may be controlled by such member of the Company Group and shall pass to and may be claimed by Buyer or any member of the Company Group.</w:t>
      </w:r>
    </w:p>
    <w:p>
      <w:pPr>
        <w:spacing w:after="0" w:line="16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Privileged Communications (other than the Excluded Communications) are Seller’s property, and from and after the Closing Date, none of Buyer, the members of the Company Group or any of their respective Subsidiaries or Affiliates, nor any Person purporting to act on behalf of Buyer, any member of the Company Group or any of their respective Subsidiaries or Affiliates, shall seek to obtain any such Privileged Communications, whether by seeking a waiver of the privilege or through other means.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to any such Privileged Communications prior to the Closing Date, none of Buyer, the members of the Company Group or any of their respective Subsidiaries, Affiliates, successors or assigns may disclose, use or rely on in any way any of such Privileged Communications after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foregoing sentence shall not restrict the ability of Buyer, the members of the Company Group or any of their respective Subsidiaries or Affiliates to challenge the fact that any communication constitutes a Privileged Communication (other than as a result of Buyer becoming the owner of the Purchased Shares).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Seller and its Affiliates may use any such Privileged Communications in connection with any dispute that relates in any way to the transactions contemplated by the Transaction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in the event a dispute arises between Buyer or the Company Group, on the one hand, and a third Person (other than Seller or its Affiliates) after the Closing, the members of the Company Group and their respective Subsidiaries may assert the privilege to prevent disclosure of any such Privileged Communications to such third Person;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the members of the Company Group and their respective Subsidiaries shall not, unless required by Law, waive such privilege without Seller’s prior written consent.</w:t>
      </w:r>
    </w:p>
    <w:p>
      <w:pPr>
        <w:spacing w:after="0" w:line="150"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12.15 Liability of Financing Sources</w:t>
      </w:r>
      <w:r>
        <w:rPr>
          <w:rFonts w:ascii="Times New Roman" w:cs="Times New Roman" w:eastAsia="Times New Roman" w:hAnsi="Times New Roman"/>
          <w:sz w:val="22"/>
          <w:szCs w:val="22"/>
          <w:color w:val="auto"/>
        </w:rPr>
        <w:t>. Notwithstanding anything in this Agreement to the contrary, each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 on behalf of itself, its Affiliates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respective directors, officers, employees, controlling persons, agents or other representatives, hereby:</w:t>
      </w:r>
    </w:p>
    <w:p>
      <w:pPr>
        <w:spacing w:after="0" w:line="166" w:lineRule="exact"/>
        <w:rPr>
          <w:sz w:val="20"/>
          <w:szCs w:val="20"/>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without limiting Buyer’s rights and remedies against the Financing Sources under any Financing</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that:</w:t>
      </w:r>
    </w:p>
    <w:p>
      <w:pPr>
        <w:spacing w:after="0" w:line="155"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59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Financing Source will have any obligation or liability (whether in contract or in tort, in law or in equity or otherwise) to Seller or any of its Affiliates relating to or arising out of this Agreement, the Transaction, the Financings or any of the transactions contemplated hereby or thereby or the performance of any services thereunder;</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1" w:lineRule="auto"/>
        <w:tabs>
          <w:tab w:leader="none" w:pos="2598"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its Affiliates shall have any rights or claims (and hereby waives any rights or claims) against any of the Financing Sources and each of their respective Affiliates and their and their respective Affiliates’ respective current, former and future direct or indirect equity holders, controlling persons, stockholders, agents, Affiliates, members, managers, general or limited partners, assignees and each of their respective directors, officers, agents, accountants, attorneys, investment bankers, advisors, environmental consultants and other authorized representatives (collectively, the “</w:t>
      </w:r>
      <w:r>
        <w:rPr>
          <w:rFonts w:ascii="Times New Roman" w:cs="Times New Roman" w:eastAsia="Times New Roman" w:hAnsi="Times New Roman"/>
          <w:sz w:val="22"/>
          <w:szCs w:val="22"/>
          <w:b w:val="1"/>
          <w:bCs w:val="1"/>
          <w:i w:val="1"/>
          <w:iCs w:val="1"/>
          <w:color w:val="auto"/>
        </w:rPr>
        <w:t>Financing Source Parties</w:t>
      </w:r>
      <w:r>
        <w:rPr>
          <w:rFonts w:ascii="Times New Roman" w:cs="Times New Roman" w:eastAsia="Times New Roman" w:hAnsi="Times New Roman"/>
          <w:sz w:val="22"/>
          <w:szCs w:val="22"/>
          <w:color w:val="auto"/>
        </w:rPr>
        <w:t>”) in connection with this Agreement, the Transaction or the Financings, whether at law or equity, in contract, in tort or otherwise or commence (and, if commenced, agrees to dismiss or otherwise terminate, and not to assist or support) any demand, charge, claim, action, suit, notice of violation, investigation, arbitration, hearing or proceeding (whether at law or in equity, in contract, in tort or otherwise) against any Financing Source Party in connection with this Agreement, the Transaction or the Financings; and</w:t>
      </w:r>
    </w:p>
    <w:p>
      <w:pPr>
        <w:spacing w:after="0" w:line="151" w:lineRule="exact"/>
        <w:rPr>
          <w:rFonts w:ascii="Times New Roman" w:cs="Times New Roman" w:eastAsia="Times New Roman" w:hAnsi="Times New Roman"/>
          <w:sz w:val="22"/>
          <w:szCs w:val="22"/>
          <w:color w:val="auto"/>
        </w:rPr>
      </w:pPr>
    </w:p>
    <w:p>
      <w:pPr>
        <w:jc w:val="both"/>
        <w:ind w:left="660" w:firstLine="1292"/>
        <w:spacing w:after="0" w:line="225" w:lineRule="auto"/>
        <w:tabs>
          <w:tab w:leader="none" w:pos="2604"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only be enforced against, and any claim, action or other proceeding that may be based upon, arise out of or relate to this Agreement, or the negotiation, execution or performance of this Agreement may only be made against the entities that are expressly identified as the Parties to this Agreement;</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the Financing Sources are express third-party beneficiaries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and shall be entitled to rely on and enforce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that no amendment or waiver of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(or the definitions used herein) shall be effective to the extent such amendment or waiver is adverse to the Financing Sources without the prior written consent of the Financing Sources.</w:t>
      </w:r>
    </w:p>
    <w:p>
      <w:pPr>
        <w:spacing w:after="0" w:line="149"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12.16 Wrong Pocket</w:t>
      </w:r>
      <w:r>
        <w:rPr>
          <w:rFonts w:ascii="Times New Roman" w:cs="Times New Roman" w:eastAsia="Times New Roman" w:hAnsi="Times New Roman"/>
          <w:sz w:val="22"/>
          <w:szCs w:val="22"/>
          <w:color w:val="auto"/>
        </w:rPr>
        <w:t>. If, following the Closing, any Party becomes aware that any asset or property (a)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Group (after giving effect to the Pre-Closing Reorganization) is held or otherwise possessed, directly or indirectly by Seller, or</w:t>
      </w:r>
    </w:p>
    <w:p>
      <w:pPr>
        <w:jc w:val="both"/>
        <w:ind w:firstLine="8"/>
        <w:spacing w:after="0" w:line="211" w:lineRule="auto"/>
        <w:tabs>
          <w:tab w:leader="none" w:pos="31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Seller (after giving effect to the Pre-Closing Reorganization) is held or otherwise possessed by the Company Group (each, a “</w:t>
      </w:r>
      <w:r>
        <w:rPr>
          <w:rFonts w:ascii="Times New Roman" w:cs="Times New Roman" w:eastAsia="Times New Roman" w:hAnsi="Times New Roman"/>
          <w:sz w:val="22"/>
          <w:szCs w:val="22"/>
          <w:b w:val="1"/>
          <w:bCs w:val="1"/>
          <w:i w:val="1"/>
          <w:iCs w:val="1"/>
          <w:color w:val="auto"/>
        </w:rPr>
        <w:t>Wrong Pocket Asset</w:t>
      </w:r>
      <w:r>
        <w:rPr>
          <w:rFonts w:ascii="Times New Roman" w:cs="Times New Roman" w:eastAsia="Times New Roman" w:hAnsi="Times New Roman"/>
          <w:sz w:val="22"/>
          <w:szCs w:val="22"/>
          <w:color w:val="auto"/>
        </w:rPr>
        <w:t>”), the Buyer, Seller or its respective Affiliates, as applicable, that hold such Wrong Pocket Asset shall promptly notify the other in writing and the Parties shall cooperate as soon as reasonably practicable to ensure that such Wrong Pocket Asset is transferred to the applicable Party, with appropriate adjustments to the Purchase Price for any consideration for the Wrong Pocket Asset to ensure that there is no net payment of any further consideration by the Party to whom the Wrong Pocket Asset is being directly or indirectly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 * * *</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9019"/>
          </w:cols>
          <w:pgMar w:left="1440" w:top="1440" w:right="1440" w:bottom="1440" w:gutter="0" w:footer="0" w:header="0"/>
          <w:type w:val="continuous"/>
        </w:sectPr>
      </w:pPr>
    </w:p>
    <w:bookmarkStart w:id="150" w:name="page151"/>
    <w:bookmarkEnd w:id="15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or caused this Agreement to be executed by their duly authorized representatives, all as of the Execution Date.</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b w:val="1"/>
          <w:bCs w:val="1"/>
          <w:color w:val="auto"/>
        </w:rPr>
        <w:t>:</w:t>
      </w:r>
    </w:p>
    <w:p>
      <w:pPr>
        <w:spacing w:after="0" w:line="28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PLAINS MIDSTREAM LUXEMBOURG</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S.À R.L</w:t>
      </w:r>
    </w:p>
    <w:p>
      <w:pPr>
        <w:spacing w:after="0" w:line="250" w:lineRule="exact"/>
        <w:rPr>
          <w:sz w:val="20"/>
          <w:szCs w:val="20"/>
          <w:color w:val="auto"/>
        </w:rPr>
      </w:pPr>
    </w:p>
    <w:tbl>
      <w:tblPr>
        <w:tblLayout w:type="fixed"/>
        <w:tblInd w:w="3920" w:type="dxa"/>
        <w:tblCellMar>
          <w:top w:w="0" w:type="dxa"/>
          <w:left w:w="0" w:type="dxa"/>
          <w:bottom w:w="0" w:type="dxa"/>
          <w:right w:w="0" w:type="dxa"/>
        </w:tblCellMar>
      </w:tblP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(signed) [</w:t>
            </w:r>
            <w:r>
              <w:rPr>
                <w:rFonts w:ascii="Times New Roman" w:cs="Times New Roman" w:eastAsia="Times New Roman" w:hAnsi="Times New Roman"/>
                <w:sz w:val="22"/>
                <w:szCs w:val="22"/>
                <w:i w:val="1"/>
                <w:iCs w:val="1"/>
                <w:color w:val="auto"/>
              </w:rPr>
              <w:t>name redacted</w:t>
            </w:r>
            <w:r>
              <w:rPr>
                <w:rFonts w:ascii="Times New Roman" w:cs="Times New Roman" w:eastAsia="Times New Roman" w:hAnsi="Times New Roman"/>
                <w:sz w:val="22"/>
                <w:szCs w:val="22"/>
                <w:color w:val="auto"/>
              </w:rPr>
              <w:t>]</w:t>
            </w: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[Name redacted]</w:t>
            </w:r>
          </w:p>
        </w:tc>
      </w:tr>
      <w:tr>
        <w:trPr>
          <w:trHeight w:val="216"/>
        </w:trPr>
        <w:tc>
          <w:tcPr>
            <w:tcW w:w="6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c>
          <w:tcPr>
            <w:tcW w:w="328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[Title</w:t>
            </w:r>
          </w:p>
        </w:tc>
      </w:tr>
      <w:tr>
        <w:trPr>
          <w:trHeight w:val="282"/>
        </w:trPr>
        <w:tc>
          <w:tcPr>
            <w:tcW w:w="66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redacted]____________________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920" w:type="dxa"/>
        <w:tblCellMar>
          <w:top w:w="0" w:type="dxa"/>
          <w:left w:w="0" w:type="dxa"/>
          <w:bottom w:w="0" w:type="dxa"/>
          <w:right w:w="0" w:type="dxa"/>
        </w:tblCellMar>
      </w:tblP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(signed) [</w:t>
            </w:r>
            <w:r>
              <w:rPr>
                <w:rFonts w:ascii="Times New Roman" w:cs="Times New Roman" w:eastAsia="Times New Roman" w:hAnsi="Times New Roman"/>
                <w:sz w:val="22"/>
                <w:szCs w:val="22"/>
                <w:i w:val="1"/>
                <w:iCs w:val="1"/>
                <w:color w:val="auto"/>
              </w:rPr>
              <w:t>name redacted</w:t>
            </w:r>
            <w:r>
              <w:rPr>
                <w:rFonts w:ascii="Times New Roman" w:cs="Times New Roman" w:eastAsia="Times New Roman" w:hAnsi="Times New Roman"/>
                <w:sz w:val="22"/>
                <w:szCs w:val="22"/>
                <w:color w:val="auto"/>
              </w:rPr>
              <w:t>]</w:t>
            </w:r>
          </w:p>
        </w:tc>
      </w:tr>
      <w:tr>
        <w:trPr>
          <w:trHeight w:val="256"/>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[Name redacted]</w:t>
            </w:r>
          </w:p>
        </w:tc>
      </w:tr>
      <w:tr>
        <w:trPr>
          <w:trHeight w:val="282"/>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[Title redacted]_________________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Share Purchase Agreement</w:t>
      </w:r>
    </w:p>
    <w:p>
      <w:pPr>
        <w:sectPr>
          <w:pgSz w:w="11900" w:h="16838" w:orient="portrait"/>
          <w:cols w:equalWidth="0" w:num="1">
            <w:col w:w="11240"/>
          </w:cols>
          <w:pgMar w:left="320" w:top="1421" w:right="339" w:bottom="1440" w:gutter="0" w:footer="0" w:header="0"/>
        </w:sectPr>
      </w:pPr>
    </w:p>
    <w:bookmarkStart w:id="151" w:name="page152"/>
    <w:bookmarkEnd w:id="151"/>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KEYERA CORP.</w:t>
      </w:r>
    </w:p>
    <w:p>
      <w:pPr>
        <w:spacing w:after="0" w:line="35" w:lineRule="exact"/>
        <w:rPr>
          <w:sz w:val="20"/>
          <w:szCs w:val="20"/>
          <w:color w:val="auto"/>
        </w:rPr>
      </w:pPr>
    </w:p>
    <w:p>
      <w:pPr>
        <w:ind w:left="3120"/>
        <w:spacing w:after="0"/>
        <w:tabs>
          <w:tab w:leader="none" w:pos="37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(signed) [</w:t>
      </w:r>
      <w:r>
        <w:rPr>
          <w:rFonts w:ascii="Times New Roman" w:cs="Times New Roman" w:eastAsia="Times New Roman" w:hAnsi="Times New Roman"/>
          <w:sz w:val="21"/>
          <w:szCs w:val="21"/>
          <w:i w:val="1"/>
          <w:iCs w:val="1"/>
          <w:color w:val="auto"/>
        </w:rPr>
        <w:t>name redacted</w:t>
      </w:r>
      <w:r>
        <w:rPr>
          <w:rFonts w:ascii="Times New Roman" w:cs="Times New Roman" w:eastAsia="Times New Roman" w:hAnsi="Times New Roman"/>
          <w:sz w:val="21"/>
          <w:szCs w:val="21"/>
          <w:color w:val="auto"/>
        </w:rPr>
        <w:t>]</w:t>
      </w:r>
    </w:p>
    <w:p>
      <w:pPr>
        <w:spacing w:after="0" w:line="6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 [Name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-151130</wp:posOffset>
            </wp:positionV>
            <wp:extent cx="18173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3" w:lineRule="exact"/>
        <w:rPr>
          <w:sz w:val="20"/>
          <w:szCs w:val="20"/>
          <w:color w:val="auto"/>
        </w:rPr>
      </w:pPr>
    </w:p>
    <w:p>
      <w:pPr>
        <w:ind w:left="3120"/>
        <w:spacing w:after="0"/>
        <w:tabs>
          <w:tab w:leader="none" w:pos="37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[Title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20320</wp:posOffset>
            </wp:positionV>
            <wp:extent cx="18173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-158750</wp:posOffset>
            </wp:positionV>
            <wp:extent cx="18173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to Share Purchase Agreement</w:t>
      </w:r>
    </w:p>
    <w:p>
      <w:pPr>
        <w:sectPr>
          <w:pgSz w:w="11900" w:h="16838" w:orient="portrait"/>
          <w:cols w:equalWidth="0" w:num="1">
            <w:col w:w="9019"/>
          </w:cols>
          <w:pgMar w:left="1440" w:top="1417" w:right="1440" w:bottom="1440" w:gutter="0" w:footer="0" w:header="0"/>
        </w:sectPr>
      </w:pPr>
    </w:p>
    <w:bookmarkStart w:id="152" w:name="page153"/>
    <w:bookmarkEnd w:id="152"/>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AACE Guidelines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the applicable guidelines of the “Association for the Advancement of Cost Engineering” in effect as at the date hereof.</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Principles</w:t>
      </w:r>
      <w:r>
        <w:rPr>
          <w:rFonts w:ascii="Times New Roman" w:cs="Times New Roman" w:eastAsia="Times New Roman" w:hAnsi="Times New Roman"/>
          <w:sz w:val="22"/>
          <w:szCs w:val="22"/>
          <w:color w:val="auto"/>
        </w:rPr>
        <w:t xml:space="preserve">” means the accounting principles set out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xml:space="preserve">” means, with respect to any Person, any other Person that, directly or indirectly, through one or more intermediaries, controls, is controlled by, or is under common control with, such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member of the general partner of Plains GP Holdings, L.P. (“</w:t>
      </w:r>
      <w:r>
        <w:rPr>
          <w:rFonts w:ascii="Times New Roman" w:cs="Times New Roman" w:eastAsia="Times New Roman" w:hAnsi="Times New Roman"/>
          <w:sz w:val="22"/>
          <w:szCs w:val="22"/>
          <w:b w:val="1"/>
          <w:bCs w:val="1"/>
          <w:i w:val="1"/>
          <w:iCs w:val="1"/>
          <w:color w:val="auto"/>
        </w:rPr>
        <w:t>PAGP</w:t>
      </w:r>
      <w:r>
        <w:rPr>
          <w:rFonts w:ascii="Times New Roman" w:cs="Times New Roman" w:eastAsia="Times New Roman" w:hAnsi="Times New Roman"/>
          <w:sz w:val="22"/>
          <w:szCs w:val="22"/>
          <w:color w:val="auto"/>
        </w:rPr>
        <w:t xml:space="preserve">”), other than PAGP, shall be considered an Affiliate of Seller for purposes of this Agreement and notwithstanding </w:t>
      </w:r>
      <w:r>
        <w:rPr>
          <w:rFonts w:ascii="Times New Roman" w:cs="Times New Roman" w:eastAsia="Times New Roman" w:hAnsi="Times New Roman"/>
          <w:sz w:val="22"/>
          <w:szCs w:val="22"/>
          <w:u w:val="single" w:color="auto"/>
          <w:color w:val="auto"/>
        </w:rPr>
        <w:t>clause 0</w:t>
      </w:r>
      <w:r>
        <w:rPr>
          <w:rFonts w:ascii="Times New Roman" w:cs="Times New Roman" w:eastAsia="Times New Roman" w:hAnsi="Times New Roman"/>
          <w:sz w:val="22"/>
          <w:szCs w:val="22"/>
          <w:color w:val="auto"/>
        </w:rPr>
        <w:t xml:space="preserve"> immediately above, the various members of the general partner of PAGP will be deemed Affiliates of Seller for the purposes of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 xml:space="preserve"> to the extent this definition of Affiliate would otherwise apply to such members of PAGP in the absence of </w:t>
      </w:r>
      <w:r>
        <w:rPr>
          <w:rFonts w:ascii="Times New Roman" w:cs="Times New Roman" w:eastAsia="Times New Roman" w:hAnsi="Times New Roman"/>
          <w:sz w:val="22"/>
          <w:szCs w:val="22"/>
          <w:u w:val="single" w:color="auto"/>
          <w:color w:val="auto"/>
        </w:rPr>
        <w:t>clause 0</w:t>
      </w:r>
      <w:r>
        <w:rPr>
          <w:rFonts w:ascii="Times New Roman" w:cs="Times New Roman" w:eastAsia="Times New Roman" w:hAnsi="Times New Roman"/>
          <w:sz w:val="22"/>
          <w:szCs w:val="22"/>
          <w:color w:val="auto"/>
        </w:rPr>
        <w:t xml:space="preserve"> immediately above. For the purposes of this definition, “control” means, when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 For the avoidance of doubt, the Company and other members of the Company Group shall be Affiliates of Seller prior to the Closing and Affiliates of Buyer from and after the Closing.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means this Share Purchase Agreement, as the same may be amended or supplemented from time to time.</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AML Laws</w:t>
      </w:r>
      <w:r>
        <w:rPr>
          <w:rFonts w:ascii="Times New Roman" w:cs="Times New Roman" w:eastAsia="Times New Roman" w:hAnsi="Times New Roman"/>
          <w:sz w:val="22"/>
          <w:szCs w:val="22"/>
          <w:color w:val="auto"/>
        </w:rPr>
        <w:t xml:space="preserve">” means the Money Laundering Control Act of 1986, the USA PATRIOT Act,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 xml:space="preserve">Proceeds of Crime (Money Laundering) and Terrorist Finance Act </w:t>
      </w:r>
      <w:r>
        <w:rPr>
          <w:rFonts w:ascii="Times New Roman" w:cs="Times New Roman" w:eastAsia="Times New Roman" w:hAnsi="Times New Roman"/>
          <w:sz w:val="22"/>
          <w:szCs w:val="22"/>
          <w:color w:val="auto"/>
        </w:rPr>
        <w:t>(Canada), Part XII.2 of the</w:t>
      </w:r>
      <w:r>
        <w:rPr>
          <w:rFonts w:ascii="Times New Roman" w:cs="Times New Roman" w:eastAsia="Times New Roman" w:hAnsi="Times New Roman"/>
          <w:sz w:val="22"/>
          <w:szCs w:val="22"/>
          <w:i w:val="1"/>
          <w:iCs w:val="1"/>
          <w:color w:val="auto"/>
        </w:rPr>
        <w:t xml:space="preserve"> Criminal Code </w:t>
      </w:r>
      <w:r>
        <w:rPr>
          <w:rFonts w:ascii="Times New Roman" w:cs="Times New Roman" w:eastAsia="Times New Roman" w:hAnsi="Times New Roman"/>
          <w:sz w:val="22"/>
          <w:szCs w:val="22"/>
          <w:color w:val="auto"/>
        </w:rPr>
        <w:t>(Canada),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Laws related to terrorist financing or money laundering of the United States, Canada or other jurisdiction applicable in respect of the transactions contemplated hereby and by the other Transaction Documents.</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Anti-Corruption Laws</w:t>
      </w:r>
      <w:r>
        <w:rPr>
          <w:rFonts w:ascii="Times New Roman" w:cs="Times New Roman" w:eastAsia="Times New Roman" w:hAnsi="Times New Roman"/>
          <w:sz w:val="22"/>
          <w:szCs w:val="22"/>
          <w:color w:val="auto"/>
        </w:rPr>
        <w:t xml:space="preserve">” means all Laws of any applicable jurisdiction concerning or relating to bribery or corruption, including the U.S. Foreign Corrupt Practices Act of 1977, as amended, and the U.K. Bribery Act 2010,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the Canada Corruption of Foreign Public Officials Act and any rules or regulations promulgated thereunder or other Laws of other jurisdictions applicable in respect of the transactions contemplated hereby implementing the OECD Convention on Combating Bribery of Foreign Officials.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ARC</w:t>
      </w:r>
      <w:r>
        <w:rPr>
          <w:rFonts w:ascii="Times New Roman" w:cs="Times New Roman" w:eastAsia="Times New Roman" w:hAnsi="Times New Roman"/>
          <w:sz w:val="22"/>
          <w:szCs w:val="22"/>
          <w:color w:val="auto"/>
        </w:rPr>
        <w:t>” means an advance ruling certificate under section 102 of the Canada Competition Act.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Assignment of Purchased Shares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Aurora</w:t>
      </w:r>
      <w:r>
        <w:rPr>
          <w:rFonts w:ascii="Times New Roman" w:cs="Times New Roman" w:eastAsia="Times New Roman" w:hAnsi="Times New Roman"/>
          <w:sz w:val="22"/>
          <w:szCs w:val="22"/>
          <w:color w:val="auto"/>
        </w:rPr>
        <w:t>” means Aurora Pipeline Company Ltd., an Alberta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Company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Available U.S.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BCBCA</w:t>
      </w:r>
      <w:r>
        <w:rPr>
          <w:rFonts w:ascii="Times New Roman" w:cs="Times New Roman" w:eastAsia="Times New Roman" w:hAnsi="Times New Roman"/>
          <w:sz w:val="22"/>
          <w:szCs w:val="22"/>
          <w:color w:val="auto"/>
        </w:rPr>
        <w:t>” means the Business Corporations Act (British Columbia), SBC 2002, c.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6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Benefit Plan</w:t>
      </w:r>
      <w:r>
        <w:rPr>
          <w:rFonts w:ascii="Times New Roman" w:cs="Times New Roman" w:eastAsia="Times New Roman" w:hAnsi="Times New Roman"/>
          <w:sz w:val="22"/>
          <w:szCs w:val="22"/>
          <w:color w:val="auto"/>
        </w:rPr>
        <w:t>” means any employee benefit plan or arrangement, including any stock purchase, stock option, stock bonus, stock ownership, phantom stock or other stock or equity plan, pension, profit sharing, bonus, deferred compensation, incentive compensation, severance or termination pay, hospitalization or other medical or dental, life or other insurance, supplemental unemployment benefits plan or agreement or policy or other arrangement providing employment-related compensation, fringe benefits or other benefits and including “employee benefit plans,” as defined in Section 3(3) of ERISA.</w:t>
      </w:r>
    </w:p>
    <w:p>
      <w:pPr>
        <w:spacing w:after="0" w:line="14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Burdensome Condition</w:t>
      </w:r>
      <w:r>
        <w:rPr>
          <w:rFonts w:ascii="Times New Roman" w:cs="Times New Roman" w:eastAsia="Times New Roman" w:hAnsi="Times New Roman"/>
          <w:sz w:val="22"/>
          <w:szCs w:val="22"/>
          <w:color w:val="auto"/>
        </w:rPr>
        <w:t>” means any action, restriction or other remedy (i) that involves Divestiture of any business, assets or properties of Buyer or its Affiliates, or of the Company Group, or (ii) with respect to the businesses, assets or properties of Buyer or its Affiliates, or of the Company Group that would reasonably be expected to materially interfere with the operation or the profitability of the business of Buyer or its Affiliates, or the Business, respectively, taken as a whole</w:t>
      </w:r>
      <w:r>
        <w:rPr>
          <w:rFonts w:ascii="Times New Roman" w:cs="Times New Roman" w:eastAsia="Times New Roman" w:hAnsi="Times New Roman"/>
          <w:sz w:val="19"/>
          <w:szCs w:val="19"/>
          <w:color w:val="7030A0"/>
        </w:rPr>
        <w: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means the natural gas liquids business conducted by the Company Group after taking into consideration the Pre-Closing Reorganization.</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Day</w:t>
      </w:r>
      <w:r>
        <w:rPr>
          <w:rFonts w:ascii="Times New Roman" w:cs="Times New Roman" w:eastAsia="Times New Roman" w:hAnsi="Times New Roman"/>
          <w:sz w:val="22"/>
          <w:szCs w:val="22"/>
          <w:color w:val="auto"/>
        </w:rPr>
        <w:t>” means any day other than a Saturday, Sunday or legal holiday on which banks in either Houston, Texas or Calgary, Alberta are authorized or obligated by Law to close.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Employee</w:t>
      </w:r>
      <w:r>
        <w:rPr>
          <w:rFonts w:ascii="Times New Roman" w:cs="Times New Roman" w:eastAsia="Times New Roman" w:hAnsi="Times New Roman"/>
          <w:sz w:val="22"/>
          <w:szCs w:val="22"/>
          <w:color w:val="auto"/>
        </w:rPr>
        <w:t>” means each employee of any member of the Company Group and the Available U.S. Employees, in each case whose duties and functions relate primarily to the Business, as determined by Seller in good faith, whether actively at work or not, which employees shall be outlined in the Employee List.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Butane Supply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Employer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Fundamental Representations</w:t>
      </w:r>
      <w:r>
        <w:rPr>
          <w:rFonts w:ascii="Times New Roman" w:cs="Times New Roman" w:eastAsia="Times New Roman" w:hAnsi="Times New Roman"/>
          <w:sz w:val="22"/>
          <w:szCs w:val="22"/>
          <w:color w:val="auto"/>
        </w:rPr>
        <w:t xml:space="preserve">” means the representations of Buyer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Buyer Indemnified Parties</w:t>
      </w:r>
      <w:r>
        <w:rPr>
          <w:rFonts w:ascii="Times New Roman" w:cs="Times New Roman" w:eastAsia="Times New Roman" w:hAnsi="Times New Roman"/>
          <w:sz w:val="22"/>
          <w:szCs w:val="22"/>
          <w:color w:val="auto"/>
        </w:rPr>
        <w:t>” has the meaning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11.2(a).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Reorganization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Buyer Retirement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set forth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6.9(e)(viii)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 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Buyer’s Knowledge</w:t>
      </w:r>
      <w:r>
        <w:rPr>
          <w:rFonts w:ascii="Times New Roman" w:cs="Times New Roman" w:eastAsia="Times New Roman" w:hAnsi="Times New Roman"/>
          <w:sz w:val="22"/>
          <w:szCs w:val="22"/>
          <w:color w:val="auto"/>
        </w:rPr>
        <w:t>” means the actual knowledge of the following Persons: Jeff DeGusti, General Manager, Treasury &amp; Risk, Jarrod Beztilny, Senior Vice President, Operations and Engineering, Martin Buller, Vice President, Corporate Development, and Alex Kuijper, Director, Corporate Development.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Canada Competition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Competition Act</w:t>
      </w:r>
      <w:r>
        <w:rPr>
          <w:rFonts w:ascii="Times New Roman" w:cs="Times New Roman" w:eastAsia="Times New Roman" w:hAnsi="Times New Roman"/>
          <w:sz w:val="22"/>
          <w:szCs w:val="22"/>
          <w:color w:val="auto"/>
        </w:rPr>
        <w:t>, R.S.C., 1985, c. C-34.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Canada Transportation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Canada Transportation Act</w:t>
      </w:r>
      <w:r>
        <w:rPr>
          <w:rFonts w:ascii="Times New Roman" w:cs="Times New Roman" w:eastAsia="Times New Roman" w:hAnsi="Times New Roman"/>
          <w:sz w:val="22"/>
          <w:szCs w:val="22"/>
          <w:color w:val="auto"/>
        </w:rPr>
        <w:t>, S.C. 1996, c. 10.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Tax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Canadian Tax Proceedings</w:t>
      </w:r>
      <w:r>
        <w:rPr>
          <w:rFonts w:ascii="Times New Roman" w:cs="Times New Roman" w:eastAsia="Times New Roman" w:hAnsi="Times New Roman"/>
          <w:sz w:val="22"/>
          <w:szCs w:val="22"/>
          <w:color w:val="auto"/>
        </w:rPr>
        <w:t xml:space="preserve">” means the items described in </w:t>
      </w:r>
      <w:r>
        <w:rPr>
          <w:rFonts w:ascii="Times New Roman" w:cs="Times New Roman" w:eastAsia="Times New Roman" w:hAnsi="Times New Roman"/>
          <w:sz w:val="22"/>
          <w:szCs w:val="22"/>
          <w:u w:val="single" w:color="auto"/>
          <w:color w:val="auto"/>
        </w:rPr>
        <w:t>Schedule 4.14(f)</w:t>
      </w:r>
      <w:r>
        <w:rPr>
          <w:rFonts w:ascii="Times New Roman" w:cs="Times New Roman" w:eastAsia="Times New Roman" w:hAnsi="Times New Roman"/>
          <w:sz w:val="22"/>
          <w:szCs w:val="22"/>
          <w:color w:val="auto"/>
        </w:rPr>
        <w:t xml:space="preserve"> of the Seller Disclosure Schedules.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Capex Adjustment Amount</w:t>
      </w:r>
      <w:r>
        <w:rPr>
          <w:rFonts w:ascii="Times New Roman" w:cs="Times New Roman" w:eastAsia="Times New Roman" w:hAnsi="Times New Roman"/>
          <w:sz w:val="22"/>
          <w:szCs w:val="22"/>
          <w:color w:val="auto"/>
        </w:rPr>
        <w:t xml:space="preserve">” means the aggregate amount of capital expenditures actually incurred and paid for by the Company Group during the period from and after the Execution Date up to but not including the month in which Closing occurs in respect of the Capital Projects and the maintenance capital program provided for in the Capex Forecast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aggregate amount of capital expenditures set forth in the Capex Forecast for the Capital Projects and such maintenance capital program during the period from and after the Execution Date up to but not including the month in which Closing occurs (which amount may be a positive or negative number).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Capex Forecast</w:t>
      </w:r>
      <w:r>
        <w:rPr>
          <w:rFonts w:ascii="Times New Roman" w:cs="Times New Roman" w:eastAsia="Times New Roman" w:hAnsi="Times New Roman"/>
          <w:sz w:val="22"/>
          <w:szCs w:val="22"/>
          <w:color w:val="auto"/>
        </w:rPr>
        <w:t xml:space="preserve">” means the monthly capital expenditure forecast for the period beginning June 2025 and ending on June 2026 with respect to each Capital Project and the Company Group’s maintenance capital program, as set forth in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 Forecast)</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Capital Project</w:t>
      </w:r>
      <w:r>
        <w:rPr>
          <w:rFonts w:ascii="Times New Roman" w:cs="Times New Roman" w:eastAsia="Times New Roman" w:hAnsi="Times New Roman"/>
          <w:sz w:val="22"/>
          <w:szCs w:val="22"/>
          <w:color w:val="auto"/>
        </w:rPr>
        <w:t>” means each project for which a capital expenditure forecast is provided in the Capex Forecast, including [definitions redacted – only used in other redacted provisions].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CBA</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Certificate Limit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Claim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Clean Team Agreement</w:t>
      </w:r>
      <w:r>
        <w:rPr>
          <w:rFonts w:ascii="Times New Roman" w:cs="Times New Roman" w:eastAsia="Times New Roman" w:hAnsi="Times New Roman"/>
          <w:sz w:val="22"/>
          <w:szCs w:val="22"/>
          <w:color w:val="auto"/>
        </w:rPr>
        <w:t>” means that certain Clean Team Confidentiality Agreement, dated as of [date redacted], by [parties redacted].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Operating NGL Inventory Adjustment Amount</w:t>
      </w:r>
      <w:r>
        <w:rPr>
          <w:rFonts w:ascii="Times New Roman" w:cs="Times New Roman" w:eastAsia="Times New Roman" w:hAnsi="Times New Roman"/>
          <w:sz w:val="22"/>
          <w:szCs w:val="22"/>
          <w:color w:val="auto"/>
        </w:rPr>
        <w:t>” means the amount (which may be a positive or negative number) of the difference in value between the Closing Operating NGL Inventory Volume and the Target Operating NGL Inventory Volume, as determined in accordance with the Inventory Valuation Methodology.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Operating NGL Inventory Volume</w:t>
      </w:r>
      <w:r>
        <w:rPr>
          <w:rFonts w:ascii="Times New Roman" w:cs="Times New Roman" w:eastAsia="Times New Roman" w:hAnsi="Times New Roman"/>
          <w:sz w:val="22"/>
          <w:szCs w:val="22"/>
          <w:color w:val="auto"/>
        </w:rPr>
        <w:t>” means the Operating NGL Inventory as of the Closing, as determined in accordance with the Inventory Valuation Methodology, without giving effect to the transactions contemplated hereby and by the other Transaction Documents.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Payment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65"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Closing Working Capital</w:t>
      </w:r>
      <w:r>
        <w:rPr>
          <w:rFonts w:ascii="Times New Roman" w:cs="Times New Roman" w:eastAsia="Times New Roman" w:hAnsi="Times New Roman"/>
          <w:sz w:val="22"/>
          <w:szCs w:val="22"/>
          <w:color w:val="auto"/>
        </w:rPr>
        <w:t>” means Working Capital as at the Measurement Time, determined in accordance with the Accounting Principles.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Collection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Collection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Commissioner</w:t>
      </w:r>
      <w:r>
        <w:rPr>
          <w:rFonts w:ascii="Times New Roman" w:cs="Times New Roman" w:eastAsia="Times New Roman" w:hAnsi="Times New Roman"/>
          <w:sz w:val="22"/>
          <w:szCs w:val="22"/>
          <w:color w:val="auto"/>
        </w:rPr>
        <w:t>” means the Commissioner of Competition appointed under section 7(1) of the Canada Competition Act or any Person authorized to exercise the powers and perform the duties of the Commissioner of Competition.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Benefit Plan</w:t>
      </w:r>
      <w:r>
        <w:rPr>
          <w:rFonts w:ascii="Times New Roman" w:cs="Times New Roman" w:eastAsia="Times New Roman" w:hAnsi="Times New Roman"/>
          <w:sz w:val="22"/>
          <w:szCs w:val="22"/>
          <w:color w:val="auto"/>
        </w:rPr>
        <w:t>” means a Benefit Plan that the Company Group is the sponsor of or participates in or has material Liability or obligations relating to, whether fixed or contingent.</w:t>
      </w:r>
    </w:p>
    <w:p>
      <w:pPr>
        <w:spacing w:after="0" w:line="14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Contractor</w:t>
      </w:r>
      <w:r>
        <w:rPr>
          <w:rFonts w:ascii="Times New Roman" w:cs="Times New Roman" w:eastAsia="Times New Roman" w:hAnsi="Times New Roman"/>
          <w:sz w:val="22"/>
          <w:szCs w:val="22"/>
          <w:color w:val="auto"/>
        </w:rPr>
        <w:t>” means any consultant, independent contractor and dependent contractor whose duties and functions relate primarily to the Business, determined as of the date of this Agreement, whether actively at work or not.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Released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Competition Act Approval</w:t>
      </w:r>
      <w:r>
        <w:rPr>
          <w:rFonts w:ascii="Times New Roman" w:cs="Times New Roman" w:eastAsia="Times New Roman" w:hAnsi="Times New Roman"/>
          <w:sz w:val="22"/>
          <w:szCs w:val="22"/>
          <w:color w:val="auto"/>
        </w:rPr>
        <w:t>” means that, with respect to the transactions contemplated by this Agreement, one of the following shall have occurred:</w:t>
      </w:r>
    </w:p>
    <w:p>
      <w:pPr>
        <w:spacing w:after="0" w:line="150" w:lineRule="exact"/>
        <w:rPr>
          <w:sz w:val="20"/>
          <w:szCs w:val="20"/>
          <w:color w:val="auto"/>
        </w:rPr>
      </w:pPr>
    </w:p>
    <w:p>
      <w:pPr>
        <w:jc w:val="both"/>
        <w:ind w:firstLine="1304"/>
        <w:spacing w:after="0" w:line="220"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of the relevant waiting period under section 123 of the Canada Competition Act shall have expired or been terminated by the Commissioner or the notification requirement shall have been waived pursuant to section 113(c) of the Canada Competition Act; and, unless waived in writing by Buyer at its sole discretion, the Commissioner shall have issued a No-Action Letter.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Commissioner shall have issued an ARC.</w:t>
      </w:r>
    </w:p>
    <w:p>
      <w:pPr>
        <w:spacing w:after="0" w:line="17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means the Confidentiality Agreement dated [date redacted], between [parties redacted], as amended.</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Confidentiality Agreements Termination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Continuing Non-Union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48"/>
        <w:spacing w:after="0" w:line="30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Contract</w:t>
      </w:r>
      <w:r>
        <w:rPr>
          <w:rFonts w:ascii="Times New Roman" w:cs="Times New Roman" w:eastAsia="Times New Roman" w:hAnsi="Times New Roman"/>
          <w:sz w:val="21"/>
          <w:szCs w:val="21"/>
          <w:color w:val="auto"/>
        </w:rPr>
        <w:t>” means any oral or written contract, agreement, commitment, undertaking, lease, license, instrument, evidence of indebtedness, indenture, letter of credit, security agreement or other written and legally binding arrangement or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65"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IT</w:t>
      </w:r>
      <w:r>
        <w:rPr>
          <w:rFonts w:ascii="Times New Roman" w:cs="Times New Roman" w:eastAsia="Times New Roman" w:hAnsi="Times New Roman"/>
          <w:sz w:val="22"/>
          <w:szCs w:val="22"/>
          <w:color w:val="auto"/>
        </w:rPr>
        <w:t>” means the information technology systems used in the Business, including computers, servers, mainframes, communications systems, cloud-based services and other computer-based systems and all other software (other than off-the-shelf software) and hardware used in connection therewith, whether owned or licensed.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CRA</w:t>
      </w:r>
      <w:r>
        <w:rPr>
          <w:rFonts w:ascii="Times New Roman" w:cs="Times New Roman" w:eastAsia="Times New Roman" w:hAnsi="Times New Roman"/>
          <w:sz w:val="22"/>
          <w:szCs w:val="22"/>
          <w:color w:val="auto"/>
        </w:rPr>
        <w:t>” means the Canada Revenue Agency.</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 Support</w:t>
      </w:r>
      <w:r>
        <w:rPr>
          <w:rFonts w:ascii="Times New Roman" w:cs="Times New Roman" w:eastAsia="Times New Roman" w:hAnsi="Times New Roman"/>
          <w:sz w:val="22"/>
          <w:szCs w:val="22"/>
          <w:color w:val="auto"/>
        </w:rPr>
        <w:t>” means the granting of any security interest, or any guarantee, letter of credit, surety or performance bond, or any other similar agreement or arrangement (including any security or collateral furnished in connection therewith).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Creditors’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 Oil Business</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CrudeCo</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CTA Approval</w:t>
      </w:r>
      <w:r>
        <w:rPr>
          <w:rFonts w:ascii="Times New Roman" w:cs="Times New Roman" w:eastAsia="Times New Roman" w:hAnsi="Times New Roman"/>
          <w:sz w:val="22"/>
          <w:szCs w:val="22"/>
          <w:color w:val="auto"/>
        </w:rPr>
        <w:t>” means that: the Minister of Transport referred to in the Canada Transportation Act shall, pursuant to section 53.1 of the Canada Transportation Act, have been notified of the transactions contemplated by this Agreement and shall have given notice to Buyer that she is of the opinion that the transactions contemplated by this Agreement do not raise issues with respect to the public interest as it relates to national transportation; or if the Minister of Transport is of the opinion that the transactions contemplated by this Agreement raise issues with respect to the public interest as it relates to national transportation, the Governor-in-Council shall have approved the transactions contemplated by this Agreement on terms and conditions acceptable to Buyer.</w:t>
      </w:r>
    </w:p>
    <w:p>
      <w:pPr>
        <w:spacing w:after="0" w:line="14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Data Room</w:t>
      </w:r>
      <w:r>
        <w:rPr>
          <w:rFonts w:ascii="Times New Roman" w:cs="Times New Roman" w:eastAsia="Times New Roman" w:hAnsi="Times New Roman"/>
          <w:sz w:val="22"/>
          <w:szCs w:val="22"/>
          <w:color w:val="auto"/>
        </w:rPr>
        <w:t>” means the electronic data room established by SmartRoom on behalf of Seller and to which Buyer and its representatives have had access in connection with the evaluation of the transactions contemplated by this Agreement.</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 Commitment Letter</w:t>
      </w:r>
      <w:r>
        <w:rPr>
          <w:rFonts w:ascii="Times New Roman" w:cs="Times New Roman" w:eastAsia="Times New Roman" w:hAnsi="Times New Roman"/>
          <w:sz w:val="22"/>
          <w:szCs w:val="22"/>
          <w:color w:val="auto"/>
        </w:rPr>
        <w:t>” means, collectively, the executed debt commitment letter as in effect on the Execution Date and delivered to Seller and related term sheets and fee letters to provide the bridge loan or other credit facility financing to Buyer, in each case, as amended, amended and restated, supplemented or otherwise modified from time to time to the extent permitted hereunder.</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Debt Financing Documents</w:t>
      </w:r>
      <w:r>
        <w:rPr>
          <w:rFonts w:ascii="Times New Roman" w:cs="Times New Roman" w:eastAsia="Times New Roman" w:hAnsi="Times New Roman"/>
          <w:sz w:val="22"/>
          <w:szCs w:val="22"/>
          <w:color w:val="auto"/>
        </w:rPr>
        <w:t>” means, collectively, any engagement letters and any agency, dealer and/or underwriting agreements between Buyer and any agents, dealers, underwriters or lenders providing for any public or private offering of any debt securities of Buyer, including without limitation medium term notes, hybrid notes or other notes or similar securities.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Direct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Disabling Code</w:t>
      </w:r>
      <w:r>
        <w:rPr>
          <w:rFonts w:ascii="Times New Roman" w:cs="Times New Roman" w:eastAsia="Times New Roman" w:hAnsi="Times New Roman"/>
          <w:sz w:val="22"/>
          <w:szCs w:val="22"/>
          <w:color w:val="auto"/>
        </w:rPr>
        <w:t>” means any clock, timer, counter, “back door”, “trap door”, “drop dead device”, “time bomb”, “logic bomb” “Trojan horse”, “virus”, “worm”, “spyware” or “adware” (as such terms are commonly understood in the software industry) or any other code, design, routine or instruction designed or intended to have, or capable of performing or facilitating, any of: (i) disrupting, disabling, harming or otherwise impeding in any manner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Disclosure Requirements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Disputed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Divestiture</w:t>
      </w:r>
      <w:r>
        <w:rPr>
          <w:rFonts w:ascii="Times New Roman" w:cs="Times New Roman" w:eastAsia="Times New Roman" w:hAnsi="Times New Roman"/>
          <w:sz w:val="22"/>
          <w:szCs w:val="22"/>
          <w:color w:val="auto"/>
        </w:rPr>
        <w:t>” means any divestiture or disposition, including by way of sale, sale of an undivided interest, license, sale of capacity or similar arrangement resulting in the loss of use or economic benefit, of any asset, business, or property for a period of [term redacted].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Draft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Employee List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Encumbrance</w:t>
      </w:r>
      <w:r>
        <w:rPr>
          <w:rFonts w:ascii="Times New Roman" w:cs="Times New Roman" w:eastAsia="Times New Roman" w:hAnsi="Times New Roman"/>
          <w:sz w:val="22"/>
          <w:szCs w:val="22"/>
          <w:color w:val="auto"/>
        </w:rPr>
        <w:t>” means any lien, charge, pledge, option, title defect or deficiency in title, mortgage, deed of trust, security interest, restriction (whether on voting, sale, transfer, disposition or otherwise), easement, or other encumbrance of any type or description, whether imposed by Law, agreement or otherwise.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w:t>
      </w:r>
      <w:r>
        <w:rPr>
          <w:rFonts w:ascii="Times New Roman" w:cs="Times New Roman" w:eastAsia="Times New Roman" w:hAnsi="Times New Roman"/>
          <w:sz w:val="22"/>
          <w:szCs w:val="22"/>
          <w:color w:val="auto"/>
        </w:rPr>
        <w:t xml:space="preserve">” means the natural components of the earth and includes: air, land and water; all layers of the atmosphere; all organic and inorganic matter and living organisms; and the interacting natural systems that include components referred to in </w:t>
      </w:r>
      <w:r>
        <w:rPr>
          <w:rFonts w:ascii="Times New Roman" w:cs="Times New Roman" w:eastAsia="Times New Roman" w:hAnsi="Times New Roman"/>
          <w:sz w:val="22"/>
          <w:szCs w:val="22"/>
          <w:u w:val="single" w:color="auto"/>
          <w:color w:val="auto"/>
        </w:rPr>
        <w:t>clauses 0</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22"/>
          <w:szCs w:val="22"/>
          <w:u w:val="single" w:color="auto"/>
          <w:color w:val="auto"/>
        </w:rPr>
        <w:t>0</w:t>
      </w:r>
      <w:r>
        <w:rPr>
          <w:rFonts w:ascii="Times New Roman" w:cs="Times New Roman" w:eastAsia="Times New Roman" w:hAnsi="Times New Roman"/>
          <w:sz w:val="22"/>
          <w:szCs w:val="22"/>
          <w:color w:val="auto"/>
        </w:rPr>
        <w:t xml:space="preserve"> of this definition.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Laws</w:t>
      </w:r>
      <w:r>
        <w:rPr>
          <w:rFonts w:ascii="Times New Roman" w:cs="Times New Roman" w:eastAsia="Times New Roman" w:hAnsi="Times New Roman"/>
          <w:sz w:val="22"/>
          <w:szCs w:val="22"/>
          <w:color w:val="auto"/>
        </w:rPr>
        <w:t>” means all applicable Laws, in force or existence, relating to the protection and preservation of the Environment, occupational health and safety (to the extent related to exposure to Hazardous Materials), or the handling, storage, discharge, Release or transportation of Hazardous Materials.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Equity Financing Documents</w:t>
      </w:r>
      <w:r>
        <w:rPr>
          <w:rFonts w:ascii="Times New Roman" w:cs="Times New Roman" w:eastAsia="Times New Roman" w:hAnsi="Times New Roman"/>
          <w:sz w:val="22"/>
          <w:szCs w:val="22"/>
          <w:color w:val="auto"/>
        </w:rPr>
        <w:t>” means, collectively, any engagement letters, bought deal letters, and any agency, dealer and/or underwriting agreements between Buyer and any agents, dealers or underwriters providing for any public or private offering of any equity securities of Buyer, including without limitation shares, subscription receipts or units consisting of two or more types of securities.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means the Employee Retirement Income Security Act of 1974, as amended.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Capex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Operating NGL Inventory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Operating NGL Inventory Volume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Estimated Closing Working Capital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Actions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Excluded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Execution Date</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Extension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Facilities</w:t>
      </w:r>
      <w:r>
        <w:rPr>
          <w:rFonts w:ascii="Times New Roman" w:cs="Times New Roman" w:eastAsia="Times New Roman" w:hAnsi="Times New Roman"/>
          <w:sz w:val="22"/>
          <w:szCs w:val="22"/>
          <w:color w:val="auto"/>
        </w:rPr>
        <w:t xml:space="preserve">” means the natural gas liquids facilities, other facilities and associated infrastructure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Fee Owned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Final Capex Adjustment</w:t>
      </w:r>
      <w:r>
        <w:rPr>
          <w:rFonts w:ascii="Times New Roman" w:cs="Times New Roman" w:eastAsia="Times New Roman" w:hAnsi="Times New Roman"/>
          <w:sz w:val="22"/>
          <w:szCs w:val="22"/>
          <w:color w:val="auto"/>
        </w:rPr>
        <w:t xml:space="preserve">” means the statement setting forth the Capex Adjustment Amount that is final and binding on Seller and Buyer, as determined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Guarantees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Periods</w:t>
      </w:r>
      <w:r>
        <w:rPr>
          <w:rFonts w:ascii="Times New Roman" w:cs="Times New Roman" w:eastAsia="Times New Roman" w:hAnsi="Times New Roman"/>
          <w:sz w:val="22"/>
          <w:szCs w:val="22"/>
          <w:color w:val="auto"/>
        </w:rPr>
        <w:t>” means each fiscal quarter (other than the fourth fiscal quarter) of the Company and each fiscal year of the Company.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Statement Date</w:t>
      </w:r>
      <w:r>
        <w:rPr>
          <w:rFonts w:ascii="Times New Roman" w:cs="Times New Roman" w:eastAsia="Times New Roman" w:hAnsi="Times New Roman"/>
          <w:sz w:val="22"/>
          <w:szCs w:val="22"/>
          <w:color w:val="auto"/>
        </w:rPr>
        <w:t>” means March 31, 2025.</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xml:space="preserve">” means the audited consolidated carve out financial statements as at and for the year ended December 31, 2024, including the auditors’ report and notes in respect thereof, the unaudited consolidated carve out financial statements as at and for the three (3) months ended March 31, 2025 and March 31, 2024 and the year ended December 31, 2023, together with such additional unaudited consolidated interim carve out financial statements and audited consolidated carve out financial statements prepared and delivered pursuant to </w:t>
      </w:r>
      <w:r>
        <w:rPr>
          <w:rFonts w:ascii="Times New Roman" w:cs="Times New Roman" w:eastAsia="Times New Roman" w:hAnsi="Times New Roman"/>
          <w:sz w:val="22"/>
          <w:szCs w:val="22"/>
          <w:u w:val="single" w:color="auto"/>
          <w:color w:val="auto"/>
        </w:rPr>
        <w:t>Section 6.20(a)(iii)</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Documents</w:t>
      </w:r>
      <w:r>
        <w:rPr>
          <w:rFonts w:ascii="Times New Roman" w:cs="Times New Roman" w:eastAsia="Times New Roman" w:hAnsi="Times New Roman"/>
          <w:sz w:val="22"/>
          <w:szCs w:val="22"/>
          <w:color w:val="auto"/>
        </w:rPr>
        <w:t>” means, collectively, the Debt Commitment Letter, the Debt Financing Documents and the Equity Financing Documents.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6.20(a)(ii)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Source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12.15(a)(ii).</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 Sources</w:t>
      </w:r>
      <w:r>
        <w:rPr>
          <w:rFonts w:ascii="Times New Roman" w:cs="Times New Roman" w:eastAsia="Times New Roman" w:hAnsi="Times New Roman"/>
          <w:sz w:val="22"/>
          <w:szCs w:val="22"/>
          <w:color w:val="auto"/>
        </w:rPr>
        <w:t>” means the agents, arrangers, dealers, lenders, underwriters and other Persons that have committed or been engaged to provide or arrange (including through soliciting purchasers of, or otherwise placing, debt or equity securities), or otherwise entered into agreements in connection with all or any part of, the Financings, including the parties to the Financing Documents, any joinder or counterpart agreements, indentures or credit agreements entered into in connection therewith, together with their respective affiliates and their and their respective affiliates’ officers, directors, employees, controlling persons, agents and representatives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6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Financings</w:t>
      </w:r>
      <w:r>
        <w:rPr>
          <w:rFonts w:ascii="Times New Roman" w:cs="Times New Roman" w:eastAsia="Times New Roman" w:hAnsi="Times New Roman"/>
          <w:sz w:val="22"/>
          <w:szCs w:val="22"/>
          <w:color w:val="auto"/>
        </w:rPr>
        <w:t>” means, collectively, any debt or equity financing the proceeds of which are intended to be used, all or in part, in connection with the Transaction, including without limitation any financing pursuant to the Debt Commitment Letter and any public or private offering of debt or equity securities of Buyer or any of its Affiliates pursuant to the Debt Financing Documents and the Equity Financing Documents, respectively.</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Flow-Through Taxes</w:t>
      </w:r>
      <w:r>
        <w:rPr>
          <w:rFonts w:ascii="Times New Roman" w:cs="Times New Roman" w:eastAsia="Times New Roman" w:hAnsi="Times New Roman"/>
          <w:sz w:val="22"/>
          <w:szCs w:val="22"/>
          <w:color w:val="auto"/>
        </w:rPr>
        <w:t>” means U.S. federal income Taxes and any other Taxes determined on a flow-through basis (i.e., reported at the entity level but with respect to which the direct or indirect owners of the entity must report the income or taxable item or are otherwise required to pay a Tax and report on their respective Tax Returns).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Frac Spread Hedge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8.2(o)</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Fraud</w:t>
      </w:r>
      <w:r>
        <w:rPr>
          <w:rFonts w:ascii="Times New Roman" w:cs="Times New Roman" w:eastAsia="Times New Roman" w:hAnsi="Times New Roman"/>
          <w:sz w:val="22"/>
          <w:szCs w:val="22"/>
          <w:color w:val="auto"/>
        </w:rPr>
        <w:t xml:space="preserve">” means, with respect to a Party regarding the representations and warranties of such Party made in this Agreement or any certificates delivered pursuant to this Agreement, that such representation, warranty or certification was (i) known by such Party to be false when made, (ii) made with intent to deceive and mislead such other Party, and (iii) relied upon by the other Party in entering into this Agreement (without regard to the acknowledgement of reliance in the introduction to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which reliance caused the other Party to suffer damage by reason of such reliance. For the avoidance of doubt, “Fraud” shall not include any claim for equitable fraud, constructive fraud, promissory fraud or any tort based on negligence or recklessness.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 consistently applied.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Approval</w:t>
      </w:r>
      <w:r>
        <w:rPr>
          <w:rFonts w:ascii="Times New Roman" w:cs="Times New Roman" w:eastAsia="Times New Roman" w:hAnsi="Times New Roman"/>
          <w:sz w:val="22"/>
          <w:szCs w:val="22"/>
          <w:color w:val="auto"/>
        </w:rPr>
        <w:t>” means any declaration or notification to, filing or registration with, or order, authorization, consent or approval of, any Governmental Entity.</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Governmental Entity</w:t>
      </w:r>
      <w:r>
        <w:rPr>
          <w:rFonts w:ascii="Times New Roman" w:cs="Times New Roman" w:eastAsia="Times New Roman" w:hAnsi="Times New Roman"/>
          <w:sz w:val="22"/>
          <w:szCs w:val="22"/>
          <w:color w:val="auto"/>
        </w:rPr>
        <w:t>” means any: court, agency, bureau or tribunal in any jurisdiction (domestic or foreign); any federal, provincial, state, municipal, local, foreign or other government or governmental body, agency, authority, department, commission, board, bureau, instrumentality, arbitrator or arbitral body; subdivision or authority of any of the foregoing; or quasi-governmental or private body exercising any regulatory, expropriation or taxing authority under or for the account of any of the foregoing.</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Hazardous Material</w:t>
      </w:r>
      <w:r>
        <w:rPr>
          <w:rFonts w:ascii="Times New Roman" w:cs="Times New Roman" w:eastAsia="Times New Roman" w:hAnsi="Times New Roman"/>
          <w:sz w:val="22"/>
          <w:szCs w:val="22"/>
          <w:color w:val="auto"/>
        </w:rPr>
        <w:t>” means waste, chemical, material, element, compound, contaminant or other substance that is listed as classified, designated, regulated or defined, under any Environmental Law (now or hereinafter in effect), as hazardous, toxic, radioactive, a pollutant, a contaminant or words of similar import; and any petroleum, petroleum product or byproduct, petroleum derivatives, natural gas or any natural gas-derived substances, wastes or breakdown products, natural gas liquids and by-products, asbestos, urea formaldehyde and polychlorinated biphenyls.</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 xml:space="preserve">“Hedge Contract” </w:t>
      </w:r>
      <w:r>
        <w:rPr>
          <w:rFonts w:ascii="Times New Roman" w:cs="Times New Roman" w:eastAsia="Times New Roman" w:hAnsi="Times New Roman"/>
          <w:sz w:val="22"/>
          <w:szCs w:val="22"/>
          <w:color w:val="auto"/>
        </w:rPr>
        <w:t>means any swap transaction, option, swaption, warrant, forward purchase or sale transaction, futures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 cap transaction, or collar transaction relating to one or more currencies, commodities (including natural gas and natural gas liquids), bonds, equity securities, loans, interest rates, credit-related events or conditions or any indexes, or any other similar transaction (including any put, call, “over the counter”, exchange-traded, or other option with respect to any of these transactions) or combination of any of these transactions entered into by the Company Group in relation to the Business.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6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Hydrocarbon</w:t>
      </w:r>
      <w:r>
        <w:rPr>
          <w:rFonts w:ascii="Times New Roman" w:cs="Times New Roman" w:eastAsia="Times New Roman" w:hAnsi="Times New Roman"/>
          <w:sz w:val="22"/>
          <w:szCs w:val="22"/>
          <w:color w:val="auto"/>
        </w:rPr>
        <w:t>” means any and all hydrocarbons, whether raw, processed, refined or otherwise, including bitumen, crude oil, natural gas, natural gas liquids, synthetic crude and diluents, gasoline, diesel, naptha, and other fuels, lubricants and other petroleum substances and products that may be produced or commingled therewith.</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in effect from time to time, consistently applied.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w:t>
      </w:r>
      <w:r>
        <w:rPr>
          <w:rFonts w:ascii="Times New Roman" w:cs="Times New Roman" w:eastAsia="Times New Roman" w:hAnsi="Times New Roman"/>
          <w:sz w:val="22"/>
          <w:szCs w:val="22"/>
          <w:color w:val="auto"/>
        </w:rPr>
        <w:t>” means, with respect to any Person, all of such Person’s present and future Indebtedness for Borrowed Money and any obligations arising in respect of any hedge, swap, financial arrangement or similar arrangement.</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Indebtedness for Borrowed Money</w:t>
      </w:r>
      <w:r>
        <w:rPr>
          <w:rFonts w:ascii="Times New Roman" w:cs="Times New Roman" w:eastAsia="Times New Roman" w:hAnsi="Times New Roman"/>
          <w:sz w:val="22"/>
          <w:szCs w:val="22"/>
          <w:color w:val="auto"/>
        </w:rPr>
        <w:t xml:space="preserve">” means, with respect to any Person and without duplication, all obligations of such Person to any other Person for borrowed money, including any obligation to reimburse any bank or other Person in respect of amounts paid or payable under a standby letter of credit or any guarantee with respect to indebtedness for borrowed money of another Person,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obligations related to any letter of credit (or reimbursement agreement) shall constitute Indebtedness for Borrowed Money only to the extent that such letter of credit is drawn and not repaid (or if the beneficiary is entitled to draw thereon) with respect to events occurring prior to the Closing.</w:t>
      </w:r>
    </w:p>
    <w:p>
      <w:pPr>
        <w:spacing w:after="0" w:line="146"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Accountants</w:t>
      </w:r>
      <w:r>
        <w:rPr>
          <w:rFonts w:ascii="Times New Roman" w:cs="Times New Roman" w:eastAsia="Times New Roman" w:hAnsi="Times New Roman"/>
          <w:sz w:val="22"/>
          <w:szCs w:val="22"/>
          <w:color w:val="auto"/>
        </w:rPr>
        <w:t xml:space="preserve">” means KPMG LLP or if such firm is unwilling or unable to fulfill such role, another independent certified public accounting firm in Canada or the United States of national reputation mutually acceptable to Buyer and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firm is not the auditor of Seller, Buyer or their respective Affiliates or if Buyer and Seller are unable to agree upon another such firm within ten (10) Business Days after the end of the Resolution Period, then within an additional ten (10) Business Days, Buyer and Seller shall each select one such firm and those two (2) firms shall, within ten (10) Business Days after their selection, select a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such firm, which such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firm shall act as the Independent Accountants hereunder.</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Intellectual Property</w:t>
      </w:r>
      <w:r>
        <w:rPr>
          <w:rFonts w:ascii="Times New Roman" w:cs="Times New Roman" w:eastAsia="Times New Roman" w:hAnsi="Times New Roman"/>
          <w:sz w:val="22"/>
          <w:szCs w:val="22"/>
          <w:color w:val="auto"/>
        </w:rPr>
        <w:t>” means any and all intellectual property rights, including: trademarks, trade names, service marks and service names, including the goodwill connected with the use of and symbolized by the foregoing; copyrights; trade secrets and confidential know-how; patents; internet domain name registrations; all other intellectual property and related proprietary rights, interests and protections; and all applications and registrations related to any of the foregoing.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Intended U.S. Tax Treatment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Interest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Interim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Interim Period Exceptions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 Measurement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Inventory Measurement Procedures</w:t>
      </w:r>
      <w:r>
        <w:rPr>
          <w:rFonts w:ascii="Times New Roman" w:cs="Times New Roman" w:eastAsia="Times New Roman" w:hAnsi="Times New Roman"/>
          <w:sz w:val="22"/>
          <w:szCs w:val="22"/>
          <w:color w:val="auto"/>
        </w:rPr>
        <w:t xml:space="preserve">” means those inventory measurement procedures set forth in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Inventory Valuation Methodology</w:t>
      </w:r>
      <w:r>
        <w:rPr>
          <w:rFonts w:ascii="Times New Roman" w:cs="Times New Roman" w:eastAsia="Times New Roman" w:hAnsi="Times New Roman"/>
          <w:sz w:val="21"/>
          <w:szCs w:val="21"/>
          <w:color w:val="auto"/>
        </w:rPr>
        <w:t xml:space="preserve">” means those inventory valuation calculation methodologies set forth in </w:t>
      </w:r>
      <w:r>
        <w:rPr>
          <w:rFonts w:ascii="Times New Roman" w:cs="Times New Roman" w:eastAsia="Times New Roman" w:hAnsi="Times New Roman"/>
          <w:sz w:val="21"/>
          <w:szCs w:val="21"/>
          <w:u w:val="single" w:color="auto"/>
          <w:color w:val="auto"/>
        </w:rPr>
        <w:t>Exhibit H-2</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IRS</w:t>
      </w:r>
      <w:r>
        <w:rPr>
          <w:rFonts w:ascii="Times New Roman" w:cs="Times New Roman" w:eastAsia="Times New Roman" w:hAnsi="Times New Roman"/>
          <w:sz w:val="22"/>
          <w:szCs w:val="22"/>
          <w:color w:val="auto"/>
        </w:rPr>
        <w:t>” means the U.S. Internal Revenue Service.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Key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Keyera Partnership</w:t>
      </w:r>
      <w:r>
        <w:rPr>
          <w:rFonts w:ascii="Times New Roman" w:cs="Times New Roman" w:eastAsia="Times New Roman" w:hAnsi="Times New Roman"/>
          <w:sz w:val="22"/>
          <w:szCs w:val="22"/>
          <w:color w:val="auto"/>
        </w:rPr>
        <w:t>” means Keyera Partnership, an Alberta general partnership.</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 means any constitution, statute, code, law, rule, or regulation, or any judgment, order, ordinance, writ, injunction, or decree of any Governmental Entity.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171717"/>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Leave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171717"/>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Liability</w:t>
      </w:r>
      <w:r>
        <w:rPr>
          <w:rFonts w:ascii="Times New Roman" w:cs="Times New Roman" w:eastAsia="Times New Roman" w:hAnsi="Times New Roman"/>
          <w:sz w:val="22"/>
          <w:szCs w:val="22"/>
          <w:color w:val="auto"/>
        </w:rPr>
        <w:t>” means any debts, obligations, duties, guarantees or liabilities of any nature (whether known or unknown, whether asserted or unasserted, whether absolute or contingent, whether accrued or unaccrued, whether liquidated or unliquidated and whether due or to become due), regardless of whether any such debts, obligations, duties, guarantees or liabilities would be required to be disclosed on a balance sheet prepared in accordance with GAAP.</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Line Fill</w:t>
      </w:r>
      <w:r>
        <w:rPr>
          <w:rFonts w:ascii="Times New Roman" w:cs="Times New Roman" w:eastAsia="Times New Roman" w:hAnsi="Times New Roman"/>
          <w:sz w:val="22"/>
          <w:szCs w:val="22"/>
          <w:color w:val="auto"/>
        </w:rPr>
        <w:t>” means the aggregate volume of NGLs owned by the Company Group that are held within Company Group owned assets, that are: (a) utilized as tank/cavern bottoms; (b) held within pipelines that are required for operational purposes, including the volume required to fill the pipeline; or (c) any volume of working stock needed for efficient operation and scheduling; and which are not available for sale in the ordinary course of business within twelve (12) months from the Closing Date.</w:t>
      </w:r>
    </w:p>
    <w:p>
      <w:pPr>
        <w:spacing w:after="0" w:line="14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Long Term Inventory</w:t>
      </w:r>
      <w:r>
        <w:rPr>
          <w:rFonts w:ascii="Times New Roman" w:cs="Times New Roman" w:eastAsia="Times New Roman" w:hAnsi="Times New Roman"/>
          <w:sz w:val="21"/>
          <w:szCs w:val="21"/>
          <w:color w:val="auto"/>
        </w:rPr>
        <w:t>” means the aggregate volume of NGLs owned by the Company Group that are held within Third Party facilities, pipelines and equipment that are: (a) required for operation of any of those facilities, pipelines or equipment; or</w:t>
      </w:r>
    </w:p>
    <w:p>
      <w:pPr>
        <w:spacing w:after="0" w:line="1" w:lineRule="exact"/>
        <w:rPr>
          <w:sz w:val="20"/>
          <w:szCs w:val="20"/>
          <w:color w:val="auto"/>
        </w:rPr>
      </w:pPr>
    </w:p>
    <w:p>
      <w:pPr>
        <w:ind w:firstLine="8"/>
        <w:spacing w:after="0" w:line="225" w:lineRule="auto"/>
        <w:tabs>
          <w:tab w:leader="none" w:pos="34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for rail car transportation; and which are not available for sale in the ordinary course of business within [term redacted] from the Closing Date.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Loss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Losses</w:t>
      </w:r>
      <w:r>
        <w:rPr>
          <w:rFonts w:ascii="Times New Roman" w:cs="Times New Roman" w:eastAsia="Times New Roman" w:hAnsi="Times New Roman"/>
          <w:sz w:val="22"/>
          <w:szCs w:val="22"/>
          <w:color w:val="auto"/>
        </w:rPr>
        <w:t>” means any and all losses, claims, damages, Liabilities, causes of action, litigation, administrative proceedings, administrative investigations, judgments, Taxes, costs and expenses (including fines, penalties and reasonable attorneys’ fees and expenses).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Mandatory Disclosure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 means any event, change, occurrence, circumstance, development, fact, effect or condition (whether or not foreseeable or known as of the Closing or covered by insurance) that, individually or in the aggregate, is or would reasonably be expected to have a material adverse effect on:</w:t>
      </w:r>
    </w:p>
    <w:p>
      <w:pPr>
        <w:spacing w:after="0" w:line="152" w:lineRule="exact"/>
        <w:rPr>
          <w:sz w:val="20"/>
          <w:szCs w:val="20"/>
          <w:color w:val="auto"/>
        </w:rPr>
      </w:pPr>
    </w:p>
    <w:p>
      <w:pPr>
        <w:jc w:val="both"/>
        <w:ind w:firstLine="1304"/>
        <w:spacing w:after="0" w:line="225" w:lineRule="auto"/>
        <w:tabs>
          <w:tab w:leader="none" w:pos="194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financial condition, operations, results of operations or business of the Company Group, taken as a whole, excluding any impact on any Seller Retained Assets or the financial condition, operations, results of operations, or business related thereto; or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Seller to consummate any transaction contemplated by this Agreement or any Transaction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“Material Adverse Effect” shall not include any event, change, occurrence, circumstance,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development, fact, effect or condition, directly or indirectly, arising out of or attributable to:</w:t>
      </w:r>
    </w:p>
    <w:p>
      <w:pPr>
        <w:spacing w:after="0" w:line="126" w:lineRule="exact"/>
        <w:rPr>
          <w:sz w:val="20"/>
          <w:szCs w:val="20"/>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economic or political conditions;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conditions generally affecting the industries, markets or geographical area in which any member of the Company Group operates, including any changes in commodities or raw material prices (including any change in the prices of any Hydrocarbon products or their derivatives or the demand for related gathering, processing, transportation and storage services or the production or curtailment of oil, bitumen, natural gas, natural gas liquids or other Hydrocarbon);</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changes in financial or securities markets in general and any fluctuations in currency exchange</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rates;</w:t>
      </w:r>
    </w:p>
    <w:p>
      <w:pPr>
        <w:spacing w:after="0" w:line="155"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local, regional, national or international political or social conditions, including acts of war (whether or not declared), armed hostilities or terrorism (including cyberterrorism), or the escalation or worsening thereof, whether or not occurring or commenced before or after the Execution Date;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national emergency or the occurrence of any other calamity or crisis, including pandemics, acts of God, earthquakes, hurricanes, tornados or other natural disasters, changes in weather or climate in general or weather-related or other force majeure events;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changes in applicable Law, including new or increased cross-border trade restrictions, tariffs, or similar Taxes on international imports or exports, or changes in accounting rules, including GAAP or regulatory accounting requirements or interpretations thereof, or any other change or effect arising out of or relating to the Canadian Tax Proceedings or any Proceeding relating to the Required Regulatory Approvals;</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execution, public announcement, pendency or completion of the transactions contemplated by this Agreement;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6"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effect resulting from any omission or action taken by Buyer or any Affiliate of Buyer, including any communication by Buyer or any of its Affiliates of its plans or intentions (including in respect of employees) with respect to any of the businesses of the Company Group, including losses or threatened losses of, or any adverse change in the relationship (whether contractual or otherwise) with employees, independent contractors, customers, suppliers, distributors, financing sources, joint venture partners, licensors, licensees or others having relationships with the Company Group and the initiation of litigation or other administrative proceedings by any Person with respect to this Agreement or any of the transactions contemplated hereby;</w:t>
      </w:r>
    </w:p>
    <w:p>
      <w:pPr>
        <w:spacing w:after="0" w:line="15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 expressly referenced in the Seller Disclosure Schedules;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67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taking of any action required by this Agreement, the taking of any action prohibited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which, if taken by the Company Group, would prevent or mitigate any resulting material adverse effect on the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71" w:lineRule="exact"/>
        <w:rPr>
          <w:sz w:val="20"/>
          <w:szCs w:val="20"/>
          <w:color w:val="auto"/>
        </w:rPr>
      </w:pPr>
    </w:p>
    <w:p>
      <w:pPr>
        <w:ind w:left="1300" w:right="20"/>
        <w:spacing w:after="0" w:line="236" w:lineRule="auto"/>
        <w:rPr>
          <w:sz w:val="20"/>
          <w:szCs w:val="20"/>
          <w:color w:val="auto"/>
        </w:rPr>
      </w:pPr>
      <w:r>
        <w:rPr>
          <w:rFonts w:ascii="Times New Roman" w:cs="Times New Roman" w:eastAsia="Times New Roman" w:hAnsi="Times New Roman"/>
          <w:sz w:val="22"/>
          <w:szCs w:val="22"/>
          <w:color w:val="auto"/>
        </w:rPr>
        <w:t>operations or financial condition of the Company Group taken as a whole or any other action taken by Seller or the Company Group at the request or with the written consent of Buyer;</w:t>
      </w:r>
    </w:p>
    <w:p>
      <w:pPr>
        <w:spacing w:after="0" w:line="150" w:lineRule="exact"/>
        <w:rPr>
          <w:sz w:val="20"/>
          <w:szCs w:val="20"/>
          <w:color w:val="auto"/>
        </w:rPr>
      </w:pPr>
    </w:p>
    <w:p>
      <w:pPr>
        <w:jc w:val="both"/>
        <w:ind w:left="1300" w:firstLine="652"/>
        <w:spacing w:after="0" w:line="225"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required to be taken under any Law, the Canadian Tax Proceeding, any Proceeding relating to the Required Regulatory Approvals or any existing Contract by which any member of the Company Group (or any of their respective assets) is bound;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in and of itself, by any member of the Company Group to meet any internal projections or forecasts (it being understood that, with respect to this </w:t>
      </w:r>
      <w:r>
        <w:rPr>
          <w:rFonts w:ascii="Times New Roman" w:cs="Times New Roman" w:eastAsia="Times New Roman" w:hAnsi="Times New Roman"/>
          <w:sz w:val="22"/>
          <w:szCs w:val="22"/>
          <w:u w:val="single" w:color="auto"/>
          <w:color w:val="auto"/>
        </w:rPr>
        <w:t>clause (xii)</w:t>
      </w:r>
      <w:r>
        <w:rPr>
          <w:rFonts w:ascii="Times New Roman" w:cs="Times New Roman" w:eastAsia="Times New Roman" w:hAnsi="Times New Roman"/>
          <w:sz w:val="22"/>
          <w:szCs w:val="22"/>
          <w:color w:val="auto"/>
        </w:rPr>
        <w:t>, the facts or circumstances giving rise or contributing to such failure to meet any internal projections or forecasts may be deemed to constitute, or be taken into account in determining whether there has been, a Material Adverse Effect, subject to the other provisions of this definition);</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prospective owner of the Company Group is Buyer;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the HSR Act (including any action or judgment arising under the HSR Act), the Canada Competition Act (including any action or judgment arising under the Canada Competition Act) or the Canada Transportation Act (including any action or judgment arising under the Canada Transportation Act) to the transactions contemplated by this Agreement;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seasonal changes in the results of operations of any member of the Company Group;</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damage to or destruction of any assets or properties of the Company Group occurring after the Execution Date to the extent fully covered by insurance (other than the applicable deductible); and</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labor conditions in the industries or markets in which any member of the Company Group operates;</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exclusions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(xv)</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(xvii)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apply to the extent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is disproportionately adversely affected by any change, effect, event, occurrence, state of facts or development relative to other participants in the industries in which the Company Group operates. For the avoidance of doubt, a “Material Adverse Effect” shall not be measured against any forward-looking statements, projections or forecasts of the Company Group or any other Person.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Contract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Material Contracts</w:t>
      </w:r>
      <w:r>
        <w:rPr>
          <w:rFonts w:ascii="Times New Roman" w:cs="Times New Roman" w:eastAsia="Times New Roman" w:hAnsi="Times New Roman"/>
          <w:sz w:val="22"/>
          <w:szCs w:val="22"/>
          <w:color w:val="auto"/>
        </w:rPr>
        <w:t xml:space="preserve">” have the meaning set forth in </w:t>
      </w:r>
      <w:r>
        <w:rPr>
          <w:rFonts w:ascii="Times New Roman" w:cs="Times New Roman" w:eastAsia="Times New Roman" w:hAnsi="Times New Roman"/>
          <w:sz w:val="22"/>
          <w:szCs w:val="22"/>
          <w:u w:val="single" w:color="auto"/>
          <w:color w:val="auto"/>
        </w:rPr>
        <w:t>Section 4.18(a)</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Measurement Time</w:t>
      </w:r>
      <w:r>
        <w:rPr>
          <w:rFonts w:ascii="Times New Roman" w:cs="Times New Roman" w:eastAsia="Times New Roman" w:hAnsi="Times New Roman"/>
          <w:sz w:val="22"/>
          <w:szCs w:val="22"/>
          <w:color w:val="auto"/>
        </w:rPr>
        <w:t>” means immediately prior to Closing, but after the Pre-Closing Reorganization.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Multiemployer Plan</w:t>
      </w:r>
      <w:r>
        <w:rPr>
          <w:rFonts w:ascii="Times New Roman" w:cs="Times New Roman" w:eastAsia="Times New Roman" w:hAnsi="Times New Roman"/>
          <w:sz w:val="22"/>
          <w:szCs w:val="22"/>
          <w:color w:val="auto"/>
        </w:rPr>
        <w:t>” means a plan within the meaning of Section 3(37) or 4001(a)(3)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65"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w:t>
      </w:r>
      <w:r>
        <w:rPr>
          <w:rFonts w:ascii="Times New Roman" w:cs="Times New Roman" w:eastAsia="Times New Roman" w:hAnsi="Times New Roman"/>
          <w:sz w:val="22"/>
          <w:szCs w:val="22"/>
          <w:color w:val="auto"/>
        </w:rPr>
        <w:t>” means ethane, propane, normal butane, iso-butane, pentanes and heavier hydrocarbons, frac oil, solvent and synthetic crude oil used for batch segregation purposes, or any combination thereof, and other substances found in small quantities in the foregoing substances.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 Custody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NGL Inventory</w:t>
      </w:r>
      <w:r>
        <w:rPr>
          <w:rFonts w:ascii="Times New Roman" w:cs="Times New Roman" w:eastAsia="Times New Roman" w:hAnsi="Times New Roman"/>
          <w:sz w:val="22"/>
          <w:szCs w:val="22"/>
          <w:color w:val="auto"/>
        </w:rPr>
        <w:t>” means all NGL owned by the Company Group as of the applicable time.</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No-Action Letter</w:t>
      </w:r>
      <w:r>
        <w:rPr>
          <w:rFonts w:ascii="Times New Roman" w:cs="Times New Roman" w:eastAsia="Times New Roman" w:hAnsi="Times New Roman"/>
          <w:sz w:val="22"/>
          <w:szCs w:val="22"/>
          <w:color w:val="auto"/>
        </w:rPr>
        <w:t>” means notice by the Commissioner that it does not, at that time, intend to make an application under section 92 of the Competition Act in respect of the transactions contemplated by this Agreement.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Non-Disclosed Material Contract</w:t>
      </w:r>
      <w:r>
        <w:rPr>
          <w:rFonts w:ascii="Times New Roman" w:cs="Times New Roman" w:eastAsia="Times New Roman" w:hAnsi="Times New Roman"/>
          <w:sz w:val="22"/>
          <w:szCs w:val="22"/>
          <w:color w:val="auto"/>
        </w:rPr>
        <w:t>” means all or any portion of any Material Contract that requires redaction or cannot otherwise be disclosed to Buyer due to confidentiality restrictions set forth therein.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Nonparty Affiliate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Operating NGL Inventory</w:t>
      </w:r>
      <w:r>
        <w:rPr>
          <w:rFonts w:ascii="Times New Roman" w:cs="Times New Roman" w:eastAsia="Times New Roman" w:hAnsi="Times New Roman"/>
          <w:sz w:val="22"/>
          <w:szCs w:val="22"/>
          <w:color w:val="auto"/>
        </w:rPr>
        <w:t>” means the NGL Inventory less the sum of the Line Fill and the Long Term Inventory.</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Organizational Documents</w:t>
      </w:r>
      <w:r>
        <w:rPr>
          <w:rFonts w:ascii="Times New Roman" w:cs="Times New Roman" w:eastAsia="Times New Roman" w:hAnsi="Times New Roman"/>
          <w:sz w:val="22"/>
          <w:szCs w:val="22"/>
          <w:color w:val="auto"/>
        </w:rPr>
        <w:t>” means the articles or certificate of incorporation and bylaws of a corporation; the certificate of formation and limited liability company agreement of a limited liability company; the limited partnership agreement and a declaration or certificate of limited partnership of a limited partnership, or the partnership agreement of a general partnership; any charter or similar document adopted or filed in connection with the creation, formation, or organization of any Person; and any amendment to any of the foregoing.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Indemnitors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Other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Overlapping Credit Support</w:t>
      </w:r>
      <w:r>
        <w:rPr>
          <w:rFonts w:ascii="Times New Roman" w:cs="Times New Roman" w:eastAsia="Times New Roman" w:hAnsi="Times New Roman"/>
          <w:sz w:val="22"/>
          <w:szCs w:val="22"/>
          <w:color w:val="auto"/>
        </w:rPr>
        <w:t>” means Credit Support in respect of which CrudeCo and any member of the Company Group are beneficiaries.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PAA Luxembourg</w:t>
      </w:r>
      <w:r>
        <w:rPr>
          <w:rFonts w:ascii="Times New Roman" w:cs="Times New Roman" w:eastAsia="Times New Roman" w:hAnsi="Times New Roman"/>
          <w:sz w:val="22"/>
          <w:szCs w:val="22"/>
          <w:color w:val="auto"/>
        </w:rPr>
        <w:t>” means PAA Luxembourg, a Luxembourg société à responsabilité limitée.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PAGP</w:t>
      </w:r>
      <w:r>
        <w:rPr>
          <w:rFonts w:ascii="Times New Roman" w:cs="Times New Roman" w:eastAsia="Times New Roman" w:hAnsi="Times New Roman"/>
          <w:sz w:val="22"/>
          <w:szCs w:val="22"/>
          <w:color w:val="auto"/>
        </w:rPr>
        <w:t>” has the meaning set forth in the definition of “Affiliate”.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Pension Benefit Guaranty Corporation</w:t>
      </w:r>
      <w:r>
        <w:rPr>
          <w:rFonts w:ascii="Times New Roman" w:cs="Times New Roman" w:eastAsia="Times New Roman" w:hAnsi="Times New Roman"/>
          <w:sz w:val="22"/>
          <w:szCs w:val="22"/>
          <w:color w:val="auto"/>
        </w:rPr>
        <w:t>” means the Pension Benefit Guaranty Corporation established pursuant to Subtitle A of Title IV of ERISA or any successor thereto.</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Permits</w:t>
      </w:r>
      <w:r>
        <w:rPr>
          <w:rFonts w:ascii="Times New Roman" w:cs="Times New Roman" w:eastAsia="Times New Roman" w:hAnsi="Times New Roman"/>
          <w:sz w:val="22"/>
          <w:szCs w:val="22"/>
          <w:color w:val="auto"/>
        </w:rPr>
        <w:t>” means licenses, permits, franchises, consents, approvals, concessions, clearances, variances, orders, exemptions, waivers and other authorizations of or from Governmental Entities, other than Other Real Property.</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Amendments</w:t>
      </w:r>
      <w:r>
        <w:rPr>
          <w:rFonts w:ascii="Times New Roman" w:cs="Times New Roman" w:eastAsia="Times New Roman" w:hAnsi="Times New Roman"/>
          <w:sz w:val="22"/>
          <w:szCs w:val="22"/>
          <w:color w:val="auto"/>
        </w:rPr>
        <w:t xml:space="preserve">” means changes that could not reasonably be expected to have an adverse effect, or could reasonably be expected to have only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adverse effects, on Buyer’s ownership and operation of the Business following the Closing; changes that could reasonably be expected to have an adverse effect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effects) on Buyer’s ownership and operation of the Business following the Closing and for which Seller has obtained the prior written consent of Buyer (not to be unreasonably withheld, conditioned or delayed); and changes that could not reasonably be expected to create a material Tax liability for the Buyer or the Company Group incremental to the anticipated Tax liability arising from the transactions described in the Reorganization Summary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or have an adverse effect (except for de minimis effects) on the Tax Pool Balance or the tax efficiency and structure of the Company Group following Closing.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Permitted Encumbrances</w:t>
      </w:r>
      <w:r>
        <w:rPr>
          <w:rFonts w:ascii="Times New Roman" w:cs="Times New Roman" w:eastAsia="Times New Roman" w:hAnsi="Times New Roman"/>
          <w:sz w:val="22"/>
          <w:szCs w:val="22"/>
          <w:color w:val="auto"/>
        </w:rPr>
        <w:t>” means:</w:t>
      </w:r>
    </w:p>
    <w:p>
      <w:pPr>
        <w:spacing w:after="0" w:line="185" w:lineRule="exact"/>
        <w:rPr>
          <w:sz w:val="20"/>
          <w:szCs w:val="20"/>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delinquent, or that are being contested in good faith under rules, policies and procedures provided under applicable Law and, in each case, where an amount is required to be reserved under GAAP, for which adequate reserves under GAAP have been established in the Financial Statements;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liens (including materialmen’s, carriers’, workers’, contractors’, subcontractors, employees’, warehousemen’s, mechanics’, repairmen’s, landlord’s and other similar liens) arising in the ordinary course of business consistent with past practice relating to obligations as to which there is no default on the part of any member of the Company Group or securing payments of the Company Group not yet delinquent;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encumbering the fee interest of those tracts of real property encumbered by Other Real Property, filed in the appropriate public records or otherwise made available to Buyer or subordinate to the interest of the Company Group in such Other Real Property;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or other similar Encumbrances encumbering the Real Property, those filed in the appropriate public records or otherwise made available to Buyer either (i) prior to the Execution Date, (ii) are subordinate to the interest of the Company Group, and (iii) and which do not materially adversely affect the use and enjoyment of the Real Property taken as a whole, or subordinate to the interest of the Company Group in each such easement, right-of-way, or other similar right or Encumbrances;</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Laws and rights reserved to or vested in any Governmental Entity (including reservations, limitations, exceptions, provisos and conditions, if any, expressed in any original grants from the Crown or the State, any conditions implied by Law, and zoning and land use Laws and rights), but only to the extent that there exists no material violation of any such Laws or rights and such Laws and rights do not, individually or in the aggregate, materially interfere with or impair the present operation of the business of Company Group;</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4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rights of lessors under the Real Property Leases and rights of lessees under leases set forth or described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of the Seller Disclosure Schedules;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Encumbrances, defects, irregularities or other matters set forth or described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of the Seller Disclosure Schedules, disclosed in materials made available to Buyer in the Data Room prior to the Execution Date in the section thereof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“Permitted Encumbrances” or that are consented to by Buyer or expressly waived, cured, or otherwise discharged at or prior to Closing (to Buyer’s reasonable satisfaction);</w:t>
      </w:r>
    </w:p>
    <w:p>
      <w:pPr>
        <w:spacing w:after="0" w:line="150" w:lineRule="exact"/>
        <w:rPr>
          <w:sz w:val="20"/>
          <w:szCs w:val="20"/>
          <w:color w:val="auto"/>
        </w:rPr>
      </w:pPr>
    </w:p>
    <w:p>
      <w:pPr>
        <w:ind w:firstLine="1304"/>
        <w:spacing w:after="0" w:line="236"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Encumbrances, defects, irregularities or other matters that are expressly waived or consented to, in writing, by Buyer, or that Seller or Seller’s Counsel agree to discharge at or prior to Closing;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conditions of this Agreement or any other Transaction Document;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obligation, burden or defect disclosed and/or shown on any title insurance policy insuring Real Property or Other Real Property in the Data Room prior to the Execution Date or that is insured, by affirmative coverage, endorsement, or otherwise by any existing title insurance policies insuring Real Property or Other Real Property;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such title insurance policy, documentation of affirmative coverage or endorsement will survive Closing and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been made available to Buyer in the Data Room prior to the Execution Date;</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utility easements, and minor defects, imperfections or irregularities of title, duly filed in the appropriate public records or otherwise made available to Buyer;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liens and liens securing rental payments under capital lease arrangements, to the extent identified in </w:t>
      </w:r>
      <w:r>
        <w:rPr>
          <w:rFonts w:ascii="Times New Roman" w:cs="Times New Roman" w:eastAsia="Times New Roman" w:hAnsi="Times New Roman"/>
          <w:sz w:val="22"/>
          <w:szCs w:val="22"/>
          <w:u w:val="single" w:color="auto"/>
          <w:color w:val="auto"/>
        </w:rPr>
        <w:t>Schedule 1.1(c)</w:t>
      </w:r>
      <w:r>
        <w:rPr>
          <w:rFonts w:ascii="Times New Roman" w:cs="Times New Roman" w:eastAsia="Times New Roman" w:hAnsi="Times New Roman"/>
          <w:sz w:val="22"/>
          <w:szCs w:val="22"/>
          <w:color w:val="auto"/>
        </w:rPr>
        <w:t xml:space="preserve"> or arising after the Execution Date in accordance with the terms hereof;</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preferential purchase rights and other similar arrangements with respect to which consents or waivers are obtained on or prior to Closing in connection with the transactions contemplated by this Agreement or as to which the time for asserting such rights has expired at the Closing Date without an exercise of such rights;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conditions relating to the Real Property or Other Real Property that are disclosed on any pro forma title policies, title commitments, real property reports, surveys, reports or opinions made available to Buyer in the Data Room prior to the Execution Date in the Data Room under the heading “Permitted Encumbrances”;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created by Buyer or its successors and assigns;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under the Material Contracts, Real Property Leases, and instruments evidencing Fee Owned Real Property and Other Real Property made available to Buyer prior to the Execution Date, this Agreement or the other Transaction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leases or prior reservations of oil and gas and other minerals in and under, or that may be produced from, any of the lands constituting part of the Real Property (and the rights of the holders or lessee thereof) that in each case either are duly recorded in the appropriate public records, have been disclosed in materials made available to Buyer in the Data Room, or if not (x) duly recorded in the appropriate public records or (y) disclosed in materials made available to Buyer in the Data Room prior to the Execution Date and which do not, individually or in the aggregate, materially interfere with or impair the present operation of the business of the Company Group; and</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on or registered against the Seller Retained Assets and the assets that are subject to the Pre-Closing Reorganization.</w:t>
      </w:r>
    </w:p>
    <w:p>
      <w:pPr>
        <w:spacing w:after="0" w:line="144"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body corporate, unlimited liability corporation, limited liability company, partnership, limited partnership, limited liability partnership,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proprietorship, firm, joint stock company, joint venture, trust, unincorporated association, unincorporated organization, syndicate, Governmental Entity and any other entity or organization of any nature whatsoever, whether or not a legal entity.</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Personal Information</w:t>
      </w:r>
      <w:r>
        <w:rPr>
          <w:rFonts w:ascii="Times New Roman" w:cs="Times New Roman" w:eastAsia="Times New Roman" w:hAnsi="Times New Roman"/>
          <w:sz w:val="22"/>
          <w:szCs w:val="22"/>
          <w:color w:val="auto"/>
        </w:rPr>
        <w:t xml:space="preserve">” means information about an identifiable individual that is considered as (a) “personal information” as defined in the PIPEDA or (b) “personal data”, “personally identifiable information”, “personal information” or similar terms as defined in other applicable Law, but does not include business contact information (where such business contact information is collected, used or disclosed for the purposes of contacting such individual in that individual’s capacity as an employee or an official of an organization and for no other purpose) or information with respect to any employee that is in the public domain or is provided by Seller to Buyer pursuant to </w:t>
      </w:r>
      <w:r>
        <w:rPr>
          <w:rFonts w:ascii="Times New Roman" w:cs="Times New Roman" w:eastAsia="Times New Roman" w:hAnsi="Times New Roman"/>
          <w:sz w:val="22"/>
          <w:szCs w:val="22"/>
          <w:u w:val="single" w:color="auto"/>
          <w:color w:val="auto"/>
        </w:rPr>
        <w:t>Section 6.9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Pipelines</w:t>
      </w:r>
      <w:r>
        <w:rPr>
          <w:rFonts w:ascii="Times New Roman" w:cs="Times New Roman" w:eastAsia="Times New Roman" w:hAnsi="Times New Roman"/>
          <w:sz w:val="22"/>
          <w:szCs w:val="22"/>
          <w:color w:val="auto"/>
        </w:rPr>
        <w:t xml:space="preserve">” means the pipelines and associated infrastructure set forth and described in </w:t>
      </w:r>
      <w:r>
        <w:rPr>
          <w:rFonts w:ascii="Times New Roman" w:cs="Times New Roman" w:eastAsia="Times New Roman" w:hAnsi="Times New Roman"/>
          <w:sz w:val="22"/>
          <w:szCs w:val="22"/>
          <w:u w:val="single" w:color="auto"/>
          <w:color w:val="auto"/>
        </w:rPr>
        <w:t>Schedule 4.17</w:t>
      </w:r>
      <w:r>
        <w:rPr>
          <w:rFonts w:ascii="Times New Roman" w:cs="Times New Roman" w:eastAsia="Times New Roman" w:hAnsi="Times New Roman"/>
          <w:sz w:val="22"/>
          <w:szCs w:val="22"/>
          <w:color w:val="auto"/>
        </w:rPr>
        <w:t xml:space="preserve"> of the Seller Disclosure Schedules.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Plains Midstream Superior</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PLPGS</w:t>
      </w:r>
      <w:r>
        <w:rPr>
          <w:rFonts w:ascii="Times New Roman" w:cs="Times New Roman" w:eastAsia="Times New Roman" w:hAnsi="Times New Roman"/>
          <w:sz w:val="22"/>
          <w:szCs w:val="22"/>
          <w:color w:val="auto"/>
        </w:rPr>
        <w:t>” means Plains LPG Services, L.P., a Texas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PMLP</w:t>
      </w:r>
      <w:r>
        <w:rPr>
          <w:rFonts w:ascii="Times New Roman" w:cs="Times New Roman" w:eastAsia="Times New Roman" w:hAnsi="Times New Roman"/>
          <w:sz w:val="22"/>
          <w:szCs w:val="22"/>
          <w:color w:val="auto"/>
        </w:rPr>
        <w:t>” means Plains Marketing, L.P, a Texas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Post-Closing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Reorganization</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Reorganization Documents</w:t>
      </w:r>
      <w:r>
        <w:rPr>
          <w:rFonts w:ascii="Times New Roman" w:cs="Times New Roman" w:eastAsia="Times New Roman" w:hAnsi="Times New Roman"/>
          <w:sz w:val="22"/>
          <w:szCs w:val="22"/>
          <w:color w:val="auto"/>
        </w:rPr>
        <w:t>” means the agreements, certificates and other instruments or documents, to which a member of the Company Group is party, delivered or given in connection with the Pre-Closing Reorganization to consummate the transactions contemplated thereby.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Liabilities</w:t>
      </w:r>
      <w:r>
        <w:rPr>
          <w:rFonts w:ascii="Times New Roman" w:cs="Times New Roman" w:eastAsia="Times New Roman" w:hAnsi="Times New Roman"/>
          <w:sz w:val="22"/>
          <w:szCs w:val="22"/>
          <w:color w:val="auto"/>
        </w:rPr>
        <w:t xml:space="preserve">” means, without duplication of any Seller Tax Liabilities, all Liabilities of, or attributable to or payable by any member of the Company Group (including any successor thereto) of the Company Group for: (a) Taxes (or the non-payment thereof) attributable to a Pre-Closing Tax Period, which, for greater certainty, shall include any Taxes arising in connection with or resulting from the Pre-Closing Reorganization; (b) Taxes arising in connection with or resulting from the Canadian Tax Proceedings; (c) to the extent not otherwise covered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Taxes for which a member of the Company Group becomes liable by reason of (i) being a member of an affiliated, combined, consolidated, unitary or aggregate group at any time prior to the Closing, (ii) being a successor-in interest or transferee of any other Person, contract, pursuant to any Law, or otherwise, which Taxes relate to an event or transaction occurring prior to Closing, or (iii) having an express or implied obligation to indemnify any other Person under any Tax allocation, Tax sharing, Tax indemnity or similar agreement, arrangement or understanding that was executed or in effect at any time prior to Closing; and (d) Taxes that arise as a result of any transactions or events that occur on the Closing Date but prior to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other than in the ordinary course, in each case, except to the extent such Pre-Closing Tax Liability was specifically included in the computation of the Closing Working Capital.</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Period</w:t>
      </w:r>
      <w:r>
        <w:rPr>
          <w:rFonts w:ascii="Times New Roman" w:cs="Times New Roman" w:eastAsia="Times New Roman" w:hAnsi="Times New Roman"/>
          <w:sz w:val="22"/>
          <w:szCs w:val="22"/>
          <w:color w:val="auto"/>
        </w:rPr>
        <w:t>” means any taxation year or other Tax period ending on or before the Closing Date (and includes the taxation year of the Company under the Canadian Tax Act (and applicable provincial or territorial Law) ending at the time of Closing as a result of the election not to have subsection 256(9) of the Canadian Tax Act (and comparable provisions of applicable provincial or territorial Law) apply), or, in the case of a Straddle Period, the portion of a taxation year or other Tax period ending at Closing.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Pre-Closing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Preferred Shares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Privacy Laws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Personal Information Protection and Electronic Documents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Personal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Information Protection Act </w:t>
      </w:r>
      <w:r>
        <w:rPr>
          <w:rFonts w:ascii="Times New Roman" w:cs="Times New Roman" w:eastAsia="Times New Roman" w:hAnsi="Times New Roman"/>
          <w:sz w:val="22"/>
          <w:szCs w:val="22"/>
          <w:color w:val="auto"/>
        </w:rPr>
        <w:t>(Alberta), Canada’s Anti-Spam Legislation (CASL) and any similar Laws relating to the collection,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use, disclosure or storage of Personal Information.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Privileged Communications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Proceedings</w:t>
      </w:r>
      <w:r>
        <w:rPr>
          <w:rFonts w:ascii="Times New Roman" w:cs="Times New Roman" w:eastAsia="Times New Roman" w:hAnsi="Times New Roman"/>
          <w:sz w:val="21"/>
          <w:szCs w:val="21"/>
          <w:color w:val="auto"/>
        </w:rPr>
        <w:t>” means all proceedings, actions, claims, suits, investigations, and inquiries by or before any Governmental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Purchased Shares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Qualified Benefit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Binder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Costs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R&amp;W Policy</w:t>
      </w:r>
      <w:r>
        <w:rPr>
          <w:rFonts w:ascii="Times New Roman" w:cs="Times New Roman" w:eastAsia="Times New Roman" w:hAnsi="Times New Roman"/>
          <w:sz w:val="22"/>
          <w:szCs w:val="22"/>
          <w:color w:val="auto"/>
        </w:rPr>
        <w:t>” means the buyer-side representations and warranties insurance policy, to be purchased and bound on or prior to the Closing and any excess policies purchased in conjunction therewith.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w:t>
      </w:r>
      <w:r>
        <w:rPr>
          <w:rFonts w:ascii="Times New Roman" w:cs="Times New Roman" w:eastAsia="Times New Roman" w:hAnsi="Times New Roman"/>
          <w:sz w:val="22"/>
          <w:szCs w:val="22"/>
          <w:color w:val="auto"/>
        </w:rPr>
        <w:t>” means the Fee Owned Real Property and the Leased Real Property.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Real Property 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Reasonable Efforts</w:t>
      </w:r>
      <w:r>
        <w:rPr>
          <w:rFonts w:ascii="Times New Roman" w:cs="Times New Roman" w:eastAsia="Times New Roman" w:hAnsi="Times New Roman"/>
          <w:sz w:val="22"/>
          <w:szCs w:val="22"/>
          <w:color w:val="auto"/>
        </w:rPr>
        <w:t xml:space="preserve">” means efforts which are reasonably within the contemplation of the Parties on the Execution Date, are designed to enable a Party, directly or indirectly, to satisfy a condition to, or otherwise assist in the consummation of, the transactions contemplated by this Agreement, provided that it shall not require a Party to waive any condition herein where such Party has the sole discretion whether or not to waive that condition and do not require the performing Party to expend any funds or assume liabilities other than expenditures and liabilities which are reasonable in nature (and, for greater certainty, any expenses associated with complying with requests from a Governmental Entity shall be deemed to be reasonable in nature) and amount in the context of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shall have no obligation to expend any out-of-pocket amounts or incur any liabilities in connection with obtaining any Third Party consents required under any Contract in connection with the transactions contemplated hereby; and </w:t>
      </w:r>
      <w:r>
        <w:rPr>
          <w:rFonts w:ascii="Times New Roman" w:cs="Times New Roman" w:eastAsia="Times New Roman" w:hAnsi="Times New Roman"/>
          <w:sz w:val="22"/>
          <w:szCs w:val="22"/>
          <w:i w:val="1"/>
          <w:iCs w:val="1"/>
          <w:color w:val="auto"/>
        </w:rPr>
        <w:t>further provided</w:t>
      </w:r>
      <w:r>
        <w:rPr>
          <w:rFonts w:ascii="Times New Roman" w:cs="Times New Roman" w:eastAsia="Times New Roman" w:hAnsi="Times New Roman"/>
          <w:sz w:val="22"/>
          <w:szCs w:val="22"/>
          <w:color w:val="auto"/>
        </w:rPr>
        <w:t xml:space="preserve">, for purposes of </w:t>
      </w:r>
      <w:r>
        <w:rPr>
          <w:rFonts w:ascii="Times New Roman" w:cs="Times New Roman" w:eastAsia="Times New Roman" w:hAnsi="Times New Roman"/>
          <w:sz w:val="22"/>
          <w:szCs w:val="22"/>
          <w:u w:val="single" w:color="auto"/>
          <w:color w:val="auto"/>
        </w:rPr>
        <w:t>Section 6.6(e)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“Reasonable Efforts” shall expressly (i) not require any action or agreeing to any restriction or remedy that would reasonably be expected to result in a Burdensome Condition and (ii) include taking any action or agreeing to any restriction or remedy that would not reasonably be expected to result in a Burdensome Condition.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has the meaning prescribed in any Environmental Law and includes the historic or current intermittent, gradual or spontaneous releasing, spilling, emitting, leaking, adding, pumping, pouring, emptying, escaping, dumping, injecting, depositing, spraying, burying, abandoning, incinerating, seeping, disposing, discharging, dispersing, leaching, migrating, placing or introducing into or through the Environment, whether accidental or intentional.</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Reorganization Summary</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Representatives</w:t>
      </w:r>
      <w:r>
        <w:rPr>
          <w:rFonts w:ascii="Times New Roman" w:cs="Times New Roman" w:eastAsia="Times New Roman" w:hAnsi="Times New Roman"/>
          <w:sz w:val="22"/>
          <w:szCs w:val="22"/>
          <w:color w:val="auto"/>
        </w:rPr>
        <w:t xml:space="preserve">” means direct or indirect partners, employees, officers, directors, members or equity owners of a Party or any of its Affiliates; any consultant, attorney, accountant, agent or other advisor retained by a Party or the parties listed in </w:t>
      </w:r>
      <w:r>
        <w:rPr>
          <w:rFonts w:ascii="Times New Roman" w:cs="Times New Roman" w:eastAsia="Times New Roman" w:hAnsi="Times New Roman"/>
          <w:sz w:val="22"/>
          <w:szCs w:val="22"/>
          <w:u w:val="single" w:color="auto"/>
          <w:color w:val="auto"/>
        </w:rPr>
        <w:t>subsection 0</w:t>
      </w:r>
      <w:r>
        <w:rPr>
          <w:rFonts w:ascii="Times New Roman" w:cs="Times New Roman" w:eastAsia="Times New Roman" w:hAnsi="Times New Roman"/>
          <w:sz w:val="22"/>
          <w:szCs w:val="22"/>
          <w:color w:val="auto"/>
        </w:rPr>
        <w:t xml:space="preserve"> above; and any bank, other financial institution or entity funding, or proposing to fund, such Party’s operations, including any consultant retained by such bank, other financial institution or entity.</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Required Regulatory Approvals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collectively, the Competition Act Approval, the CTA Approval and the expiration or termination of the applicable waiting period under the HSR Act and any filings in respect of the foregoing.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Resolution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Retained Marks</w:t>
      </w:r>
      <w:r>
        <w:rPr>
          <w:rFonts w:ascii="Times New Roman" w:cs="Times New Roman" w:eastAsia="Times New Roman" w:hAnsi="Times New Roman"/>
          <w:sz w:val="22"/>
          <w:szCs w:val="22"/>
          <w:color w:val="auto"/>
        </w:rPr>
        <w:t xml:space="preserve">” means the names, trademark service marks and trade names set forth in </w:t>
      </w:r>
      <w:r>
        <w:rPr>
          <w:rFonts w:ascii="Times New Roman" w:cs="Times New Roman" w:eastAsia="Times New Roman" w:hAnsi="Times New Roman"/>
          <w:sz w:val="22"/>
          <w:szCs w:val="22"/>
          <w:u w:val="single" w:color="auto"/>
          <w:color w:val="auto"/>
        </w:rPr>
        <w:t>Schedule 6.13</w:t>
      </w:r>
      <w:r>
        <w:rPr>
          <w:rFonts w:ascii="Times New Roman" w:cs="Times New Roman" w:eastAsia="Times New Roman" w:hAnsi="Times New Roman"/>
          <w:sz w:val="22"/>
          <w:szCs w:val="22"/>
          <w:color w:val="auto"/>
        </w:rPr>
        <w:t xml:space="preserve"> of the Seller Disclosure Schedules.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Sanctioned Country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4.27(d)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Sanctions</w:t>
      </w:r>
      <w:r>
        <w:rPr>
          <w:rFonts w:ascii="Times New Roman" w:cs="Times New Roman" w:eastAsia="Times New Roman" w:hAnsi="Times New Roman"/>
          <w:sz w:val="22"/>
          <w:szCs w:val="22"/>
          <w:color w:val="auto"/>
        </w:rPr>
        <w:t>” means economic sanctions or trade embargoes imposed, administered or enforced from time to time by the Canada or U.S. government, including those administered by OFAC, the U.S. Department of Commerce, the U.S. Department of State, Global Affairs Canada, or Public Safety Canada, or by the European Union, any European Union Member State, His Majesty’s Treasury (United Kingdom), the United Nations Security Council, or any other applicable sanctions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116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Selected Available Company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has the meaning set forth in the preamble to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Affiliate</w:t>
      </w:r>
      <w:r>
        <w:rPr>
          <w:rFonts w:ascii="Times New Roman" w:cs="Times New Roman" w:eastAsia="Times New Roman" w:hAnsi="Times New Roman"/>
          <w:sz w:val="22"/>
          <w:szCs w:val="22"/>
          <w:color w:val="auto"/>
        </w:rPr>
        <w:t>” means any Affiliate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Benefit Plan</w:t>
      </w:r>
      <w:r>
        <w:rPr>
          <w:rFonts w:ascii="Times New Roman" w:cs="Times New Roman" w:eastAsia="Times New Roman" w:hAnsi="Times New Roman"/>
          <w:sz w:val="22"/>
          <w:szCs w:val="22"/>
          <w:color w:val="auto"/>
        </w:rPr>
        <w:t>” means each Benefit Plan sponsored or maintained by the Seller or any Seller Affiliate (other than a member of the Company Group) where any Business Employee is an active participant as of the Execution Date.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Disclosure Schedules</w:t>
      </w:r>
      <w:r>
        <w:rPr>
          <w:rFonts w:ascii="Times New Roman" w:cs="Times New Roman" w:eastAsia="Times New Roman" w:hAnsi="Times New Roman"/>
          <w:sz w:val="22"/>
          <w:szCs w:val="22"/>
          <w:color w:val="auto"/>
        </w:rPr>
        <w:t xml:space="preserve">” means the disclosure schedules of Seller attached hereto as </w:t>
      </w:r>
      <w:r>
        <w:rPr>
          <w:rFonts w:ascii="Times New Roman" w:cs="Times New Roman" w:eastAsia="Times New Roman" w:hAnsi="Times New Roman"/>
          <w:sz w:val="22"/>
          <w:szCs w:val="22"/>
          <w:u w:val="single" w:color="auto"/>
          <w:color w:val="auto"/>
        </w:rPr>
        <w:t>Attachment 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4.13</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w:t>
      </w:r>
      <w:r>
        <w:rPr>
          <w:rFonts w:ascii="Times New Roman" w:cs="Times New Roman" w:eastAsia="Times New Roman" w:hAnsi="Times New Roman"/>
          <w:sz w:val="22"/>
          <w:szCs w:val="22"/>
          <w:color w:val="auto"/>
        </w:rPr>
        <w:t>” means Plains All American Pipeline, L.P., a Delaware limited partnership.</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Debt</w:t>
      </w:r>
      <w:r>
        <w:rPr>
          <w:rFonts w:ascii="Times New Roman" w:cs="Times New Roman" w:eastAsia="Times New Roman" w:hAnsi="Times New Roman"/>
          <w:sz w:val="22"/>
          <w:szCs w:val="22"/>
          <w:color w:val="auto"/>
        </w:rPr>
        <w:t xml:space="preserve">” has the meaning set forth on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Guarantee</w:t>
      </w:r>
      <w:r>
        <w:rPr>
          <w:rFonts w:ascii="Times New Roman" w:cs="Times New Roman" w:eastAsia="Times New Roman" w:hAnsi="Times New Roman"/>
          <w:sz w:val="22"/>
          <w:szCs w:val="22"/>
          <w:color w:val="auto"/>
        </w:rPr>
        <w:t>” means that certain Guaranty that has been provided from Seller Parent to Buyer concurrently with the execution of this Agreement.</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Parent LPA</w:t>
      </w:r>
      <w:r>
        <w:rPr>
          <w:rFonts w:ascii="Times New Roman" w:cs="Times New Roman" w:eastAsia="Times New Roman" w:hAnsi="Times New Roman"/>
          <w:sz w:val="22"/>
          <w:szCs w:val="22"/>
          <w:color w:val="auto"/>
        </w:rPr>
        <w:t>” means the Seventh Amended and Restated Agreement of Limited Partnership of Plains All American Pipeline, L.P. dated as of October 10, 2017, as the same may be amended or restated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Party”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i w:val="1"/>
          <w:iCs w:val="1"/>
          <w:color w:val="auto"/>
        </w:rPr>
        <w:t>Seller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Retained Assets</w:t>
      </w:r>
      <w:r>
        <w:rPr>
          <w:rFonts w:ascii="Times New Roman" w:cs="Times New Roman" w:eastAsia="Times New Roman" w:hAnsi="Times New Roman"/>
          <w:sz w:val="22"/>
          <w:szCs w:val="22"/>
          <w:color w:val="auto"/>
        </w:rPr>
        <w:t>” means those assets and properties owned or held as of the Execution Date by Company (or any Person that is a subsidiary of the Company on the Execution Date) that are transferred to Seller or its Affiliates pursuant to the Pre-Closing Reorganization.</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Retained Employment Liabilities</w:t>
      </w:r>
      <w:r>
        <w:rPr>
          <w:rFonts w:ascii="Times New Roman" w:cs="Times New Roman" w:eastAsia="Times New Roman" w:hAnsi="Times New Roman"/>
          <w:sz w:val="22"/>
          <w:szCs w:val="22"/>
          <w:color w:val="auto"/>
        </w:rPr>
        <w:t>” means all Liabilities related to Crude Employees or Unselected Employees, except for any Liabilities arising as a consequence of Buyer’s or Buyer Affiliate’s (including a member of the Company Group) decision to discriminate against an Unselected Employee in respect of their employment or continued employment; and all Liabilities for any compensation due to the Union Employees or Continuing Non-Union Employees under incentive plans of Seller or any Affiliate prior to the Closing Date, and, for greater certainty, all obligations and Liabilities in respect of any equity or equity-linked awards granted under such incentive plans before the Closing Date but which accrue and become payable after the Closing Date (including any change of control payments triggered by the Transactions).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Retirement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6.9(e)(viii)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 Tax Liabilities</w:t>
      </w:r>
      <w:r>
        <w:rPr>
          <w:rFonts w:ascii="Times New Roman" w:cs="Times New Roman" w:eastAsia="Times New Roman" w:hAnsi="Times New Roman"/>
          <w:sz w:val="22"/>
          <w:szCs w:val="22"/>
          <w:color w:val="auto"/>
        </w:rPr>
        <w:t>” means all Liabilities of Buyer or any member of the Company Group for Taxes arising as a result of the application of section 116 of the Canadian Tax Act in respect of the Transaction.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Seller’s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Seller’s Knowledge</w:t>
      </w:r>
      <w:r>
        <w:rPr>
          <w:rFonts w:ascii="Times New Roman" w:cs="Times New Roman" w:eastAsia="Times New Roman" w:hAnsi="Times New Roman"/>
          <w:sz w:val="22"/>
          <w:szCs w:val="22"/>
          <w:color w:val="auto"/>
        </w:rPr>
        <w:t xml:space="preserve">” means the actual knowledge of the Persons listed in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 xml:space="preserve"> of the Seller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6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Special Indemnity Matters</w:t>
      </w:r>
      <w:r>
        <w:rPr>
          <w:rFonts w:ascii="Times New Roman" w:cs="Times New Roman" w:eastAsia="Times New Roman" w:hAnsi="Times New Roman"/>
          <w:sz w:val="22"/>
          <w:szCs w:val="22"/>
          <w:color w:val="auto"/>
        </w:rPr>
        <w:t xml:space="preserve">” means Seller’s portion of the “Risk Allocation” for each of the matters identified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unless and until such matter is no longer an exclusion from the R&amp;W Policy.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Straddle Period</w:t>
      </w:r>
      <w:r>
        <w:rPr>
          <w:rFonts w:ascii="Times New Roman" w:cs="Times New Roman" w:eastAsia="Times New Roman" w:hAnsi="Times New Roman"/>
          <w:sz w:val="22"/>
          <w:szCs w:val="22"/>
          <w:color w:val="auto"/>
        </w:rPr>
        <w:t>” means any taxation year or other Tax period that begins before Closing and ends after Closing.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Subsidiaries</w:t>
      </w:r>
      <w:r>
        <w:rPr>
          <w:rFonts w:ascii="Times New Roman" w:cs="Times New Roman" w:eastAsia="Times New Roman" w:hAnsi="Times New Roman"/>
          <w:sz w:val="22"/>
          <w:szCs w:val="22"/>
          <w:color w:val="auto"/>
        </w:rPr>
        <w:t>” has the meaning set forth in the recitals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 Interests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Operating NGL Inventory Volume</w:t>
      </w:r>
      <w:r>
        <w:rPr>
          <w:rFonts w:ascii="Times New Roman" w:cs="Times New Roman" w:eastAsia="Times New Roman" w:hAnsi="Times New Roman"/>
          <w:sz w:val="22"/>
          <w:szCs w:val="22"/>
          <w:color w:val="auto"/>
        </w:rPr>
        <w:t>” means [volume redacted].</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Tax</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Taxes</w:t>
      </w:r>
      <w:r>
        <w:rPr>
          <w:rFonts w:ascii="Times New Roman" w:cs="Times New Roman" w:eastAsia="Times New Roman" w:hAnsi="Times New Roman"/>
          <w:sz w:val="21"/>
          <w:szCs w:val="21"/>
          <w:color w:val="auto"/>
        </w:rPr>
        <w:t xml:space="preserve">” means any and all taxes, duties, assessments, imposts, fees, withholdings, levies and other charges of any nature imposed by any Governmental Entity including those levied on, or measured by, or referred to as, income, net income, gross receipts, ad valorem, franchise, profits, windfall profits, registration, utility, environmental, carbon, license, wage, disability, severance, stamp, occupation, alternative or add-on minimum, estimated, profits, capital, transfer, land transfer, sales, goods and service, harmonized, use, value-added, excise, withholding, property, occupancy, payroll, employment and social security taxes, all surtaxes, all customs duties and import and export taxes, excise taxes, countervailing and anti-dumping, and all employment insurance, health insurance and government pension plan and other employer plan premiums, contributions or withholdings (including Canada Pension Plan and provincial pension plan contributions and workers compensation premiums) and all other taxes and similar governmental fees, assessments or charges of any kind imposed by any Governmental Entity, whether disputed or not, and all interest, penalties, fines, additions to tax or additional amounts imposed, administered, assessed or collected by any Governmental Entity in connection with any item described in </w:t>
      </w:r>
      <w:r>
        <w:rPr>
          <w:rFonts w:ascii="Times New Roman" w:cs="Times New Roman" w:eastAsia="Times New Roman" w:hAnsi="Times New Roman"/>
          <w:sz w:val="21"/>
          <w:szCs w:val="21"/>
          <w:u w:val="single" w:color="auto"/>
          <w:color w:val="auto"/>
        </w:rPr>
        <w:t>clause 0</w:t>
      </w:r>
      <w:r>
        <w:rPr>
          <w:rFonts w:ascii="Times New Roman" w:cs="Times New Roman" w:eastAsia="Times New Roman" w:hAnsi="Times New Roman"/>
          <w:sz w:val="21"/>
          <w:szCs w:val="21"/>
          <w:color w:val="auto"/>
        </w:rPr>
        <w:t xml:space="preserve"> above.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Authority</w:t>
      </w:r>
      <w:r>
        <w:rPr>
          <w:rFonts w:ascii="Times New Roman" w:cs="Times New Roman" w:eastAsia="Times New Roman" w:hAnsi="Times New Roman"/>
          <w:sz w:val="22"/>
          <w:szCs w:val="22"/>
          <w:color w:val="auto"/>
        </w:rPr>
        <w:t>” means any Governmental Entity having or purporting to exercise jurisdiction with respect to any Tax.</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Conduct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Contest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Escrow Agent</w:t>
      </w:r>
      <w:r>
        <w:rPr>
          <w:rFonts w:ascii="Times New Roman" w:cs="Times New Roman" w:eastAsia="Times New Roman" w:hAnsi="Times New Roman"/>
          <w:sz w:val="22"/>
          <w:szCs w:val="22"/>
          <w:color w:val="auto"/>
        </w:rPr>
        <w:t>” means [definition redacted].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Escrow Agreement</w:t>
      </w:r>
      <w:r>
        <w:rPr>
          <w:rFonts w:ascii="Times New Roman" w:cs="Times New Roman" w:eastAsia="Times New Roman" w:hAnsi="Times New Roman"/>
          <w:sz w:val="22"/>
          <w:szCs w:val="22"/>
          <w:color w:val="auto"/>
        </w:rPr>
        <w:t>” means [definition redacted].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Adjustment Amount</w:t>
      </w:r>
      <w:r>
        <w:rPr>
          <w:rFonts w:ascii="Times New Roman" w:cs="Times New Roman" w:eastAsia="Times New Roman" w:hAnsi="Times New Roman"/>
          <w:sz w:val="22"/>
          <w:szCs w:val="22"/>
          <w:color w:val="auto"/>
        </w:rPr>
        <w:t>” means a positive or negative amount equal to [dollar amount redacted] multiplied by the Tax Pool Difference.</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Balance</w:t>
      </w:r>
      <w:r>
        <w:rPr>
          <w:rFonts w:ascii="Times New Roman" w:cs="Times New Roman" w:eastAsia="Times New Roman" w:hAnsi="Times New Roman"/>
          <w:sz w:val="22"/>
          <w:szCs w:val="22"/>
          <w:color w:val="auto"/>
        </w:rPr>
        <w:t>” means the aggregate amount of the “undepreciated capital cost” (as defined in the Canadian Tax Act) of each class of depreciable property (as defined in the Canadian Tax Act) of the Company as of January 1, 2026 computed based on the following assumptions:</w:t>
      </w:r>
    </w:p>
    <w:p>
      <w:pPr>
        <w:spacing w:after="0" w:line="152" w:lineRule="exact"/>
        <w:rPr>
          <w:sz w:val="20"/>
          <w:szCs w:val="20"/>
          <w:color w:val="auto"/>
        </w:rPr>
      </w:pPr>
    </w:p>
    <w:p>
      <w:pPr>
        <w:jc w:val="both"/>
        <w:ind w:firstLine="656"/>
        <w:spacing w:after="0" w:line="225" w:lineRule="auto"/>
        <w:tabs>
          <w:tab w:leader="none" w:pos="94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was January 1, 2026 and any capital cost allowance claimed by the Company for any taxation year of the Company that ends after January 1, 2026 and prior to the Closing for the purposes of the Canadian Tax Act was claimed by the Company for the taxation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1" w:lineRule="exact"/>
        <w:rPr>
          <w:sz w:val="20"/>
          <w:szCs w:val="20"/>
          <w:color w:val="auto"/>
        </w:rPr>
      </w:pPr>
    </w:p>
    <w:p>
      <w:pPr>
        <w:ind w:left="960" w:hanging="304"/>
        <w:spacing w:after="0"/>
        <w:tabs>
          <w:tab w:leader="none" w:pos="9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Pre-Closing Reorganization was completed before January 1, 2026; and</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96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undepreciated capital cost of each class of depreciable property shall include the capital cost of any depreciable property that had not become available for use for the purposes of the Canadian Tax Act before January 1, 2026.</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Baseline</w:t>
      </w:r>
      <w:r>
        <w:rPr>
          <w:rFonts w:ascii="Times New Roman" w:cs="Times New Roman" w:eastAsia="Times New Roman" w:hAnsi="Times New Roman"/>
          <w:sz w:val="22"/>
          <w:szCs w:val="22"/>
          <w:color w:val="auto"/>
        </w:rPr>
        <w:t>” means [dollar amount redacted].</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Pool Difference</w:t>
      </w:r>
      <w:r>
        <w:rPr>
          <w:rFonts w:ascii="Times New Roman" w:cs="Times New Roman" w:eastAsia="Times New Roman" w:hAnsi="Times New Roman"/>
          <w:sz w:val="22"/>
          <w:szCs w:val="22"/>
          <w:color w:val="auto"/>
        </w:rPr>
        <w:t>” means the positive or negative amount, if any, by which the Tax Pool Baseline exceeds or is less than the Tax Pool Balance.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Proceeding</w:t>
      </w:r>
      <w:r>
        <w:rPr>
          <w:rFonts w:ascii="Times New Roman" w:cs="Times New Roman" w:eastAsia="Times New Roman" w:hAnsi="Times New Roman"/>
          <w:sz w:val="22"/>
          <w:szCs w:val="22"/>
          <w:color w:val="auto"/>
        </w:rPr>
        <w:t>” means any audit or administrative or judicial Proceeding with respect to Taxes.</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Tax Return</w:t>
      </w:r>
      <w:r>
        <w:rPr>
          <w:rFonts w:ascii="Times New Roman" w:cs="Times New Roman" w:eastAsia="Times New Roman" w:hAnsi="Times New Roman"/>
          <w:sz w:val="22"/>
          <w:szCs w:val="22"/>
          <w:color w:val="auto"/>
        </w:rPr>
        <w:t>” means any return, declaration, report, claim for refund, election, form, designation, waiver, notice, information return or statement with respect to any Tax filed or required to be filed with a Tax Authority, including any schedule, supplement, appendix, exhibit or attachment thereto, and including any amendment thereof, in respect of Taxes (in each case, whether in tangible, electronic or other form).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Terminated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 redacted – only used in other redacted provisions]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w:t>
      </w:r>
      <w:r>
        <w:rPr>
          <w:rFonts w:ascii="Times New Roman" w:cs="Times New Roman" w:eastAsia="Times New Roman" w:hAnsi="Times New Roman"/>
          <w:sz w:val="22"/>
          <w:szCs w:val="22"/>
          <w:color w:val="auto"/>
        </w:rPr>
        <w:t>” means any Person other than Seller or any Seller Affiliate or Buyer or any of its Affiliates.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Third Party Defense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11.5(b)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w:t>
      </w:r>
      <w:r>
        <w:rPr>
          <w:rFonts w:ascii="Times New Roman" w:cs="Times New Roman" w:eastAsia="Times New Roman" w:hAnsi="Times New Roman"/>
          <w:sz w:val="22"/>
          <w:szCs w:val="22"/>
          <w:color w:val="auto"/>
        </w:rPr>
        <w:t>” means the purchase by Buyer of the Purchased Shares from Seller as contemplated by and pursuant to this Agreement.</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means, collectively, this Agreement, the Assignment of Purchased Shares, the Transition Services Agreement, the Seller Parent Guarantee and each other agreement, document and instrument required to be executed in accordance with this Agreement (other than the Pre-Closing Reorganization Documents).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6.14(b)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Transferred U.S.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Services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8.2(c)</w:t>
      </w:r>
      <w:r>
        <w:rPr>
          <w:rFonts w:ascii="Times New Roman" w:cs="Times New Roman" w:eastAsia="Times New Roman" w:hAnsi="Times New Roman"/>
          <w:sz w:val="22"/>
          <w:szCs w:val="22"/>
          <w:i w:val="1"/>
          <w:iCs w:val="1"/>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Treaty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Union Employees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Union Plan</w:t>
      </w:r>
      <w:r>
        <w:rPr>
          <w:rFonts w:ascii="Times New Roman" w:cs="Times New Roman" w:eastAsia="Times New Roman" w:hAnsi="Times New Roman"/>
          <w:sz w:val="21"/>
          <w:szCs w:val="21"/>
          <w:color w:val="auto"/>
        </w:rPr>
        <w:t>” means a Benefit Plan sponsored or maintained by a union or another third party, such as a board of trustees.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Unselected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6.9(d)(iii)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Tax Code</w:t>
      </w:r>
      <w:r>
        <w:rPr>
          <w:rFonts w:ascii="Times New Roman" w:cs="Times New Roman" w:eastAsia="Times New Roman" w:hAnsi="Times New Roman"/>
          <w:sz w:val="22"/>
          <w:szCs w:val="22"/>
          <w:color w:val="auto"/>
        </w:rPr>
        <w:t>” means the Internal Revenue Code of 1986, as amended.</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Treasury Regulations</w:t>
      </w:r>
      <w:r>
        <w:rPr>
          <w:rFonts w:ascii="Times New Roman" w:cs="Times New Roman" w:eastAsia="Times New Roman" w:hAnsi="Times New Roman"/>
          <w:sz w:val="22"/>
          <w:szCs w:val="22"/>
          <w:color w:val="auto"/>
        </w:rPr>
        <w:t>” means the final or temporary regulations promulgated under the U.S. Tax Code by the Treasury Department of the United States.</w:t>
      </w:r>
    </w:p>
    <w:p>
      <w:pPr>
        <w:spacing w:after="0" w:line="144" w:lineRule="exact"/>
        <w:rPr>
          <w:sz w:val="20"/>
          <w:szCs w:val="20"/>
          <w:color w:val="auto"/>
        </w:rPr>
      </w:pPr>
    </w:p>
    <w:p>
      <w:pPr>
        <w:ind w:left="660" w:right="4200"/>
        <w:spacing w:after="0" w:line="4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US NGL Co</w:t>
      </w:r>
      <w:r>
        <w:rPr>
          <w:rFonts w:ascii="Times New Roman" w:cs="Times New Roman" w:eastAsia="Times New Roman" w:hAnsi="Times New Roman"/>
          <w:sz w:val="21"/>
          <w:szCs w:val="21"/>
          <w:color w:val="auto"/>
        </w:rPr>
        <w:t>” has the meaning set forth in the recitals of this Agreement. [Definition redacted – only used in other redacted provisions] [Definition redacted – only used in other redacted provisions] [Definition redacted – only used in other redacted provisions] [Definition redacted – only used in other redacted provisions]</w:t>
      </w:r>
    </w:p>
    <w:p>
      <w:pPr>
        <w:spacing w:after="0" w:line="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Working Capital</w:t>
      </w:r>
      <w:r>
        <w:rPr>
          <w:rFonts w:ascii="Times New Roman" w:cs="Times New Roman" w:eastAsia="Times New Roman" w:hAnsi="Times New Roman"/>
          <w:sz w:val="21"/>
          <w:szCs w:val="21"/>
          <w:color w:val="auto"/>
        </w:rPr>
        <w:t xml:space="preserve">” means the difference (which may be a positive or negative number) between the consolidated assets of the Company Group less the consolidated liabilities of the Company Group, in each case classified as Working Capital based on the accounts and line items set forth and marked with an ‘x’ in the Working Capital column in the stratified balance sheet contained at Part 1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and determined in accordance with the Specific Principles and Policies (as defined in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Wrong Pocket Asset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FORM OF ASSIGNMENT OF PURCHASED SHARES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79" w:lineRule="exact"/>
        <w:rPr>
          <w:sz w:val="20"/>
          <w:szCs w:val="20"/>
          <w:color w:val="auto"/>
        </w:rPr>
      </w:pPr>
    </w:p>
    <w:p>
      <w:pPr>
        <w:jc w:val="right"/>
        <w:ind w:right="1599"/>
        <w:spacing w:after="0"/>
        <w:rPr>
          <w:sz w:val="20"/>
          <w:szCs w:val="20"/>
          <w:color w:val="auto"/>
        </w:rPr>
      </w:pPr>
      <w:r>
        <w:rPr>
          <w:rFonts w:ascii="Times New Roman" w:cs="Times New Roman" w:eastAsia="Times New Roman" w:hAnsi="Times New Roman"/>
          <w:sz w:val="22"/>
          <w:szCs w:val="22"/>
          <w:b w:val="1"/>
          <w:bCs w:val="1"/>
          <w:color w:val="auto"/>
        </w:rPr>
        <w:t>PRINCIPLES FOR TRANSITION SERVICES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0139"/>
          </w:cols>
          <w:pgMar w:left="320" w:top="1440" w:right="1440" w:bottom="1440" w:gutter="0" w:footer="0" w:header="0"/>
        </w:sectPr>
      </w:pPr>
    </w:p>
    <w:bookmarkStart w:id="176" w:name="page177"/>
    <w:bookmarkEnd w:id="176"/>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179"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22"/>
          <w:szCs w:val="22"/>
          <w:b w:val="1"/>
          <w:bCs w:val="1"/>
          <w:color w:val="auto"/>
        </w:rPr>
        <w:t>R&amp;W BINDER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D-1</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167"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E-1</w:t>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1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179"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22"/>
          <w:szCs w:val="22"/>
          <w:b w:val="1"/>
          <w:bCs w:val="1"/>
          <w:color w:val="auto"/>
        </w:rPr>
        <w:t>FORM OF CONFIDENTIALITY AGREEMENTS TERMINATION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F-1</w:t>
      </w:r>
    </w:p>
    <w:p>
      <w:pPr>
        <w:sectPr>
          <w:pgSz w:w="11900" w:h="16838" w:orient="portrait"/>
          <w:cols w:equalWidth="0" w:num="1">
            <w:col w:w="10139"/>
          </w:cols>
          <w:pgMar w:left="320" w:top="1440" w:right="1440" w:bottom="1440" w:gutter="0" w:footer="0" w:header="0"/>
        </w:sectPr>
      </w:pPr>
    </w:p>
    <w:bookmarkStart w:id="179" w:name="page180"/>
    <w:bookmarkEnd w:id="179"/>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79"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2"/>
          <w:szCs w:val="22"/>
          <w:b w:val="1"/>
          <w:bCs w:val="1"/>
          <w:color w:val="auto"/>
        </w:rPr>
        <w:t>FORM OF BUTANE SUPPLY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G-1</w:t>
      </w:r>
    </w:p>
    <w:p>
      <w:pPr>
        <w:sectPr>
          <w:pgSz w:w="11900" w:h="16838" w:orient="portrait"/>
          <w:cols w:equalWidth="0" w:num="1">
            <w:col w:w="10139"/>
          </w:cols>
          <w:pgMar w:left="320" w:top="1440" w:right="1440" w:bottom="1440" w:gutter="0" w:footer="0" w:header="0"/>
        </w:sectPr>
      </w:pPr>
    </w:p>
    <w:bookmarkStart w:id="180" w:name="page181"/>
    <w:bookmarkEnd w:id="180"/>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179"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b w:val="1"/>
          <w:bCs w:val="1"/>
          <w:color w:val="auto"/>
        </w:rPr>
        <w:t>INVENTORY MEASUREMENT AND VALUATION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H-1</w:t>
      </w:r>
    </w:p>
    <w:p>
      <w:pPr>
        <w:sectPr>
          <w:pgSz w:w="11900" w:h="16838" w:orient="portrait"/>
          <w:cols w:equalWidth="0" w:num="1">
            <w:col w:w="10139"/>
          </w:cols>
          <w:pgMar w:left="320" w:top="1440" w:right="1440" w:bottom="1440" w:gutter="0" w:footer="0" w:header="0"/>
        </w:sectPr>
      </w:pPr>
    </w:p>
    <w:bookmarkStart w:id="181" w:name="page182"/>
    <w:bookmarkEnd w:id="181"/>
    <w:p>
      <w:pPr>
        <w:spacing w:after="0" w:line="16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EXHIBT H - 1</w:t>
      </w:r>
    </w:p>
    <w:p>
      <w:pPr>
        <w:spacing w:after="0" w:line="179" w:lineRule="exact"/>
        <w:rPr>
          <w:sz w:val="20"/>
          <w:szCs w:val="20"/>
          <w:color w:val="auto"/>
        </w:rPr>
      </w:pPr>
    </w:p>
    <w:p>
      <w:pPr>
        <w:jc w:val="right"/>
        <w:ind w:right="2199"/>
        <w:spacing w:after="0"/>
        <w:rPr>
          <w:sz w:val="20"/>
          <w:szCs w:val="20"/>
          <w:color w:val="auto"/>
        </w:rPr>
      </w:pPr>
      <w:r>
        <w:rPr>
          <w:rFonts w:ascii="Times New Roman" w:cs="Times New Roman" w:eastAsia="Times New Roman" w:hAnsi="Times New Roman"/>
          <w:sz w:val="22"/>
          <w:szCs w:val="22"/>
          <w:b w:val="1"/>
          <w:bCs w:val="1"/>
          <w:color w:val="auto"/>
        </w:rPr>
        <w:t>INVENTORY MEASUREMENT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H - 1-1</w:t>
      </w:r>
    </w:p>
    <w:p>
      <w:pPr>
        <w:sectPr>
          <w:pgSz w:w="11900" w:h="16838" w:orient="portrait"/>
          <w:cols w:equalWidth="0" w:num="1">
            <w:col w:w="10139"/>
          </w:cols>
          <w:pgMar w:left="320" w:top="1440" w:right="1440" w:bottom="1440" w:gutter="0" w:footer="0" w:header="0"/>
        </w:sectPr>
      </w:pPr>
    </w:p>
    <w:bookmarkStart w:id="182" w:name="page183"/>
    <w:bookmarkEnd w:id="182"/>
    <w:p>
      <w:pPr>
        <w:spacing w:after="0" w:line="16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H - 2</w:t>
      </w:r>
    </w:p>
    <w:p>
      <w:pPr>
        <w:spacing w:after="0" w:line="179"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22"/>
          <w:szCs w:val="22"/>
          <w:b w:val="1"/>
          <w:bCs w:val="1"/>
          <w:color w:val="auto"/>
        </w:rPr>
        <w:t>INVENTORY MEASUREMENT METHODOLOGY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H - 2-1</w:t>
      </w:r>
    </w:p>
    <w:p>
      <w:pPr>
        <w:sectPr>
          <w:pgSz w:w="11900" w:h="16838" w:orient="portrait"/>
          <w:cols w:equalWidth="0" w:num="1">
            <w:col w:w="10139"/>
          </w:cols>
          <w:pgMar w:left="320" w:top="1440" w:right="1440" w:bottom="1440" w:gutter="0" w:footer="0" w:header="0"/>
        </w:sectPr>
      </w:pPr>
    </w:p>
    <w:bookmarkStart w:id="183" w:name="page184"/>
    <w:bookmarkEnd w:id="183"/>
    <w:p>
      <w:pPr>
        <w:spacing w:after="0" w:line="1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17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22"/>
          <w:szCs w:val="22"/>
          <w:b w:val="1"/>
          <w:bCs w:val="1"/>
          <w:color w:val="auto"/>
        </w:rPr>
        <w:t>REORGANIZATION SUMMARY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I-1</w:t>
      </w:r>
    </w:p>
    <w:p>
      <w:pPr>
        <w:sectPr>
          <w:pgSz w:w="11900" w:h="16838" w:orient="portrait"/>
          <w:cols w:equalWidth="0" w:num="1">
            <w:col w:w="10139"/>
          </w:cols>
          <w:pgMar w:left="320" w:top="1440" w:right="1440" w:bottom="1440" w:gutter="0" w:footer="0" w:header="0"/>
        </w:sectPr>
      </w:pPr>
    </w:p>
    <w:bookmarkStart w:id="184" w:name="page185"/>
    <w:bookmarkEnd w:id="184"/>
    <w:p>
      <w:pPr>
        <w:spacing w:after="0" w:line="1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EXHIBIT J</w:t>
      </w:r>
    </w:p>
    <w:p>
      <w:pPr>
        <w:spacing w:after="0" w:line="179"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22"/>
          <w:szCs w:val="22"/>
          <w:b w:val="1"/>
          <w:bCs w:val="1"/>
          <w:color w:val="auto"/>
        </w:rPr>
        <w:t>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J-1</w:t>
      </w:r>
    </w:p>
    <w:p>
      <w:pPr>
        <w:sectPr>
          <w:pgSz w:w="11900" w:h="16838" w:orient="portrait"/>
          <w:cols w:equalWidth="0" w:num="1">
            <w:col w:w="10139"/>
          </w:cols>
          <w:pgMar w:left="320" w:top="1440" w:right="1440" w:bottom="1440" w:gutter="0" w:footer="0" w:header="0"/>
        </w:sectPr>
      </w:pPr>
    </w:p>
    <w:bookmarkStart w:id="185" w:name="page186"/>
    <w:bookmarkEnd w:id="185"/>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K</w:t>
      </w:r>
    </w:p>
    <w:p>
      <w:pPr>
        <w:spacing w:after="0" w:line="179"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b w:val="1"/>
          <w:bCs w:val="1"/>
          <w:color w:val="auto"/>
        </w:rPr>
        <w:t>SPECIAL INDEMNITY MATTERS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K-1</w:t>
      </w:r>
    </w:p>
    <w:p>
      <w:pPr>
        <w:sectPr>
          <w:pgSz w:w="11900" w:h="16838" w:orient="portrait"/>
          <w:cols w:equalWidth="0" w:num="1">
            <w:col w:w="10139"/>
          </w:cols>
          <w:pgMar w:left="320" w:top="1440" w:right="1440" w:bottom="1440" w:gutter="0" w:footer="0" w:header="0"/>
        </w:sectPr>
      </w:pPr>
    </w:p>
    <w:bookmarkStart w:id="186" w:name="page187"/>
    <w:bookmarkEnd w:id="186"/>
    <w:p>
      <w:pPr>
        <w:spacing w:after="0" w:line="167"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22"/>
          <w:szCs w:val="22"/>
          <w:b w:val="1"/>
          <w:bCs w:val="1"/>
          <w:color w:val="auto"/>
        </w:rPr>
        <w:t>EXHIBIT L</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L-1</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1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EXHIBIT M</w:t>
      </w:r>
    </w:p>
    <w:p>
      <w:pPr>
        <w:spacing w:after="0" w:line="179"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22"/>
          <w:szCs w:val="22"/>
          <w:b w:val="1"/>
          <w:bCs w:val="1"/>
          <w:color w:val="auto"/>
        </w:rPr>
        <w:t>TAX CONDUCT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M-1</w:t>
      </w:r>
    </w:p>
    <w:p>
      <w:pPr>
        <w:sectPr>
          <w:pgSz w:w="11900" w:h="16838" w:orient="portrait"/>
          <w:cols w:equalWidth="0" w:num="1">
            <w:col w:w="10139"/>
          </w:cols>
          <w:pgMar w:left="320" w:top="1440" w:right="1440"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N</w:t>
      </w:r>
    </w:p>
    <w:p>
      <w:pPr>
        <w:spacing w:after="0" w:line="17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FRAC SPREAD HEDGE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N-1</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EXHIBIT O</w:t>
      </w:r>
    </w:p>
    <w:p>
      <w:pPr>
        <w:spacing w:after="0" w:line="179"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2"/>
          <w:szCs w:val="22"/>
          <w:b w:val="1"/>
          <w:bCs w:val="1"/>
          <w:color w:val="auto"/>
        </w:rPr>
        <w:t>PERFORMANCE STANDARD; CAPITAL FORECAST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O-1</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SELLER DISCLOSURE SCHEDULES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Redacted – commercially sensitive.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139"/>
          </w:cols>
          <w:pgMar w:left="320" w:top="1440" w:right="1440"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jc w:val="both"/>
        <w:ind w:right="160" w:firstLine="656"/>
        <w:spacing w:after="0" w:line="266" w:lineRule="auto"/>
        <w:tabs>
          <w:tab w:leader="none" w:pos="135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August 8, 2025</w:t>
      </w:r>
    </w:p>
    <w:p>
      <w:pPr>
        <w:sectPr>
          <w:pgSz w:w="11900" w:h="16838" w:orient="portrait"/>
          <w:cols w:equalWidth="0" w:num="1">
            <w:col w:w="11240"/>
          </w:cols>
          <w:pgMar w:left="320" w:top="88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60" w:firstLine="656"/>
        <w:spacing w:after="0" w:line="266" w:lineRule="auto"/>
        <w:tabs>
          <w:tab w:leader="none" w:pos="135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June 30, 2025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August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1)"/>
      <w:numFmt w:val="decimal"/>
      <w:start w:val="1"/>
    </w:lvl>
  </w:abstractNum>
  <w:abstractNum w:abstractNumId="3">
    <w:nsid w:val="68EBC550"/>
    <w:multiLevelType w:val="hybridMultilevel"/>
    <w:lvl w:ilvl="0">
      <w:lvlJc w:val="left"/>
      <w:lvlText w:val="(%1)"/>
      <w:numFmt w:val="decimal"/>
      <w:start w:val="1"/>
    </w:lvl>
  </w:abstractNum>
  <w:abstractNum w:abstractNumId="4">
    <w:nsid w:val="2DF6D648"/>
    <w:multiLevelType w:val="hybridMultilevel"/>
    <w:lvl w:ilvl="0">
      <w:lvlJc w:val="left"/>
      <w:lvlText w:val="•"/>
      <w:numFmt w:val="bullet"/>
      <w:start w:val="1"/>
    </w:lvl>
  </w:abstractNum>
  <w:abstractNum w:abstractNumId="5">
    <w:nsid w:val="46B7D447"/>
    <w:multiLevelType w:val="hybridMultilevel"/>
    <w:lvl w:ilvl="0">
      <w:lvlJc w:val="left"/>
      <w:lvlText w:val="(%1)"/>
      <w:numFmt w:val="decimal"/>
      <w:start w:val="1"/>
    </w:lvl>
  </w:abstractNum>
  <w:abstractNum w:abstractNumId="6">
    <w:nsid w:val="4A2AC315"/>
    <w:multiLevelType w:val="hybridMultilevel"/>
    <w:lvl w:ilvl="0">
      <w:lvlJc w:val="left"/>
      <w:lvlText w:val="(%1)"/>
      <w:numFmt w:val="decimal"/>
      <w:start w:val="1"/>
    </w:lvl>
  </w:abstractNum>
  <w:abstractNum w:abstractNumId="7">
    <w:nsid w:val="39EE015C"/>
    <w:multiLevelType w:val="hybridMultilevel"/>
    <w:lvl w:ilvl="0">
      <w:lvlJc w:val="left"/>
      <w:lvlText w:val="(%1)"/>
      <w:numFmt w:val="decimal"/>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1)"/>
      <w:numFmt w:val="decimal"/>
      <w:start w:val="1"/>
    </w:lvl>
  </w:abstractNum>
  <w:abstractNum w:abstractNumId="10">
    <w:nsid w:val="43F18422"/>
    <w:multiLevelType w:val="hybridMultilevel"/>
    <w:lvl w:ilvl="0">
      <w:lvlJc w:val="left"/>
      <w:lvlText w:val="(%1)"/>
      <w:numFmt w:val="decimal"/>
      <w:start w:val="1"/>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1)"/>
      <w:numFmt w:val="decimal"/>
      <w:start w:val="4"/>
    </w:lvl>
  </w:abstractNum>
  <w:abstractNum w:abstractNumId="13">
    <w:nsid w:val="7F01579B"/>
    <w:multiLevelType w:val="hybridMultilevel"/>
    <w:lvl w:ilvl="0">
      <w:lvlJc w:val="left"/>
      <w:lvlText w:val="(%1)"/>
      <w:numFmt w:val="decimal"/>
      <w:start w:val="12"/>
    </w:lvl>
  </w:abstractNum>
  <w:abstractNum w:abstractNumId="14">
    <w:nsid w:val="49DA307D"/>
    <w:multiLevelType w:val="hybridMultilevel"/>
    <w:lvl w:ilvl="0">
      <w:lvlJc w:val="left"/>
      <w:lvlText w:val="(%1)"/>
      <w:numFmt w:val="decimal"/>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1)"/>
      <w:numFmt w:val="decimal"/>
      <w:start w:val="1"/>
    </w:lvl>
  </w:abstractNum>
  <w:abstractNum w:abstractNumId="18">
    <w:nsid w:val="488AC1A"/>
    <w:multiLevelType w:val="hybridMultilevel"/>
    <w:lvl w:ilvl="0">
      <w:lvlJc w:val="left"/>
      <w:lvlText w:val="(%1)"/>
      <w:numFmt w:val="decimal"/>
      <w:start w:val="1"/>
    </w:lvl>
  </w:abstractNum>
  <w:abstractNum w:abstractNumId="19">
    <w:nsid w:val="5FB8011C"/>
    <w:multiLevelType w:val="hybridMultilevel"/>
    <w:lvl w:ilvl="0">
      <w:lvlJc w:val="left"/>
      <w:lvlText w:val="(%1)"/>
      <w:numFmt w:val="lowerRoman"/>
      <w:start w:val="5"/>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1)"/>
      <w:numFmt w:val="decimal"/>
      <w:start w:val="5"/>
    </w:lvl>
  </w:abstractNum>
  <w:abstractNum w:abstractNumId="22">
    <w:nsid w:val="6FC75AF8"/>
    <w:multiLevelType w:val="hybridMultilevel"/>
    <w:lvl w:ilvl="0">
      <w:lvlJc w:val="left"/>
      <w:lvlText w:val="(%1)"/>
      <w:numFmt w:val="decimal"/>
      <w:start w:val="10"/>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1)"/>
      <w:numFmt w:val="decimal"/>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1)"/>
      <w:numFmt w:val="lowerRoman"/>
      <w:start w:val="5"/>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1)"/>
      <w:numFmt w:val="decimal"/>
      <w:start w:val="1"/>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1)"/>
      <w:numFmt w:val="decimal"/>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1)"/>
      <w:numFmt w:val="lowerLetter"/>
      <w:start w:val="1"/>
    </w:lvl>
  </w:abstractNum>
  <w:abstractNum w:abstractNumId="37">
    <w:nsid w:val="1D545C4D"/>
    <w:multiLevelType w:val="hybridMultilevel"/>
    <w:lvl w:ilvl="0">
      <w:lvlJc w:val="left"/>
      <w:lvlText w:val="(%1)"/>
      <w:numFmt w:val="lowerLetter"/>
      <w:start w:val="11"/>
    </w:lvl>
  </w:abstractNum>
  <w:abstractNum w:abstractNumId="38">
    <w:nsid w:val="59ADEA3D"/>
    <w:multiLevelType w:val="hybridMultilevel"/>
    <w:lvl w:ilvl="0">
      <w:lvlJc w:val="left"/>
      <w:lvlText w:val="(%1)"/>
      <w:numFmt w:val="lowerLetter"/>
      <w:start w:val="1"/>
    </w:lvl>
  </w:abstractNum>
  <w:abstractNum w:abstractNumId="39">
    <w:nsid w:val="288F1A34"/>
    <w:multiLevelType w:val="hybridMultilevel"/>
    <w:lvl w:ilvl="0">
      <w:lvlJc w:val="left"/>
      <w:lvlText w:val="(%1)"/>
      <w:numFmt w:val="lowerLetter"/>
      <w:start w:val="5"/>
    </w:lvl>
  </w:abstractNum>
  <w:abstractNum w:abstractNumId="40">
    <w:nsid w:val="2A155DBC"/>
    <w:multiLevelType w:val="hybridMultilevel"/>
    <w:lvl w:ilvl="0">
      <w:lvlJc w:val="left"/>
      <w:lvlText w:val="(%1)"/>
      <w:numFmt w:val="lowerLetter"/>
      <w:start w:val="1"/>
    </w:lvl>
  </w:abstractNum>
  <w:abstractNum w:abstractNumId="41">
    <w:nsid w:val="1D9F6E5F"/>
    <w:multiLevelType w:val="hybridMultilevel"/>
    <w:lvl w:ilvl="0">
      <w:lvlJc w:val="left"/>
      <w:lvlText w:val="(%1)"/>
      <w:numFmt w:val="lowerLetter"/>
      <w:start w:val="3"/>
    </w:lvl>
  </w:abstractNum>
  <w:abstractNum w:abstractNumId="42">
    <w:nsid w:val="97E1B4E"/>
    <w:multiLevelType w:val="hybridMultilevel"/>
    <w:lvl w:ilvl="0">
      <w:lvlJc w:val="left"/>
      <w:lvlText w:val="(%1)"/>
      <w:numFmt w:val="lowerLetter"/>
      <w:start w:val="1"/>
    </w:lvl>
  </w:abstractNum>
  <w:abstractNum w:abstractNumId="43">
    <w:nsid w:val="51088277"/>
    <w:multiLevelType w:val="hybridMultilevel"/>
    <w:lvl w:ilvl="0">
      <w:lvlJc w:val="left"/>
      <w:lvlText w:val="(%1)"/>
      <w:numFmt w:val="lowerLetter"/>
      <w:start w:val="4"/>
    </w:lvl>
  </w:abstractNum>
  <w:abstractNum w:abstractNumId="44">
    <w:nsid w:val="1CA0C5FA"/>
    <w:multiLevelType w:val="hybridMultilevel"/>
    <w:lvl w:ilvl="0">
      <w:lvlJc w:val="left"/>
      <w:lvlText w:val="(%1)"/>
      <w:numFmt w:val="lowerLetter"/>
      <w:start w:val="1"/>
    </w:lvl>
  </w:abstractNum>
  <w:abstractNum w:abstractNumId="45">
    <w:nsid w:val="53584BCB"/>
    <w:multiLevelType w:val="hybridMultilevel"/>
    <w:lvl w:ilvl="0">
      <w:lvlJc w:val="left"/>
      <w:lvlText w:val="(%1)"/>
      <w:numFmt w:val="lowerLetter"/>
      <w:start w:val="2"/>
    </w:lvl>
  </w:abstractNum>
  <w:abstractNum w:abstractNumId="46">
    <w:nsid w:val="415E286C"/>
    <w:multiLevelType w:val="hybridMultilevel"/>
    <w:lvl w:ilvl="0">
      <w:lvlJc w:val="left"/>
      <w:lvlText w:val="(%1)"/>
      <w:numFmt w:val="lowerLetter"/>
      <w:start w:val="1"/>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lowerLetter"/>
      <w:start w:val="1"/>
    </w:lvl>
  </w:abstractNum>
  <w:abstractNum w:abstractNumId="49">
    <w:nsid w:val="45E6D486"/>
    <w:multiLevelType w:val="hybridMultilevel"/>
    <w:lvl w:ilvl="0">
      <w:lvlJc w:val="left"/>
      <w:lvlText w:val="(%1)"/>
      <w:numFmt w:val="lowerLetter"/>
      <w:start w:val="1"/>
    </w:lvl>
  </w:abstractNum>
  <w:abstractNum w:abstractNumId="50">
    <w:nsid w:val="5C10FE21"/>
    <w:multiLevelType w:val="hybridMultilevel"/>
    <w:lvl w:ilvl="0">
      <w:lvlJc w:val="left"/>
      <w:lvlText w:val="(%1)"/>
      <w:numFmt w:val="lowerLetter"/>
      <w:start w:val="8"/>
    </w:lvl>
  </w:abstractNum>
  <w:abstractNum w:abstractNumId="51">
    <w:nsid w:val="E7FFA2B"/>
    <w:multiLevelType w:val="hybridMultilevel"/>
    <w:lvl w:ilvl="0">
      <w:lvlJc w:val="left"/>
      <w:lvlText w:val="(%1)"/>
      <w:numFmt w:val="lowerLetter"/>
      <w:start w:val="15"/>
    </w:lvl>
  </w:abstractNum>
  <w:abstractNum w:abstractNumId="52">
    <w:nsid w:val="3C5991AA"/>
    <w:multiLevelType w:val="hybridMultilevel"/>
    <w:lvl w:ilvl="0">
      <w:lvlJc w:val="left"/>
      <w:lvlText w:val="(%1)"/>
      <w:numFmt w:val="lowerLetter"/>
      <w:start w:val="1"/>
    </w:lvl>
  </w:abstractNum>
  <w:abstractNum w:abstractNumId="53">
    <w:nsid w:val="4BD8591A"/>
    <w:multiLevelType w:val="hybridMultilevel"/>
    <w:lvl w:ilvl="0">
      <w:lvlJc w:val="left"/>
      <w:lvlText w:val="(%1)"/>
      <w:numFmt w:val="lowerLetter"/>
      <w:start w:val="2"/>
    </w:lvl>
  </w:abstractNum>
  <w:abstractNum w:abstractNumId="54">
    <w:nsid w:val="78DF6A55"/>
    <w:multiLevelType w:val="hybridMultilevel"/>
    <w:lvl w:ilvl="0">
      <w:lvlJc w:val="left"/>
      <w:lvlText w:val="(%1)"/>
      <w:numFmt w:val="lowerLetter"/>
      <w:start w:val="6"/>
    </w:lvl>
  </w:abstractNum>
  <w:abstractNum w:abstractNumId="55">
    <w:nsid w:val="39B7AAA2"/>
    <w:multiLevelType w:val="hybridMultilevel"/>
    <w:lvl w:ilvl="0">
      <w:lvlJc w:val="left"/>
      <w:lvlText w:val="(%1)"/>
      <w:numFmt w:val="lowerLetter"/>
      <w:start w:val="1"/>
    </w:lvl>
  </w:abstractNum>
  <w:abstractNum w:abstractNumId="56">
    <w:nsid w:val="2B0D8DBE"/>
    <w:multiLevelType w:val="hybridMultilevel"/>
    <w:lvl w:ilvl="0">
      <w:lvlJc w:val="left"/>
      <w:lvlText w:val="(%1)"/>
      <w:numFmt w:val="lowerLetter"/>
      <w:start w:val="1"/>
    </w:lvl>
    <w:lvl w:ilvl="1">
      <w:lvlJc w:val="left"/>
      <w:lvlText w:val="(%2)"/>
      <w:numFmt w:val="lowerLetter"/>
      <w:start w:val="9"/>
    </w:lvl>
  </w:abstractNum>
  <w:abstractNum w:abstractNumId="57">
    <w:nsid w:val="6C80EC70"/>
    <w:multiLevelType w:val="hybridMultilevel"/>
    <w:lvl w:ilvl="0">
      <w:lvlJc w:val="left"/>
      <w:lvlText w:val="(%1)"/>
      <w:numFmt w:val="lowerRoman"/>
      <w:start w:val="2"/>
    </w:lvl>
  </w:abstractNum>
  <w:abstractNum w:abstractNumId="58">
    <w:nsid w:val="379E21B5"/>
    <w:multiLevelType w:val="hybridMultilevel"/>
    <w:lvl w:ilvl="0">
      <w:lvlJc w:val="left"/>
      <w:lvlText w:val="%1"/>
      <w:numFmt w:val="lowerLetter"/>
      <w:start w:val="1"/>
    </w:lvl>
    <w:lvl w:ilvl="1">
      <w:lvlJc w:val="left"/>
      <w:lvlText w:val="(%2)"/>
      <w:numFmt w:val="lowerRoman"/>
      <w:start w:val="12"/>
    </w:lvl>
  </w:abstractNum>
  <w:abstractNum w:abstractNumId="59">
    <w:nsid w:val="69E373"/>
    <w:multiLevelType w:val="hybridMultilevel"/>
    <w:lvl w:ilvl="0">
      <w:lvlJc w:val="left"/>
      <w:lvlText w:val="(%1)"/>
      <w:numFmt w:val="lowerLetter"/>
      <w:start w:val="2"/>
    </w:lvl>
    <w:lvl w:ilvl="1">
      <w:lvlJc w:val="left"/>
      <w:lvlText w:val="%2"/>
      <w:numFmt w:val="lowerRoman"/>
      <w:start w:val="1"/>
    </w:lvl>
  </w:abstractNum>
  <w:abstractNum w:abstractNumId="60">
    <w:nsid w:val="2C27173B"/>
    <w:multiLevelType w:val="hybridMultilevel"/>
    <w:lvl w:ilvl="0">
      <w:lvlJc w:val="left"/>
      <w:lvlText w:val="(%1)"/>
      <w:numFmt w:val="lowerLetter"/>
      <w:start w:val="1"/>
    </w:lvl>
  </w:abstractNum>
  <w:abstractNum w:abstractNumId="61">
    <w:nsid w:val="4C9B0904"/>
    <w:multiLevelType w:val="hybridMultilevel"/>
    <w:lvl w:ilvl="0">
      <w:lvlJc w:val="left"/>
      <w:lvlText w:val="(%1)"/>
      <w:numFmt w:val="lowerLetter"/>
      <w:start w:val="1"/>
    </w:lvl>
    <w:lvl w:ilvl="1">
      <w:lvlJc w:val="left"/>
      <w:lvlText w:val="(%2)"/>
      <w:numFmt w:val="lowerLetter"/>
      <w:start w:val="9"/>
    </w:lvl>
  </w:abstractNum>
  <w:abstractNum w:abstractNumId="62">
    <w:nsid w:val="6AA7B75C"/>
    <w:multiLevelType w:val="hybridMultilevel"/>
    <w:lvl w:ilvl="0">
      <w:lvlJc w:val="left"/>
      <w:lvlText w:val="%1"/>
      <w:numFmt w:val="lowerLetter"/>
      <w:start w:val="1"/>
    </w:lvl>
    <w:lvl w:ilvl="1">
      <w:lvlJc w:val="left"/>
      <w:lvlText w:val="(%2)"/>
      <w:numFmt w:val="lowerRoman"/>
      <w:start w:val="2"/>
    </w:lvl>
  </w:abstractNum>
  <w:abstractNum w:abstractNumId="63">
    <w:nsid w:val="1DF029D3"/>
    <w:multiLevelType w:val="hybridMultilevel"/>
    <w:lvl w:ilvl="0">
      <w:lvlJc w:val="left"/>
      <w:lvlText w:val="(%1)"/>
      <w:numFmt w:val="lowerLetter"/>
      <w:start w:val="2"/>
    </w:lvl>
    <w:lvl w:ilvl="1">
      <w:lvlJc w:val="left"/>
      <w:lvlText w:val="%2"/>
      <w:numFmt w:val="lowerRoman"/>
      <w:start w:val="1"/>
    </w:lvl>
  </w:abstractNum>
  <w:abstractNum w:abstractNumId="64">
    <w:nsid w:val="5675FF36"/>
    <w:multiLevelType w:val="hybridMultilevel"/>
    <w:lvl w:ilvl="0">
      <w:lvlJc w:val="left"/>
      <w:lvlText w:val="(%1)"/>
      <w:numFmt w:val="lowerLetter"/>
      <w:start w:val="2"/>
    </w:lvl>
  </w:abstractNum>
  <w:abstractNum w:abstractNumId="65">
    <w:nsid w:val="3DD15094"/>
    <w:multiLevelType w:val="hybridMultilevel"/>
    <w:lvl w:ilvl="0">
      <w:lvlJc w:val="left"/>
      <w:lvlText w:val="(%1)"/>
      <w:numFmt w:val="lowerLetter"/>
      <w:start w:val="5"/>
    </w:lvl>
  </w:abstractNum>
  <w:abstractNum w:abstractNumId="66">
    <w:nsid w:val="3DB012B3"/>
    <w:multiLevelType w:val="hybridMultilevel"/>
    <w:lvl w:ilvl="0">
      <w:lvlJc w:val="left"/>
      <w:lvlText w:val="(%1)"/>
      <w:numFmt w:val="lowerLetter"/>
      <w:start w:val="1"/>
    </w:lvl>
  </w:abstractNum>
  <w:abstractNum w:abstractNumId="67">
    <w:nsid w:val="2708C9AF"/>
    <w:multiLevelType w:val="hybridMultilevel"/>
    <w:lvl w:ilvl="0">
      <w:lvlJc w:val="left"/>
      <w:lvlText w:val="(%1)"/>
      <w:numFmt w:val="lowerLetter"/>
      <w:start w:val="2"/>
    </w:lvl>
  </w:abstractNum>
  <w:abstractNum w:abstractNumId="68">
    <w:nsid w:val="5B25ACE2"/>
    <w:multiLevelType w:val="hybridMultilevel"/>
    <w:lvl w:ilvl="0">
      <w:lvlJc w:val="left"/>
      <w:lvlText w:val="(%1)"/>
      <w:numFmt w:val="lowerLetter"/>
      <w:start w:val="1"/>
    </w:lvl>
  </w:abstractNum>
  <w:abstractNum w:abstractNumId="69">
    <w:nsid w:val="175DFCF0"/>
    <w:multiLevelType w:val="hybridMultilevel"/>
    <w:lvl w:ilvl="0">
      <w:lvlJc w:val="left"/>
      <w:lvlText w:val="(%1)"/>
      <w:numFmt w:val="lowerLetter"/>
      <w:start w:val="1"/>
    </w:lvl>
  </w:abstractNum>
  <w:abstractNum w:abstractNumId="70">
    <w:nsid w:val="4F97E3E4"/>
    <w:multiLevelType w:val="hybridMultilevel"/>
    <w:lvl w:ilvl="0">
      <w:lvlJc w:val="left"/>
      <w:lvlText w:val="(%1)"/>
      <w:numFmt w:val="lowerLetter"/>
      <w:start w:val="2"/>
    </w:lvl>
  </w:abstractNum>
  <w:abstractNum w:abstractNumId="71">
    <w:nsid w:val="53B0A9E"/>
    <w:multiLevelType w:val="hybridMultilevel"/>
    <w:lvl w:ilvl="0">
      <w:lvlJc w:val="left"/>
      <w:lvlText w:val="(%1)"/>
      <w:numFmt w:val="lowerLetter"/>
      <w:start w:val="1"/>
    </w:lvl>
  </w:abstractNum>
  <w:abstractNum w:abstractNumId="72">
    <w:nsid w:val="34FD6B4F"/>
    <w:multiLevelType w:val="hybridMultilevel"/>
    <w:lvl w:ilvl="0">
      <w:lvlJc w:val="left"/>
      <w:lvlText w:val="(%1)"/>
      <w:numFmt w:val="lowerLetter"/>
      <w:start w:val="1"/>
    </w:lvl>
  </w:abstractNum>
  <w:abstractNum w:abstractNumId="73">
    <w:nsid w:val="5915FF32"/>
    <w:multiLevelType w:val="hybridMultilevel"/>
    <w:lvl w:ilvl="0">
      <w:lvlJc w:val="left"/>
      <w:lvlText w:val="(%1)"/>
      <w:numFmt w:val="lowerLetter"/>
      <w:start w:val="1"/>
    </w:lvl>
    <w:lvl w:ilvl="1">
      <w:lvlJc w:val="left"/>
      <w:lvlText w:val="(%2)"/>
      <w:numFmt w:val="lowerRoman"/>
      <w:start w:val="1"/>
    </w:lvl>
  </w:abstractNum>
  <w:abstractNum w:abstractNumId="74">
    <w:nsid w:val="56438D15"/>
    <w:multiLevelType w:val="hybridMultilevel"/>
    <w:lvl w:ilvl="0">
      <w:lvlJc w:val="left"/>
      <w:lvlText w:val="%1"/>
      <w:numFmt w:val="lowerLetter"/>
      <w:start w:val="1"/>
    </w:lvl>
    <w:lvl w:ilvl="1">
      <w:lvlJc w:val="left"/>
      <w:lvlText w:val="(%2)"/>
      <w:numFmt w:val="lowerRoman"/>
      <w:start w:val="8"/>
    </w:lvl>
  </w:abstractNum>
  <w:abstractNum w:abstractNumId="75">
    <w:nsid w:val="519E3149"/>
    <w:multiLevelType w:val="hybridMultilevel"/>
    <w:lvl w:ilvl="0">
      <w:lvlJc w:val="left"/>
      <w:lvlText w:val="(%1)"/>
      <w:numFmt w:val="lowerLetter"/>
      <w:start w:val="3"/>
    </w:lvl>
    <w:lvl w:ilvl="1">
      <w:lvlJc w:val="left"/>
      <w:lvlText w:val="(%2)"/>
      <w:numFmt w:val="lowerRoman"/>
      <w:start w:val="1"/>
    </w:lvl>
  </w:abstractNum>
  <w:abstractNum w:abstractNumId="76">
    <w:nsid w:val="2C6E4AFD"/>
    <w:multiLevelType w:val="hybridMultilevel"/>
    <w:lvl w:ilvl="0">
      <w:lvlJc w:val="left"/>
      <w:lvlText w:val="(%1)"/>
      <w:numFmt w:val="lowerRoman"/>
      <w:start w:val="7"/>
    </w:lvl>
  </w:abstractNum>
  <w:abstractNum w:abstractNumId="77">
    <w:nsid w:val="17A1B582"/>
    <w:multiLevelType w:val="hybridMultilevel"/>
    <w:lvl w:ilvl="0">
      <w:lvlJc w:val="left"/>
      <w:lvlText w:val="%1"/>
      <w:numFmt w:val="lowerLetter"/>
      <w:start w:val="1"/>
    </w:lvl>
    <w:lvl w:ilvl="1">
      <w:lvlJc w:val="left"/>
      <w:lvlText w:val="(%2)"/>
      <w:numFmt w:val="lowerRoman"/>
      <w:start w:val="17"/>
    </w:lvl>
  </w:abstractNum>
  <w:abstractNum w:abstractNumId="78">
    <w:nsid w:val="4DF72E4E"/>
    <w:multiLevelType w:val="hybridMultilevel"/>
    <w:lvl w:ilvl="0">
      <w:lvlJc w:val="left"/>
      <w:lvlText w:val="(%1)"/>
      <w:numFmt w:val="lowerLetter"/>
      <w:start w:val="4"/>
    </w:lvl>
    <w:lvl w:ilvl="1">
      <w:lvlJc w:val="left"/>
      <w:lvlText w:val="%2"/>
      <w:numFmt w:val="lowerRoman"/>
      <w:start w:val="1"/>
    </w:lvl>
  </w:abstractNum>
  <w:abstractNum w:abstractNumId="79">
    <w:nsid w:val="5046B5A9"/>
    <w:multiLevelType w:val="hybridMultilevel"/>
    <w:lvl w:ilvl="0">
      <w:lvlJc w:val="left"/>
      <w:lvlText w:val="(%1)"/>
      <w:numFmt w:val="lowerLetter"/>
      <w:start w:val="5"/>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1"/>
    </w:lvl>
  </w:abstractNum>
  <w:abstractNum w:abstractNumId="82">
    <w:nsid w:val="5EC6AFD4"/>
    <w:multiLevelType w:val="hybridMultilevel"/>
    <w:lvl w:ilvl="0">
      <w:lvlJc w:val="left"/>
      <w:lvlText w:val="(%1)"/>
      <w:numFmt w:val="lowerLetter"/>
      <w:start w:val="2"/>
    </w:lvl>
  </w:abstractNum>
  <w:abstractNum w:abstractNumId="83">
    <w:nsid w:val="19E21BB2"/>
    <w:multiLevelType w:val="hybridMultilevel"/>
    <w:lvl w:ilvl="0">
      <w:lvlJc w:val="left"/>
      <w:lvlText w:val="(%1)"/>
      <w:numFmt w:val="lowerLetter"/>
      <w:start w:val="1"/>
    </w:lvl>
    <w:lvl w:ilvl="1">
      <w:lvlJc w:val="left"/>
      <w:lvlText w:val="(%2)"/>
      <w:numFmt w:val="lowerLetter"/>
      <w:start w:val="9"/>
    </w:lvl>
  </w:abstractNum>
  <w:abstractNum w:abstractNumId="84">
    <w:nsid w:val="75E0858A"/>
    <w:multiLevelType w:val="hybridMultilevel"/>
    <w:lvl w:ilvl="0">
      <w:lvlJc w:val="left"/>
      <w:lvlText w:val="%1"/>
      <w:numFmt w:val="lowerLetter"/>
      <w:start w:val="1"/>
    </w:lvl>
    <w:lvl w:ilvl="1">
      <w:lvlJc w:val="left"/>
      <w:lvlText w:val="(%2)"/>
      <w:numFmt w:val="lowerRoman"/>
      <w:start w:val="2"/>
    </w:lvl>
  </w:abstractNum>
  <w:abstractNum w:abstractNumId="85">
    <w:nsid w:val="57A61A29"/>
    <w:multiLevelType w:val="hybridMultilevel"/>
    <w:lvl w:ilvl="0">
      <w:lvlJc w:val="left"/>
      <w:lvlText w:val="(%1)"/>
      <w:numFmt w:val="lowerLetter"/>
      <w:start w:val="2"/>
    </w:lvl>
    <w:lvl w:ilvl="1">
      <w:lvlJc w:val="left"/>
      <w:lvlText w:val="%2"/>
      <w:numFmt w:val="lowerRoman"/>
      <w:start w:val="1"/>
    </w:lvl>
  </w:abstractNum>
  <w:abstractNum w:abstractNumId="86">
    <w:nsid w:val="5399C654"/>
    <w:multiLevelType w:val="hybridMultilevel"/>
    <w:lvl w:ilvl="0">
      <w:lvlJc w:val="left"/>
      <w:lvlText w:val="(%1)"/>
      <w:numFmt w:val="lowerLetter"/>
      <w:start w:val="1"/>
    </w:lvl>
  </w:abstractNum>
  <w:abstractNum w:abstractNumId="87">
    <w:nsid w:val="20EE1348"/>
    <w:multiLevelType w:val="hybridMultilevel"/>
    <w:lvl w:ilvl="0">
      <w:lvlJc w:val="left"/>
      <w:lvlText w:val="(%1)"/>
      <w:numFmt w:val="lowerLetter"/>
      <w:start w:val="4"/>
    </w:lvl>
  </w:abstractNum>
  <w:abstractNum w:abstractNumId="88">
    <w:nsid w:val="4427069A"/>
    <w:multiLevelType w:val="hybridMultilevel"/>
    <w:lvl w:ilvl="0">
      <w:lvlJc w:val="left"/>
      <w:lvlText w:val="(%1)"/>
      <w:numFmt w:val="lowerLetter"/>
      <w:start w:val="3"/>
    </w:lvl>
  </w:abstractNum>
  <w:abstractNum w:abstractNumId="89">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0">
    <w:nsid w:val="2157F6B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91">
    <w:nsid w:val="704E1DD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2">
    <w:nsid w:val="57D2F10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93">
    <w:nsid w:val="BFFAE18"/>
    <w:multiLevelType w:val="hybridMultilevel"/>
    <w:lvl w:ilvl="0">
      <w:lvlJc w:val="left"/>
      <w:lvlText w:val="(%1)"/>
      <w:numFmt w:val="decimal"/>
      <w:start w:val="90"/>
    </w:lvl>
    <w:lvl w:ilvl="1">
      <w:lvlJc w:val="left"/>
      <w:lvlText w:val="(%2)"/>
      <w:numFmt w:val="lowerRoman"/>
      <w:start w:val="1"/>
    </w:lvl>
  </w:abstractNum>
  <w:abstractNum w:abstractNumId="94">
    <w:nsid w:val="E3E47A8"/>
    <w:multiLevelType w:val="hybridMultilevel"/>
    <w:lvl w:ilvl="0">
      <w:lvlJc w:val="left"/>
      <w:lvlText w:val="(%1)"/>
      <w:numFmt w:val="lowerLetter"/>
      <w:start w:val="1"/>
    </w:lvl>
  </w:abstractNum>
  <w:abstractNum w:abstractNumId="95">
    <w:nsid w:val="2E48F044"/>
    <w:multiLevelType w:val="hybridMultilevel"/>
    <w:lvl w:ilvl="0">
      <w:lvlJc w:val="left"/>
      <w:lvlText w:val="(%1)"/>
      <w:numFmt w:val="lowerLetter"/>
      <w:start w:val="2"/>
    </w:lvl>
    <w:lvl w:ilvl="1">
      <w:lvlJc w:val="left"/>
      <w:lvlText w:val="(%2)"/>
      <w:numFmt w:val="lowerRoman"/>
      <w:start w:val="1"/>
    </w:lvl>
  </w:abstractNum>
  <w:abstractNum w:abstractNumId="96">
    <w:nsid w:val="49D0FEAC"/>
    <w:multiLevelType w:val="hybridMultilevel"/>
    <w:lvl w:ilvl="0">
      <w:lvlJc w:val="left"/>
      <w:lvlText w:val="%1"/>
      <w:numFmt w:val="lowerLetter"/>
      <w:start w:val="1"/>
    </w:lvl>
    <w:lvl w:ilvl="1">
      <w:lvlJc w:val="left"/>
      <w:lvlText w:val="(%2)"/>
      <w:numFmt w:val="lowerRoman"/>
      <w:start w:val="4"/>
    </w:lvl>
  </w:abstractNum>
  <w:abstractNum w:abstractNumId="97">
    <w:nsid w:val="4BEE5A5B"/>
    <w:multiLevelType w:val="hybridMultilevel"/>
    <w:lvl w:ilvl="0">
      <w:lvlJc w:val="left"/>
      <w:lvlText w:val="(%1)"/>
      <w:numFmt w:val="lowerLetter"/>
      <w:start w:val="5"/>
    </w:lvl>
    <w:lvl w:ilvl="1">
      <w:lvlJc w:val="left"/>
      <w:lvlText w:val="%2"/>
      <w:numFmt w:val="lowerRoman"/>
      <w:start w:val="1"/>
    </w:lvl>
  </w:abstractNum>
  <w:abstractNum w:abstractNumId="98">
    <w:nsid w:val="5551B9F3"/>
    <w:multiLevelType w:val="hybridMultilevel"/>
    <w:lvl w:ilvl="0">
      <w:lvlJc w:val="left"/>
      <w:lvlText w:val="%1"/>
      <w:numFmt w:val="lowerRoman"/>
      <w:start w:val="1"/>
    </w:lvl>
    <w:lvl w:ilvl="1">
      <w:lvlJc w:val="left"/>
      <w:lvlText w:val="(%2)"/>
      <w:numFmt w:val="lowerRoman"/>
      <w:start w:val="1"/>
    </w:lvl>
  </w:abstractNum>
  <w:abstractNum w:abstractNumId="99">
    <w:nsid w:val="24F6AB8E"/>
    <w:multiLevelType w:val="hybridMultilevel"/>
    <w:lvl w:ilvl="0">
      <w:lvlJc w:val="left"/>
      <w:lvlText w:val="(%1)"/>
      <w:numFmt w:val="lowerRoman"/>
      <w:start w:val="10"/>
    </w:lvl>
    <w:lvl w:ilvl="1">
      <w:lvlJc w:val="left"/>
      <w:lvlText w:val="(%2)"/>
      <w:numFmt w:val="lowerRoman"/>
      <w:start w:val="2"/>
    </w:lvl>
  </w:abstractNum>
  <w:abstractNum w:abstractNumId="100">
    <w:nsid w:val="634C574C"/>
    <w:multiLevelType w:val="hybridMultilevel"/>
    <w:lvl w:ilvl="0">
      <w:lvlJc w:val="left"/>
      <w:lvlText w:val="%1"/>
      <w:numFmt w:val="lowerLetter"/>
      <w:start w:val="1"/>
    </w:lvl>
    <w:lvl w:ilvl="1">
      <w:lvlJc w:val="left"/>
      <w:lvlText w:val="(%2)"/>
      <w:numFmt w:val="lowerRoman"/>
      <w:start w:val="5"/>
    </w:lvl>
  </w:abstractNum>
  <w:abstractNum w:abstractNumId="101">
    <w:nsid w:val="24E99DD7"/>
    <w:multiLevelType w:val="hybridMultilevel"/>
    <w:lvl w:ilvl="0">
      <w:lvlJc w:val="left"/>
      <w:lvlText w:val="(%1)"/>
      <w:numFmt w:val="lowerLetter"/>
      <w:start w:val="6"/>
    </w:lvl>
    <w:lvl w:ilvl="1">
      <w:lvlJc w:val="left"/>
      <w:lvlText w:val="%2"/>
      <w:numFmt w:val="lowerRoman"/>
      <w:start w:val="1"/>
    </w:lvl>
  </w:abstractNum>
  <w:abstractNum w:abstractNumId="102">
    <w:nsid w:val="2A31B62D"/>
    <w:multiLevelType w:val="hybridMultilevel"/>
    <w:lvl w:ilvl="0">
      <w:lvlJc w:val="left"/>
      <w:lvlText w:val="(%1)"/>
      <w:numFmt w:val="lowerLetter"/>
      <w:start w:val="7"/>
    </w:lvl>
  </w:abstractNum>
  <w:abstractNum w:abstractNumId="103">
    <w:nsid w:val="1849C29B"/>
    <w:multiLevelType w:val="hybridMultilevel"/>
    <w:lvl w:ilvl="0">
      <w:lvlJc w:val="left"/>
      <w:lvlText w:val="(%1)"/>
      <w:numFmt w:val="lowerRoman"/>
      <w:start w:val="3"/>
    </w:lvl>
  </w:abstractNum>
  <w:abstractNum w:abstractNumId="104">
    <w:nsid w:val="7DFF9D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5">
    <w:nsid w:val="75434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3"/>
    </w:lvl>
  </w:abstractNum>
  <w:abstractNum w:abstractNumId="106">
    <w:nsid w:val="69E7F3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107">
    <w:nsid w:val="2A6DE80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08">
    <w:nsid w:val="1816F8C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9">
    <w:nsid w:val="37DF2233"/>
    <w:multiLevelType w:val="hybridMultilevel"/>
    <w:lvl w:ilvl="0">
      <w:lvlJc w:val="left"/>
      <w:lvlText w:val="(%1)"/>
      <w:numFmt w:val="lowerRoman"/>
      <w:start w:val="3"/>
    </w:lvl>
  </w:abstractNum>
  <w:abstractNum w:abstractNumId="110">
    <w:nsid w:val="7AB49DAF"/>
    <w:multiLevelType w:val="hybridMultilevel"/>
    <w:lvl w:ilvl="0">
      <w:lvlJc w:val="left"/>
      <w:lvlText w:val="(%1)"/>
      <w:numFmt w:val="lowerLetter"/>
      <w:start w:val="1"/>
    </w:lvl>
    <w:lvl w:ilvl="1">
      <w:lvlJc w:val="left"/>
      <w:lvlText w:val="(%2)"/>
      <w:numFmt w:val="lowerRoman"/>
      <w:start w:val="1"/>
    </w:lvl>
  </w:abstractNum>
  <w:abstractNum w:abstractNumId="111">
    <w:nsid w:val="759F82CD"/>
    <w:multiLevelType w:val="hybridMultilevel"/>
    <w:lvl w:ilvl="0">
      <w:lvlJc w:val="left"/>
      <w:lvlText w:val="(%1)"/>
      <w:numFmt w:val="lowerRoman"/>
      <w:start w:val="3"/>
    </w:lvl>
  </w:abstractNum>
  <w:abstractNum w:abstractNumId="112">
    <w:nsid w:val="61E74EA3"/>
    <w:multiLevelType w:val="hybridMultilevel"/>
    <w:lvl w:ilvl="0">
      <w:lvlJc w:val="left"/>
      <w:lvlText w:val="(%1)"/>
      <w:numFmt w:val="lowerLetter"/>
      <w:start w:val="2"/>
    </w:lvl>
    <w:lvl w:ilvl="1">
      <w:lvlJc w:val="left"/>
      <w:lvlText w:val="(%2)"/>
      <w:numFmt w:val="lowerRoman"/>
      <w:start w:val="1"/>
    </w:lvl>
  </w:abstractNum>
  <w:abstractNum w:abstractNumId="113">
    <w:nsid w:val="597B4D84"/>
    <w:multiLevelType w:val="hybridMultilevel"/>
    <w:lvl w:ilvl="0">
      <w:lvlJc w:val="left"/>
      <w:lvlText w:val="(%1)"/>
      <w:numFmt w:val="lowerLetter"/>
      <w:start w:val="5"/>
    </w:lvl>
  </w:abstractNum>
  <w:abstractNum w:abstractNumId="114">
    <w:nsid w:val="F819E7F"/>
    <w:multiLevelType w:val="hybridMultilevel"/>
    <w:lvl w:ilvl="0">
      <w:lvlJc w:val="left"/>
      <w:lvlText w:val="(%1)"/>
      <w:numFmt w:val="lowerLetter"/>
      <w:start w:val="7"/>
    </w:lvl>
  </w:abstractNum>
  <w:abstractNum w:abstractNumId="115">
    <w:nsid w:val="57C7D42D"/>
    <w:multiLevelType w:val="hybridMultilevel"/>
    <w:lvl w:ilvl="0">
      <w:lvlJc w:val="left"/>
      <w:lvlText w:val="(%1)"/>
      <w:numFmt w:val="lowerLetter"/>
      <w:start w:val="1"/>
    </w:lvl>
    <w:lvl w:ilvl="1">
      <w:lvlJc w:val="left"/>
      <w:lvlText w:val="(%2)"/>
      <w:numFmt w:val="lowerRoman"/>
      <w:start w:val="1"/>
    </w:lvl>
  </w:abstractNum>
  <w:abstractNum w:abstractNumId="116">
    <w:nsid w:val="312167AD"/>
    <w:multiLevelType w:val="hybridMultilevel"/>
    <w:lvl w:ilvl="0">
      <w:lvlJc w:val="left"/>
      <w:lvlText w:val="(%1)"/>
      <w:numFmt w:val="lowerLetter"/>
      <w:start w:val="3"/>
    </w:lvl>
  </w:abstractNum>
  <w:abstractNum w:abstractNumId="117">
    <w:nsid w:val="631B64D4"/>
    <w:multiLevelType w:val="hybridMultilevel"/>
    <w:lvl w:ilvl="0">
      <w:lvlJc w:val="left"/>
      <w:lvlText w:val="(%1)"/>
      <w:numFmt w:val="lowerLetter"/>
      <w:start w:val="1"/>
    </w:lvl>
  </w:abstractNum>
  <w:abstractNum w:abstractNumId="118">
    <w:nsid w:val="78B5E776"/>
    <w:multiLevelType w:val="hybridMultilevel"/>
    <w:lvl w:ilvl="0">
      <w:lvlJc w:val="left"/>
      <w:lvlText w:val="(%1)"/>
      <w:numFmt w:val="lowerLetter"/>
      <w:start w:val="2"/>
    </w:lvl>
  </w:abstractNum>
  <w:abstractNum w:abstractNumId="119">
    <w:nsid w:val="75486E47"/>
    <w:multiLevelType w:val="hybridMultilevel"/>
    <w:lvl w:ilvl="0">
      <w:lvlJc w:val="left"/>
      <w:lvlText w:val="(%1)"/>
      <w:numFmt w:val="lowerLetter"/>
      <w:start w:val="1"/>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2"/>
    </w:lvl>
    <w:lvl w:ilvl="1">
      <w:lvlJc w:val="left"/>
      <w:lvlText w:val="(%2)"/>
      <w:numFmt w:val="lowerRoman"/>
      <w:start w:val="1"/>
    </w:lvl>
  </w:abstractNum>
  <w:abstractNum w:abstractNumId="122">
    <w:nsid w:val="65968C1C"/>
    <w:multiLevelType w:val="hybridMultilevel"/>
    <w:lvl w:ilvl="0">
      <w:lvlJc w:val="left"/>
      <w:lvlText w:val="(%1)"/>
      <w:numFmt w:val="lowerLetter"/>
      <w:start w:val="1"/>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lowerLetter"/>
      <w:start w:val="10"/>
    </w:lvl>
  </w:abstractNum>
  <w:abstractNum w:abstractNumId="125">
    <w:nsid w:val="73D4D3C4"/>
    <w:multiLevelType w:val="hybridMultilevel"/>
    <w:lvl w:ilvl="0">
      <w:lvlJc w:val="left"/>
      <w:lvlText w:val="(%1)"/>
      <w:numFmt w:val="lowerLetter"/>
      <w:start w:val="1"/>
    </w:lvl>
  </w:abstractNum>
  <w:abstractNum w:abstractNumId="126">
    <w:nsid w:val="746F2E30"/>
    <w:multiLevelType w:val="hybridMultilevel"/>
    <w:lvl w:ilvl="0">
      <w:lvlJc w:val="left"/>
      <w:lvlText w:val="(%1)"/>
      <w:numFmt w:val="lowerLetter"/>
      <w:start w:val="7"/>
    </w:lvl>
  </w:abstractNum>
  <w:abstractNum w:abstractNumId="127">
    <w:nsid w:val="6FDE8AF6"/>
    <w:multiLevelType w:val="hybridMultilevel"/>
    <w:lvl w:ilvl="0">
      <w:lvlJc w:val="left"/>
      <w:lvlText w:val="(%1)"/>
      <w:numFmt w:val="lowerLetter"/>
      <w:start w:val="1"/>
    </w:lvl>
  </w:abstractNum>
  <w:abstractNum w:abstractNumId="128">
    <w:nsid w:val="3FC32E20"/>
    <w:multiLevelType w:val="hybridMultilevel"/>
    <w:lvl w:ilvl="0">
      <w:lvlJc w:val="left"/>
      <w:lvlText w:val="(%1)"/>
      <w:numFmt w:val="lowerLetter"/>
      <w:start w:val="1"/>
    </w:lvl>
  </w:abstractNum>
  <w:abstractNum w:abstractNumId="129">
    <w:nsid w:val="49C0E823"/>
    <w:multiLevelType w:val="hybridMultilevel"/>
    <w:lvl w:ilvl="0">
      <w:lvlJc w:val="left"/>
      <w:lvlText w:val="(%1)"/>
      <w:numFmt w:val="lowerLetter"/>
      <w:start w:val="1"/>
    </w:lvl>
  </w:abstractNum>
  <w:abstractNum w:abstractNumId="130">
    <w:nsid w:val="14D53685"/>
    <w:multiLevelType w:val="hybridMultilevel"/>
    <w:lvl w:ilvl="0">
      <w:lvlJc w:val="left"/>
      <w:lvlText w:val="(%1)"/>
      <w:numFmt w:val="lowerLetter"/>
      <w:start w:val="2"/>
    </w:lvl>
  </w:abstractNum>
  <w:abstractNum w:abstractNumId="131">
    <w:nsid w:val="230F856C"/>
    <w:multiLevelType w:val="hybridMultilevel"/>
    <w:lvl w:ilvl="0">
      <w:lvlJc w:val="left"/>
      <w:lvlText w:val="(%1)"/>
      <w:numFmt w:val="lowerLetter"/>
      <w:start w:val="1"/>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lowerLetter"/>
      <w:start w:val="1"/>
    </w:lvl>
  </w:abstractNum>
  <w:abstractNum w:abstractNumId="134">
    <w:nsid w:val="3B594807"/>
    <w:multiLevelType w:val="hybridMultilevel"/>
    <w:lvl w:ilvl="0">
      <w:lvlJc w:val="left"/>
      <w:lvlText w:val="(%1)"/>
      <w:numFmt w:val="lowerLetter"/>
      <w:start w:val="1"/>
    </w:lvl>
    <w:lvl w:ilvl="1">
      <w:lvlJc w:val="left"/>
      <w:lvlText w:val="(%2)"/>
      <w:numFmt w:val="lowerRoman"/>
      <w:start w:val="1"/>
    </w:lvl>
  </w:abstractNum>
  <w:abstractNum w:abstractNumId="135">
    <w:nsid w:val="6CAA2304"/>
    <w:multiLevelType w:val="hybridMultilevel"/>
    <w:lvl w:ilvl="0">
      <w:lvlJc w:val="left"/>
      <w:lvlText w:val="%1"/>
      <w:numFmt w:val="lowerLetter"/>
      <w:start w:val="1"/>
    </w:lvl>
    <w:lvl w:ilvl="1">
      <w:lvlJc w:val="left"/>
      <w:lvlText w:val="(%2)"/>
      <w:numFmt w:val="lowerRoman"/>
      <w:start w:val="6"/>
    </w:lvl>
  </w:abstractNum>
  <w:abstractNum w:abstractNumId="136">
    <w:nsid w:val="3F7C2FF4"/>
    <w:multiLevelType w:val="hybridMultilevel"/>
    <w:lvl w:ilvl="0">
      <w:lvlJc w:val="left"/>
      <w:lvlText w:val="(%1)"/>
      <w:numFmt w:val="lowerLetter"/>
      <w:start w:val="2"/>
    </w:lvl>
    <w:lvl w:ilvl="1">
      <w:lvlJc w:val="left"/>
      <w:lvlText w:val="%2"/>
      <w:numFmt w:val="lowerRoman"/>
      <w:start w:val="1"/>
    </w:lvl>
  </w:abstractNum>
  <w:abstractNum w:abstractNumId="137">
    <w:nsid w:val="25413BEC"/>
    <w:multiLevelType w:val="hybridMultilevel"/>
    <w:lvl w:ilvl="0">
      <w:lvlJc w:val="left"/>
      <w:lvlText w:val="(%1)"/>
      <w:numFmt w:val="lowerLetter"/>
      <w:start w:val="1"/>
    </w:lvl>
    <w:lvl w:ilvl="1">
      <w:lvlJc w:val="left"/>
      <w:lvlText w:val="(%2)"/>
      <w:numFmt w:val="lowerRoman"/>
      <w:start w:val="1"/>
    </w:lvl>
  </w:abstractNum>
  <w:abstractNum w:abstractNumId="138">
    <w:nsid w:val="17180B0B"/>
    <w:multiLevelType w:val="hybridMultilevel"/>
    <w:lvl w:ilvl="0">
      <w:lvlJc w:val="left"/>
      <w:lvlText w:val="(%1)"/>
      <w:numFmt w:val="lowerLetter"/>
      <w:start w:val="1"/>
    </w:lvl>
  </w:abstractNum>
  <w:abstractNum w:abstractNumId="139">
    <w:nsid w:val="579328B9"/>
    <w:multiLevelType w:val="hybridMultilevel"/>
    <w:lvl w:ilvl="0">
      <w:lvlJc w:val="left"/>
      <w:lvlText w:val="(%1)"/>
      <w:numFmt w:val="lowerLetter"/>
      <w:start w:val="1"/>
    </w:lvl>
  </w:abstractNum>
  <w:abstractNum w:abstractNumId="140">
    <w:nsid w:val="5D205E20"/>
    <w:multiLevelType w:val="hybridMultilevel"/>
    <w:lvl w:ilvl="0">
      <w:lvlJc w:val="left"/>
      <w:lvlText w:val="(%1)"/>
      <w:numFmt w:val="lowerLetter"/>
      <w:start w:val="3"/>
    </w:lvl>
  </w:abstractNum>
  <w:abstractNum w:abstractNumId="141">
    <w:nsid w:val="11CCA8BA"/>
    <w:multiLevelType w:val="hybridMultilevel"/>
    <w:lvl w:ilvl="0">
      <w:lvlJc w:val="left"/>
      <w:lvlText w:val="(%1)"/>
      <w:numFmt w:val="lowerLetter"/>
      <w:start w:val="1"/>
    </w:lvl>
  </w:abstractNum>
  <w:abstractNum w:abstractNumId="142">
    <w:nsid w:val="4D32AB8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3">
    <w:nsid w:val="3F07ACC3"/>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44">
    <w:nsid w:val="6B47F63E"/>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145">
    <w:nsid w:val="5CB44A05"/>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46">
    <w:nsid w:val="16CF80F1"/>
    <w:multiLevelType w:val="hybridMultilevel"/>
    <w:lvl w:ilvl="0">
      <w:lvlJc w:val="left"/>
      <w:lvlText w:val="(%1)"/>
      <w:numFmt w:val="lowerLetter"/>
      <w:start w:val="2"/>
    </w:lvl>
  </w:abstractNum>
  <w:abstractNum w:abstractNumId="147">
    <w:nsid w:val="1C695DEC"/>
    <w:multiLevelType w:val="hybridMultilevel"/>
    <w:lvl w:ilvl="0">
      <w:lvlJc w:val="left"/>
      <w:lvlText w:val="(%1)"/>
      <w:numFmt w:val="lowerLetter"/>
      <w:start w:val="1"/>
    </w:lvl>
  </w:abstractNum>
  <w:abstractNum w:abstractNumId="148">
    <w:nsid w:val="3FCFAED9"/>
    <w:multiLevelType w:val="hybridMultilevel"/>
    <w:lvl w:ilvl="0">
      <w:lvlJc w:val="left"/>
      <w:lvlText w:val="(%1)"/>
      <w:numFmt w:val="lowerLetter"/>
      <w:start w:val="2"/>
    </w:lvl>
  </w:abstractNum>
  <w:abstractNum w:abstractNumId="149">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0">
    <w:nsid w:val="11B1CC33"/>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151">
    <w:nsid w:val="2E22FBB7"/>
    <w:multiLevelType w:val="hybridMultilevel"/>
    <w:lvl w:ilvl="0">
      <w:lvlJc w:val="left"/>
      <w:lvlText w:val="(%1)"/>
      <w:numFmt w:val="lowerLetter"/>
      <w:start w:val="1"/>
    </w:lvl>
  </w:abstractNum>
  <w:abstractNum w:abstractNumId="152">
    <w:nsid w:val="29934699"/>
    <w:multiLevelType w:val="hybridMultilevel"/>
    <w:lvl w:ilvl="0">
      <w:lvlJc w:val="left"/>
      <w:lvlText w:val="(%1)"/>
      <w:numFmt w:val="lowerLetter"/>
      <w:start w:val="2"/>
    </w:lvl>
  </w:abstractNum>
  <w:abstractNum w:abstractNumId="153">
    <w:nsid w:val="77485850"/>
    <w:multiLevelType w:val="hybridMultilevel"/>
    <w:lvl w:ilvl="0">
      <w:lvlJc w:val="left"/>
      <w:lvlText w:val="(%1)"/>
      <w:numFmt w:val="lowerLetter"/>
      <w:start w:val="3"/>
    </w:lvl>
  </w:abstractNum>
  <w:abstractNum w:abstractNumId="154">
    <w:nsid w:val="744939A3"/>
    <w:multiLevelType w:val="hybridMultilevel"/>
    <w:lvl w:ilvl="0">
      <w:lvlJc w:val="left"/>
      <w:lvlText w:val="(%1)"/>
      <w:numFmt w:val="lowerLetter"/>
      <w:start w:val="1"/>
    </w:lvl>
  </w:abstractNum>
  <w:abstractNum w:abstractNumId="155">
    <w:nsid w:val="4FA0D2E3"/>
    <w:multiLevelType w:val="hybridMultilevel"/>
    <w:lvl w:ilvl="0">
      <w:lvlJc w:val="left"/>
      <w:lvlText w:val="(%1)"/>
      <w:numFmt w:val="lowerLetter"/>
      <w:start w:val="1"/>
    </w:lvl>
    <w:lvl w:ilvl="1">
      <w:lvlJc w:val="left"/>
      <w:lvlText w:val="(%2)"/>
      <w:numFmt w:val="lowerRoman"/>
      <w:start w:val="1"/>
    </w:lvl>
  </w:abstractNum>
  <w:abstractNum w:abstractNumId="156">
    <w:nsid w:val="6B1D2C14"/>
    <w:multiLevelType w:val="hybridMultilevel"/>
    <w:lvl w:ilvl="0">
      <w:lvlJc w:val="left"/>
      <w:lvlText w:val="(%1)"/>
      <w:numFmt w:val="lowerLetter"/>
      <w:start w:val="2"/>
    </w:lvl>
  </w:abstractNum>
  <w:abstractNum w:abstractNumId="157">
    <w:nsid w:val="68B867D3"/>
    <w:multiLevelType w:val="hybridMultilevel"/>
    <w:lvl w:ilvl="0">
      <w:lvlJc w:val="left"/>
      <w:lvlText w:val="(%1)"/>
      <w:numFmt w:val="lowerLetter"/>
      <w:start w:val="1"/>
    </w:lvl>
  </w:abstractNum>
  <w:abstractNum w:abstractNumId="158">
    <w:nsid w:val="3F7F5DD9"/>
    <w:multiLevelType w:val="hybridMultilevel"/>
    <w:lvl w:ilvl="0">
      <w:lvlJc w:val="left"/>
      <w:lvlText w:val="(%1)"/>
      <w:numFmt w:val="lowerLetter"/>
      <w:start w:val="2"/>
    </w:lvl>
  </w:abstractNum>
  <w:abstractNum w:abstractNumId="159">
    <w:nsid w:val="2AE05A34"/>
    <w:multiLevelType w:val="hybridMultilevel"/>
    <w:lvl w:ilvl="0">
      <w:lvlJc w:val="left"/>
      <w:lvlText w:val="(%1)"/>
      <w:numFmt w:val="lowerLetter"/>
      <w:start w:val="3"/>
    </w:lvl>
  </w:abstractNum>
  <w:abstractNum w:abstractNumId="160">
    <w:nsid w:val="32794FF7"/>
    <w:multiLevelType w:val="hybridMultilevel"/>
    <w:lvl w:ilvl="0">
      <w:lvlJc w:val="left"/>
      <w:lvlText w:val="(%1)"/>
      <w:numFmt w:val="lowerRoman"/>
      <w:start w:val="1"/>
    </w:lvl>
  </w:abstractNum>
  <w:abstractNum w:abstractNumId="161">
    <w:nsid w:val="5454945E"/>
    <w:multiLevelType w:val="hybridMultilevel"/>
    <w:lvl w:ilvl="0">
      <w:lvlJc w:val="left"/>
      <w:lvlText w:val="(%1)"/>
      <w:numFmt w:val="lowerRoman"/>
      <w:start w:val="11"/>
    </w:lvl>
  </w:abstractNum>
  <w:abstractNum w:abstractNumId="162">
    <w:nsid w:val="4DEFDFA0"/>
    <w:multiLevelType w:val="hybridMultilevel"/>
    <w:lvl w:ilvl="0">
      <w:lvlJc w:val="left"/>
      <w:lvlText w:val="(%1)"/>
      <w:numFmt w:val="lowerLetter"/>
      <w:start w:val="1"/>
    </w:lvl>
  </w:abstractNum>
  <w:abstractNum w:abstractNumId="163">
    <w:nsid w:val="2123D5F2"/>
    <w:multiLevelType w:val="hybridMultilevel"/>
    <w:lvl w:ilvl="0">
      <w:lvlJc w:val="left"/>
      <w:lvlText w:val="(%1)"/>
      <w:numFmt w:val="lowerLetter"/>
      <w:start w:val="8"/>
    </w:lvl>
  </w:abstractNum>
  <w:abstractNum w:abstractNumId="164">
    <w:nsid w:val="135B8110"/>
    <w:multiLevelType w:val="hybridMultilevel"/>
    <w:lvl w:ilvl="0">
      <w:lvlJc w:val="left"/>
      <w:lvlText w:val="(%1)"/>
      <w:numFmt w:val="lowerLetter"/>
      <w:start w:val="1"/>
    </w:lvl>
  </w:abstractNum>
  <w:abstractNum w:abstractNumId="165">
    <w:nsid w:val="94927A8"/>
    <w:multiLevelType w:val="hybridMultilevel"/>
    <w:lvl w:ilvl="0">
      <w:lvlJc w:val="left"/>
      <w:lvlText w:val="(%1)"/>
      <w:numFmt w:val="lowerLetter"/>
      <w:start w:val="2"/>
    </w:lvl>
  </w:abstractNum>
  <w:abstractNum w:abstractNumId="166">
    <w:nsid w:val="DCDF8F6"/>
    <w:multiLevelType w:val="hybridMultilevel"/>
    <w:lvl w:ilvl="0">
      <w:lvlJc w:val="left"/>
      <w:lvlText w:val="%1."/>
      <w:numFmt w:val="decimal"/>
      <w:start w:val="1"/>
    </w:lvl>
  </w:abstractNum>
  <w:abstractNum w:abstractNumId="167">
    <w:nsid w:val="52D7B105"/>
    <w:multiLevelType w:val="hybridMultilevel"/>
    <w:lvl w:ilvl="0">
      <w:lvlJc w:val="left"/>
      <w:lvlText w:val="(%1)"/>
      <w:numFmt w:val="lowerLetter"/>
      <w:start w:val="1"/>
    </w:lvl>
  </w:abstractNum>
  <w:abstractNum w:abstractNumId="168">
    <w:nsid w:val="2E8A6394"/>
    <w:multiLevelType w:val="hybridMultilevel"/>
    <w:lvl w:ilvl="0">
      <w:lvlJc w:val="left"/>
      <w:lvlText w:val="%1."/>
      <w:numFmt w:val="decimal"/>
      <w:start w:val="5"/>
    </w:lvl>
  </w:abstractNum>
  <w:abstractNum w:abstractNumId="169">
    <w:nsid w:val="24E60401"/>
    <w:multiLevelType w:val="hybridMultilevel"/>
    <w:lvl w:ilvl="0">
      <w:lvlJc w:val="left"/>
      <w:lvlText w:val="(%1)"/>
      <w:numFmt w:val="lowerLetter"/>
      <w:start w:val="1"/>
    </w:lvl>
  </w:abstractNum>
  <w:abstractNum w:abstractNumId="170">
    <w:nsid w:val="2A6AD9BE"/>
    <w:multiLevelType w:val="hybridMultilevel"/>
    <w:lvl w:ilvl="0">
      <w:lvlJc w:val="left"/>
      <w:lvlText w:val="%1."/>
      <w:numFmt w:val="decimal"/>
      <w:start w:val="1"/>
    </w:lvl>
  </w:abstractNum>
  <w:abstractNum w:abstractNumId="171">
    <w:nsid w:val="BAAC1B4"/>
    <w:multiLevelType w:val="hybridMultilevel"/>
    <w:lvl w:ilvl="0">
      <w:lvlJc w:val="left"/>
      <w:lvlText w:val="(%1)"/>
      <w:numFmt w:val="lowerLetter"/>
      <w:start w:val="1"/>
    </w:lvl>
  </w:abstractNum>
  <w:abstractNum w:abstractNumId="172">
    <w:nsid w:val="36B2ACBC"/>
    <w:multiLevelType w:val="hybridMultilevel"/>
    <w:lvl w:ilvl="0">
      <w:lvlJc w:val="left"/>
      <w:lvlText w:val="%1."/>
      <w:numFmt w:val="decimal"/>
      <w:start w:val="5"/>
    </w:lvl>
  </w:abstractNum>
  <w:abstractNum w:abstractNumId="173">
    <w:nsid w:val="779D8544"/>
    <w:multiLevelType w:val="hybridMultilevel"/>
    <w:lvl w:ilvl="0">
      <w:lvlJc w:val="left"/>
      <w:lvlText w:val="(%1)"/>
      <w:numFmt w:val="lowerLetter"/>
      <w:start w:val="1"/>
    </w:lvl>
  </w:abstractNum>
  <w:abstractNum w:abstractNumId="174">
    <w:nsid w:val="4AB26E78"/>
    <w:multiLevelType w:val="hybridMultilevel"/>
    <w:lvl w:ilvl="0">
      <w:lvlJc w:val="left"/>
      <w:lvlText w:val="(%1)"/>
      <w:numFmt w:val="lowerRoman"/>
      <w:start w:val="1"/>
    </w:lvl>
  </w:abstractNum>
  <w:abstractNum w:abstractNumId="175">
    <w:nsid w:val="21FAA2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4" Type="http://schemas.openxmlformats.org/officeDocument/2006/relationships/image" Target="media/image83.png"/><Relationship Id="rId121"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90" Type="http://schemas.openxmlformats.org/officeDocument/2006/relationships/hyperlink" Target="https://www.sec.gov/Archives/edgar/data/1070423/000110465917061889/a17-22685_5ex3d1.htm#Exhibit3_1_122228" TargetMode="External"/><Relationship Id="rId91" Type="http://schemas.openxmlformats.org/officeDocument/2006/relationships/hyperlink" Target="https://www.sec.gov/Archives/edgar/data/1070423/000104746904016502/a2135501zex-3_2.htm" TargetMode="External"/><Relationship Id="rId92" Type="http://schemas.openxmlformats.org/officeDocument/2006/relationships/hyperlink" Target="https://www.sec.gov/Archives/edgar/data/1070423/000110465911010359/a11-2319_1ex3d9.htm" TargetMode="External"/><Relationship Id="rId93" Type="http://schemas.openxmlformats.org/officeDocument/2006/relationships/hyperlink" Target="https://www.sec.gov/Archives/edgar/data/1070423/000110465911010359/a11-2319_1ex3d10.htm" TargetMode="External"/><Relationship Id="rId94" Type="http://schemas.openxmlformats.org/officeDocument/2006/relationships/hyperlink" Target="https://www.sec.gov/Archives/edgar/data/1070423/000110465914014322/a13-25941_1ex3d7.htm" TargetMode="External"/><Relationship Id="rId95" Type="http://schemas.openxmlformats.org/officeDocument/2006/relationships/hyperlink" Target="https://www.sec.gov/Archives/edgar/data/1070423/000110465914014322/a13-25941_1ex3d8.htm" TargetMode="External"/><Relationship Id="rId96" Type="http://schemas.openxmlformats.org/officeDocument/2006/relationships/hyperlink" Target="https://www.sec.gov/Archives/edgar/data/1070423/000107042320000004/paa201910-kexhibit37.htm" TargetMode="External"/><Relationship Id="rId97" Type="http://schemas.openxmlformats.org/officeDocument/2006/relationships/hyperlink" Target="https://www.sec.gov/Archives/edgar/data/1070423/000104746904016502/a2135501zex-3_3.htm" TargetMode="External"/><Relationship Id="rId98" Type="http://schemas.openxmlformats.org/officeDocument/2006/relationships/hyperlink" Target="https://www.sec.gov/Archives/edgar/data/1070423/000110465914014322/a13-25941_1ex3d10.htm" TargetMode="External"/><Relationship Id="rId99" Type="http://schemas.openxmlformats.org/officeDocument/2006/relationships/hyperlink" Target="https://www.sec.gov/Archives/edgar/data/1070423/000110465916158355/a16-21841_1ex3d3.htm" TargetMode="External"/><Relationship Id="rId100" Type="http://schemas.openxmlformats.org/officeDocument/2006/relationships/hyperlink" Target="https://www.sec.gov/Archives/edgar/data/1070423/000110465916158355/a16-21841_1ex3d4.htm" TargetMode="External"/><Relationship Id="rId101" Type="http://schemas.openxmlformats.org/officeDocument/2006/relationships/hyperlink" Target="https://www.sec.gov/Archives/edgar/data/1070423/000110465918060011/a18-36196_1ex3d1.htm" TargetMode="External"/><Relationship Id="rId102" Type="http://schemas.openxmlformats.org/officeDocument/2006/relationships/hyperlink" Target="https://www.sec.gov/Archives/edgar/data/1070423/000110465919032810/a19-10856_1ex3d1.htm" TargetMode="External"/><Relationship Id="rId103" Type="http://schemas.openxmlformats.org/officeDocument/2006/relationships/hyperlink" Target="https://www.sec.gov/Archives/edgar/data/1070423/000110465923093997/tm2324104d2_ex3-1.htm" TargetMode="External"/><Relationship Id="rId105" Type="http://schemas.openxmlformats.org/officeDocument/2006/relationships/hyperlink" Target="https://www.sec.gov/Archives/edgar/data/1070423/000095012907001096/h43224exv3w10.htm" TargetMode="External"/><Relationship Id="rId106" Type="http://schemas.openxmlformats.org/officeDocument/2006/relationships/hyperlink" Target="https://www.sec.gov/Archives/edgar/data/1070423/000095012907001096/h43224exv3w11.htm" TargetMode="External"/><Relationship Id="rId107" Type="http://schemas.openxmlformats.org/officeDocument/2006/relationships/hyperlink" Target="https://www.sec.gov/Archives/edgar/data/1070423/000095012908000071/h52770exv3w3.htm" TargetMode="External"/><Relationship Id="rId108" Type="http://schemas.openxmlformats.org/officeDocument/2006/relationships/hyperlink" Target="https://www.sec.gov/Archives/edgar/data/1581990/000104746913007875/a2216069zex-3_1.htm" TargetMode="External"/><Relationship Id="rId109" Type="http://schemas.openxmlformats.org/officeDocument/2006/relationships/hyperlink" Target="https://www.sec.gov/Archives/edgar/data/1581990/000110465916158356/a16-21845_1ex3d2.htm" TargetMode="External"/><Relationship Id="rId110" Type="http://schemas.openxmlformats.org/officeDocument/2006/relationships/hyperlink" Target="https://www.sec.gov/Archives/edgar/data/1581990/000158199020000012/exhibit31.htm" TargetMode="External"/><Relationship Id="rId111" Type="http://schemas.openxmlformats.org/officeDocument/2006/relationships/hyperlink" Target="https://www.sec.gov/Archives/edgar/data/1581990/000104746913007875/a2216069zex-3_3.htm" TargetMode="External"/><Relationship Id="rId112" Type="http://schemas.openxmlformats.org/officeDocument/2006/relationships/hyperlink" Target="https://www.sec.gov/Archives/edgar/data/1070423/000107042322000006/paa202110-kexhibite69.htm" TargetMode="External"/><Relationship Id="rId113" Type="http://schemas.openxmlformats.org/officeDocument/2006/relationships/hyperlink" Target="https://www.sec.gov/Archives/edgar/data/1070423/000089924302002834/dex41.txt" TargetMode="External"/><Relationship Id="rId114" Type="http://schemas.openxmlformats.org/officeDocument/2006/relationships/hyperlink" Target="https://www.sec.gov/Archives/edgar/data/1070423/000110465906034368/a06-11663_1ex4d1.htm" TargetMode="External"/><Relationship Id="rId115" Type="http://schemas.openxmlformats.org/officeDocument/2006/relationships/hyperlink" Target="https://www.sec.gov/Archives/edgar/data/1070423/000095012906009235/h40667exv4w2.htm" TargetMode="External"/><Relationship Id="rId116" Type="http://schemas.openxmlformats.org/officeDocument/2006/relationships/hyperlink" Target="https://www.sec.gov/Archives/edgar/data/1070423/000119312512132295/d321017dex43.htm" TargetMode="External"/><Relationship Id="rId117" Type="http://schemas.openxmlformats.org/officeDocument/2006/relationships/hyperlink" Target="https://www.sec.gov/Archives/edgar/data/1070423/000119312512499932/d453762dex43.htm" TargetMode="External"/><Relationship Id="rId118" Type="http://schemas.openxmlformats.org/officeDocument/2006/relationships/hyperlink" Target="https://www.sec.gov/Archives/edgar/data/1070423/000119312514164183/d713938dex41.htm" TargetMode="External"/><Relationship Id="rId119" Type="http://schemas.openxmlformats.org/officeDocument/2006/relationships/hyperlink" Target="https://www.sec.gov/Archives/edgar/data/1070423/000119312514440007/d833885dex43.htm" TargetMode="External"/><Relationship Id="rId120" Type="http://schemas.openxmlformats.org/officeDocument/2006/relationships/hyperlink" Target="https://www.sec.gov/Archives/edgar/data/1070423/000119312515302829/d45393dex41.htm" TargetMode="External"/><Relationship Id="rId122" Type="http://schemas.openxmlformats.org/officeDocument/2006/relationships/hyperlink" Target="https://www.sec.gov/Archives/edgar/data/1070423/000110465916159593/a16-22232_1ex4d1.htm" TargetMode="External"/><Relationship Id="rId123" Type="http://schemas.openxmlformats.org/officeDocument/2006/relationships/hyperlink" Target="https://www.sec.gov/Archives/edgar/data/1070423/000141057819001281/tv529555_ex4-1.htm" TargetMode="External"/><Relationship Id="rId124" Type="http://schemas.openxmlformats.org/officeDocument/2006/relationships/hyperlink" Target="https://www.sec.gov/Archives/edgar/data/1070423/000110465920072270/tm2022235d1_ex4-1.htm" TargetMode="External"/><Relationship Id="rId125" Type="http://schemas.openxmlformats.org/officeDocument/2006/relationships/hyperlink" Target="https://www.sec.gov/Archives/edgar/data/1070423/000110465924075672/tm2418387d1_ex4-1.htm" TargetMode="External"/><Relationship Id="rId126" Type="http://schemas.openxmlformats.org/officeDocument/2006/relationships/hyperlink" Target="https://www.sec.gov/Archives/edgar/data/1070423/000110465925003785/tm253436d1_ex4-1.htm" TargetMode="External"/><Relationship Id="rId127" Type="http://schemas.openxmlformats.org/officeDocument/2006/relationships/hyperlink" Target="https://www.sec.gov/Archives/edgar/data/1070423/000095012309050401/h68193exv4w1.htm" TargetMode="External"/><Relationship Id="rId128" Type="http://schemas.openxmlformats.org/officeDocument/2006/relationships/hyperlink" Target="https://www.sec.gov/Archives/edgar/data/1070423/000110465916093299/a16-3362_1ex4d1.htm" TargetMode="External"/><Relationship Id="rId129" Type="http://schemas.openxmlformats.org/officeDocument/2006/relationships/hyperlink" Target="https://www.sec.gov/Archives/edgar/data/1070423/000110465916158355/a16-21841_1ex10d4.htm" TargetMode="External"/><Relationship Id="rId130" Type="http://schemas.openxmlformats.org/officeDocument/2006/relationships/hyperlink" Target="https://www.sec.gov/Archives/edgar/data/1070423/000107042325000006/paa202410-kexhibit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2025-08-08T16:20:05Z</dcterms:created>
  <dcterms:modified xsi:type="dcterms:W3CDTF">2025-08-08T16:20:05Z</dcterms:modified>
</cp:coreProperties>
</file>