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349250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306070</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20" w:right="1560" w:hanging="3812"/>
        <w:spacing w:after="0" w:line="402" w:lineRule="auto"/>
        <w:tabs>
          <w:tab w:leader="none" w:pos="475"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4" w:lineRule="exact"/>
        <w:rPr>
          <w:sz w:val="24"/>
          <w:szCs w:val="24"/>
          <w:color w:val="auto"/>
        </w:rPr>
      </w:pPr>
    </w:p>
    <w:p>
      <w:pPr>
        <w:sectPr>
          <w:pgSz w:w="11900" w:h="16838" w:orient="portrait"/>
          <w:cols w:equalWidth="0" w:num="2">
            <w:col w:w="7240" w:space="720"/>
            <w:col w:w="3220"/>
          </w:cols>
          <w:pgMar w:left="320" w:top="233" w:right="3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33" w:right="399" w:bottom="1440" w:gutter="0" w:footer="0" w:header="0"/>
          <w:type w:val="continuous"/>
        </w:sectPr>
      </w:pPr>
    </w:p>
    <w:p>
      <w:pPr>
        <w:spacing w:after="0" w:line="1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ind w:left="250"/>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92"/>
              </w:rPr>
              <w:t>Trading Symbol(s)</w:t>
            </w:r>
          </w:p>
        </w:tc>
        <w:tc>
          <w:tcPr>
            <w:tcW w:w="3960" w:type="dxa"/>
            <w:vAlign w:val="bottom"/>
            <w:tcBorders>
              <w:top w:val="single" w:sz="8" w:color="auto"/>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87"/>
              </w:rPr>
              <w:t>Class A Shares</w:t>
            </w:r>
          </w:p>
        </w:tc>
        <w:tc>
          <w:tcPr>
            <w:tcW w:w="2740" w:type="dxa"/>
            <w:vAlign w:val="bottom"/>
            <w:tcBorders>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87"/>
              </w:rPr>
              <w:t>PAGP</w:t>
            </w:r>
          </w:p>
        </w:tc>
        <w:tc>
          <w:tcPr>
            <w:tcW w:w="3960" w:type="dxa"/>
            <w:vAlign w:val="bottom"/>
            <w:tcBorders>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86"/>
              </w:rPr>
              <w:t>Nasdaq</w:t>
            </w:r>
          </w:p>
        </w:tc>
      </w:tr>
    </w:tbl>
    <w:p>
      <w:pPr>
        <w:spacing w:after="0" w:line="323"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760" w:type="dxa"/>
        <w:tblCellMar>
          <w:top w:w="0" w:type="dxa"/>
          <w:left w:w="0" w:type="dxa"/>
          <w:bottom w:w="0" w:type="dxa"/>
          <w:right w:w="0" w:type="dxa"/>
        </w:tblCellMar>
      </w:tblPr>
      <w:tr>
        <w:trPr>
          <w:trHeight w:val="249"/>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88"/>
              </w:rPr>
              <w:t>Large accelerated filer</w:t>
            </w:r>
          </w:p>
        </w:tc>
        <w:tc>
          <w:tcPr>
            <w:tcW w:w="20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95"/>
              </w:rPr>
              <w:t>Non-accelerated filer</w:t>
            </w:r>
          </w:p>
        </w:tc>
        <w:tc>
          <w:tcPr>
            <w:tcW w:w="20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1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68"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April 29, 2022, there were 194,228,477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200" w:type="dxa"/>
            <w:vAlign w:val="bottom"/>
            <w:gridSpan w:val="30"/>
          </w:tcPr>
          <w:p>
            <w:pP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1"/>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Item 1. UNAUDITED CONDENSED CONSOLIDATED FINANCIAL STATEMENTS:</w:t>
              </w:r>
            </w:hyperlink>
          </w:p>
        </w:tc>
        <w:tc>
          <w:tcPr>
            <w:tcW w:w="378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March 31, 2022 and December 31,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months ended March 31, 2022 and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540" w:type="dxa"/>
            <w:vAlign w:val="bottom"/>
            <w:gridSpan w:val="2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 For the three months ended March 31, 2022 and 2021</w:t>
              </w:r>
            </w:hyperlink>
          </w:p>
        </w:tc>
        <w:tc>
          <w:tcPr>
            <w:tcW w:w="1520" w:type="dxa"/>
            <w:vAlign w:val="bottom"/>
            <w:gridSpan w:val="4"/>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Changes in Accumulated Other Comprehensive Income/(Loss): For the three months ended March</w:t>
              </w:r>
            </w:hyperlink>
          </w:p>
        </w:tc>
        <w:tc>
          <w:tcPr>
            <w:tcW w:w="10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31, 2022 and 2021</w:t>
              </w:r>
            </w:hyperlink>
          </w:p>
        </w:tc>
        <w:tc>
          <w:tcPr>
            <w:tcW w:w="10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three months ended March 31, 2022 and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Changes in Partners’ Capital: For the three months ended March 31, 2022 and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8880" w:type="dxa"/>
            <w:vAlign w:val="bottom"/>
            <w:tcBorders>
              <w:top w:val="single" w:sz="8" w:color="0000FF"/>
            </w:tcBorders>
            <w:gridSpan w:val="2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Condensed Consolidated Financial Statements:</w:t>
              </w:r>
            </w:hyperlink>
          </w:p>
        </w:tc>
        <w:tc>
          <w:tcPr>
            <w:tcW w:w="1180" w:type="dxa"/>
            <w:vAlign w:val="bottom"/>
            <w:gridSpan w:val="3"/>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1.</w:t>
              </w:r>
            </w:hyperlink>
          </w:p>
        </w:tc>
        <w:tc>
          <w:tcPr>
            <w:tcW w:w="4200" w:type="dxa"/>
            <w:vAlign w:val="bottom"/>
            <w:gridSpan w:val="17"/>
          </w:tcPr>
          <w:p>
            <w:pPr>
              <w:ind w:left="20"/>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Organization and Basis of Consolidation and Presentation</w:t>
              </w:r>
            </w:hyperlink>
          </w:p>
        </w:tc>
        <w:tc>
          <w:tcPr>
            <w:tcW w:w="5520" w:type="dxa"/>
            <w:vAlign w:val="bottom"/>
            <w:gridSpan w:val="10"/>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2.</w:t>
              </w:r>
            </w:hyperlink>
          </w:p>
        </w:tc>
        <w:tc>
          <w:tcPr>
            <w:tcW w:w="3260" w:type="dxa"/>
            <w:vAlign w:val="bottom"/>
            <w:tcBorders>
              <w:bottom w:val="single" w:sz="8" w:color="0000FF"/>
            </w:tcBorders>
            <w:gridSpan w:val="14"/>
          </w:tcPr>
          <w:p>
            <w:pPr>
              <w:ind w:left="20"/>
              <w:spacing w:after="0"/>
              <w:rPr>
                <w:rFonts w:ascii="Arial" w:cs="Arial" w:eastAsia="Arial" w:hAnsi="Arial"/>
                <w:sz w:val="18"/>
                <w:szCs w:val="18"/>
                <w:color w:val="0000FF"/>
                <w:w w:val="93"/>
              </w:rPr>
            </w:pPr>
            <w:hyperlink w:anchor="page10">
              <w:r>
                <w:rPr>
                  <w:rFonts w:ascii="Arial" w:cs="Arial" w:eastAsia="Arial" w:hAnsi="Arial"/>
                  <w:sz w:val="18"/>
                  <w:szCs w:val="18"/>
                  <w:color w:val="0000FF"/>
                  <w:w w:val="93"/>
                </w:rPr>
                <w:t>Summary of Significant Accounting Policies</w:t>
              </w:r>
            </w:hyperlink>
          </w:p>
        </w:tc>
        <w:tc>
          <w:tcPr>
            <w:tcW w:w="940" w:type="dxa"/>
            <w:vAlign w:val="bottom"/>
            <w:gridSpan w:val="3"/>
          </w:tcPr>
          <w:p>
            <w:pPr>
              <w:spacing w:after="0"/>
              <w:rPr>
                <w:sz w:val="18"/>
                <w:szCs w:val="18"/>
                <w:color w:val="auto"/>
              </w:rPr>
            </w:pPr>
          </w:p>
        </w:tc>
        <w:tc>
          <w:tcPr>
            <w:tcW w:w="552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0">
              <w:r>
                <w:rPr>
                  <w:rFonts w:ascii="Arial" w:cs="Arial" w:eastAsia="Arial" w:hAnsi="Arial"/>
                  <w:sz w:val="17"/>
                  <w:szCs w:val="17"/>
                  <w:color w:val="0000FF"/>
                  <w:w w:val="73"/>
                </w:rPr>
                <w:t>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3.</w:t>
              </w:r>
            </w:hyperlink>
          </w:p>
        </w:tc>
        <w:tc>
          <w:tcPr>
            <w:tcW w:w="9720" w:type="dxa"/>
            <w:vAlign w:val="bottom"/>
            <w:gridSpan w:val="27"/>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Revenues and Accounts Receivable</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4.</w:t>
              </w:r>
            </w:hyperlink>
          </w:p>
        </w:tc>
        <w:tc>
          <w:tcPr>
            <w:tcW w:w="2220" w:type="dxa"/>
            <w:vAlign w:val="bottom"/>
            <w:tcBorders>
              <w:bottom w:val="single" w:sz="8" w:color="0000FF"/>
            </w:tcBorders>
            <w:gridSpan w:val="8"/>
          </w:tcPr>
          <w:p>
            <w:pPr>
              <w:ind w:left="20"/>
              <w:spacing w:after="0"/>
              <w:rPr>
                <w:rFonts w:ascii="Arial" w:cs="Arial" w:eastAsia="Arial" w:hAnsi="Arial"/>
                <w:sz w:val="18"/>
                <w:szCs w:val="18"/>
                <w:color w:val="0000FF"/>
                <w:w w:val="88"/>
              </w:rPr>
            </w:pPr>
            <w:hyperlink w:anchor="page14">
              <w:r>
                <w:rPr>
                  <w:rFonts w:ascii="Arial" w:cs="Arial" w:eastAsia="Arial" w:hAnsi="Arial"/>
                  <w:sz w:val="18"/>
                  <w:szCs w:val="18"/>
                  <w:color w:val="0000FF"/>
                  <w:w w:val="88"/>
                </w:rPr>
                <w:t>Net Income Per Class A Share</w:t>
              </w:r>
            </w:hyperlink>
          </w:p>
        </w:tc>
        <w:tc>
          <w:tcPr>
            <w:tcW w:w="360" w:type="dxa"/>
            <w:vAlign w:val="bottom"/>
            <w:gridSpan w:val="3"/>
          </w:tcPr>
          <w:p>
            <w:pPr>
              <w:spacing w:after="0"/>
              <w:rPr>
                <w:sz w:val="18"/>
                <w:szCs w:val="18"/>
                <w:color w:val="auto"/>
              </w:rPr>
            </w:pPr>
          </w:p>
        </w:tc>
        <w:tc>
          <w:tcPr>
            <w:tcW w:w="7140" w:type="dxa"/>
            <w:vAlign w:val="bottom"/>
            <w:gridSpan w:val="16"/>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4">
              <w:r>
                <w:rPr>
                  <w:rFonts w:ascii="Arial" w:cs="Arial" w:eastAsia="Arial" w:hAnsi="Arial"/>
                  <w:sz w:val="17"/>
                  <w:szCs w:val="17"/>
                  <w:color w:val="0000FF"/>
                  <w:w w:val="73"/>
                </w:rPr>
                <w:t>14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5.</w:t>
              </w:r>
            </w:hyperlink>
          </w:p>
        </w:tc>
        <w:tc>
          <w:tcPr>
            <w:tcW w:w="3220" w:type="dxa"/>
            <w:vAlign w:val="bottom"/>
            <w:tcBorders>
              <w:bottom w:val="single" w:sz="8" w:color="0000FF"/>
            </w:tcBorders>
            <w:gridSpan w:val="13"/>
          </w:tcPr>
          <w:p>
            <w:pPr>
              <w:ind w:left="20"/>
              <w:spacing w:after="0"/>
              <w:rPr>
                <w:rFonts w:ascii="Arial" w:cs="Arial" w:eastAsia="Arial" w:hAnsi="Arial"/>
                <w:sz w:val="18"/>
                <w:szCs w:val="18"/>
                <w:color w:val="0000FF"/>
                <w:w w:val="94"/>
              </w:rPr>
            </w:pPr>
            <w:hyperlink w:anchor="page15">
              <w:r>
                <w:rPr>
                  <w:rFonts w:ascii="Arial" w:cs="Arial" w:eastAsia="Arial" w:hAnsi="Arial"/>
                  <w:sz w:val="18"/>
                  <w:szCs w:val="18"/>
                  <w:color w:val="0000FF"/>
                  <w:w w:val="94"/>
                </w:rPr>
                <w:t>Inventory, Linefill and Long-term Inventory</w:t>
              </w:r>
            </w:hyperlink>
          </w:p>
        </w:tc>
        <w:tc>
          <w:tcPr>
            <w:tcW w:w="6500" w:type="dxa"/>
            <w:vAlign w:val="bottom"/>
            <w:gridSpan w:val="14"/>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5">
              <w:r>
                <w:rPr>
                  <w:rFonts w:ascii="Arial" w:cs="Arial" w:eastAsia="Arial" w:hAnsi="Arial"/>
                  <w:sz w:val="17"/>
                  <w:szCs w:val="17"/>
                  <w:color w:val="0000FF"/>
                  <w:w w:val="73"/>
                </w:rPr>
                <w:t>15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6.</w:t>
              </w:r>
            </w:hyperlink>
          </w:p>
        </w:tc>
        <w:tc>
          <w:tcPr>
            <w:tcW w:w="380" w:type="dxa"/>
            <w:vAlign w:val="bottom"/>
            <w:tcBorders>
              <w:bottom w:val="single" w:sz="8" w:color="0000FF"/>
            </w:tcBorders>
          </w:tcPr>
          <w:p>
            <w:pPr>
              <w:ind w:left="2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Debt</w:t>
              </w:r>
            </w:hyperlink>
          </w:p>
        </w:tc>
        <w:tc>
          <w:tcPr>
            <w:tcW w:w="9340" w:type="dxa"/>
            <w:vAlign w:val="bottom"/>
            <w:gridSpan w:val="26"/>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5">
              <w:r>
                <w:rPr>
                  <w:rFonts w:ascii="Arial" w:cs="Arial" w:eastAsia="Arial" w:hAnsi="Arial"/>
                  <w:sz w:val="17"/>
                  <w:szCs w:val="17"/>
                  <w:color w:val="0000FF"/>
                  <w:w w:val="73"/>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7.</w:t>
              </w:r>
            </w:hyperlink>
          </w:p>
        </w:tc>
        <w:tc>
          <w:tcPr>
            <w:tcW w:w="2580" w:type="dxa"/>
            <w:vAlign w:val="bottom"/>
            <w:tcBorders>
              <w:bottom w:val="single" w:sz="8" w:color="0000FF"/>
            </w:tcBorders>
            <w:gridSpan w:val="11"/>
          </w:tcPr>
          <w:p>
            <w:pPr>
              <w:ind w:left="20"/>
              <w:spacing w:after="0"/>
              <w:rPr>
                <w:rFonts w:ascii="Arial" w:cs="Arial" w:eastAsia="Arial" w:hAnsi="Arial"/>
                <w:sz w:val="18"/>
                <w:szCs w:val="18"/>
                <w:color w:val="0000FF"/>
                <w:w w:val="92"/>
              </w:rPr>
            </w:pPr>
            <w:hyperlink w:anchor="page16">
              <w:r>
                <w:rPr>
                  <w:rFonts w:ascii="Arial" w:cs="Arial" w:eastAsia="Arial" w:hAnsi="Arial"/>
                  <w:sz w:val="18"/>
                  <w:szCs w:val="18"/>
                  <w:color w:val="0000FF"/>
                  <w:w w:val="92"/>
                </w:rPr>
                <w:t>Partners’ Capital and Distributions</w:t>
              </w:r>
            </w:hyperlink>
          </w:p>
        </w:tc>
        <w:tc>
          <w:tcPr>
            <w:tcW w:w="7140" w:type="dxa"/>
            <w:vAlign w:val="bottom"/>
            <w:gridSpan w:val="16"/>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6">
              <w:r>
                <w:rPr>
                  <w:rFonts w:ascii="Arial" w:cs="Arial" w:eastAsia="Arial" w:hAnsi="Arial"/>
                  <w:sz w:val="17"/>
                  <w:szCs w:val="17"/>
                  <w:color w:val="0000FF"/>
                  <w:w w:val="73"/>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8.</w:t>
              </w:r>
            </w:hyperlink>
          </w:p>
        </w:tc>
        <w:tc>
          <w:tcPr>
            <w:tcW w:w="3280" w:type="dxa"/>
            <w:vAlign w:val="bottom"/>
            <w:tcBorders>
              <w:bottom w:val="single" w:sz="8" w:color="0000FF"/>
            </w:tcBorders>
            <w:gridSpan w:val="15"/>
          </w:tcPr>
          <w:p>
            <w:pPr>
              <w:ind w:left="20"/>
              <w:spacing w:after="0"/>
              <w:rPr>
                <w:rFonts w:ascii="Arial" w:cs="Arial" w:eastAsia="Arial" w:hAnsi="Arial"/>
                <w:sz w:val="18"/>
                <w:szCs w:val="18"/>
                <w:color w:val="0000FF"/>
                <w:w w:val="92"/>
              </w:rPr>
            </w:pPr>
            <w:hyperlink w:anchor="page19">
              <w:r>
                <w:rPr>
                  <w:rFonts w:ascii="Arial" w:cs="Arial" w:eastAsia="Arial" w:hAnsi="Arial"/>
                  <w:sz w:val="18"/>
                  <w:szCs w:val="18"/>
                  <w:color w:val="0000FF"/>
                  <w:w w:val="92"/>
                </w:rPr>
                <w:t>Derivatives and Risk Management Activities</w:t>
              </w:r>
            </w:hyperlink>
          </w:p>
        </w:tc>
        <w:tc>
          <w:tcPr>
            <w:tcW w:w="6440" w:type="dxa"/>
            <w:vAlign w:val="bottom"/>
            <w:gridSpan w:val="12"/>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9">
              <w:r>
                <w:rPr>
                  <w:rFonts w:ascii="Arial" w:cs="Arial" w:eastAsia="Arial" w:hAnsi="Arial"/>
                  <w:sz w:val="17"/>
                  <w:szCs w:val="17"/>
                  <w:color w:val="0000FF"/>
                  <w:w w:val="73"/>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9.</w:t>
              </w:r>
            </w:hyperlink>
          </w:p>
        </w:tc>
        <w:tc>
          <w:tcPr>
            <w:tcW w:w="9720" w:type="dxa"/>
            <w:vAlign w:val="bottom"/>
            <w:gridSpan w:val="27"/>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Related Party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bottom w:val="single" w:sz="8" w:color="0000FF"/>
            </w:tcBorders>
            <w:gridSpan w:val="11"/>
          </w:tcPr>
          <w:p>
            <w:pPr>
              <w:ind w:left="2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10. Commitments and Contingencies</w:t>
              </w:r>
            </w:hyperlink>
          </w:p>
        </w:tc>
        <w:tc>
          <w:tcPr>
            <w:tcW w:w="7200" w:type="dxa"/>
            <w:vAlign w:val="bottom"/>
            <w:gridSpan w:val="17"/>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24">
              <w:r>
                <w:rPr>
                  <w:rFonts w:ascii="Arial" w:cs="Arial" w:eastAsia="Arial" w:hAnsi="Arial"/>
                  <w:sz w:val="17"/>
                  <w:szCs w:val="17"/>
                  <w:color w:val="0000FF"/>
                  <w:w w:val="73"/>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gridSpan w:val="28"/>
          </w:tcPr>
          <w:p>
            <w:pPr>
              <w:ind w:left="20"/>
              <w:spacing w:after="0"/>
              <w:rPr>
                <w:rFonts w:ascii="Arial" w:cs="Arial" w:eastAsia="Arial" w:hAnsi="Arial"/>
                <w:sz w:val="18"/>
                <w:szCs w:val="18"/>
                <w:color w:val="0000FF"/>
              </w:rPr>
            </w:pPr>
            <w:hyperlink w:anchor="page29">
              <w:r>
                <w:rPr>
                  <w:rFonts w:ascii="Arial" w:cs="Arial" w:eastAsia="Arial" w:hAnsi="Arial"/>
                  <w:sz w:val="18"/>
                  <w:szCs w:val="18"/>
                  <w:color w:val="0000FF"/>
                </w:rPr>
                <w:t>11. Segment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28"/>
          </w:tcPr>
          <w:p>
            <w:pPr>
              <w:spacing w:after="0"/>
              <w:rPr>
                <w:rFonts w:ascii="Arial" w:cs="Arial" w:eastAsia="Arial" w:hAnsi="Arial"/>
                <w:sz w:val="18"/>
                <w:szCs w:val="18"/>
                <w:color w:val="0000FF"/>
                <w:w w:val="96"/>
              </w:rPr>
            </w:pPr>
            <w:hyperlink w:anchor="page33">
              <w:r>
                <w:rPr>
                  <w:rFonts w:ascii="Arial" w:cs="Arial" w:eastAsia="Arial" w:hAnsi="Arial"/>
                  <w:sz w:val="18"/>
                  <w:szCs w:val="18"/>
                  <w:color w:val="0000FF"/>
                  <w:w w:val="96"/>
                </w:rPr>
                <w:t>Item 2. MANAGEMENT’S DISCUSSION AND ANALYSIS OF FINANCIAL CONDITION AND RESULTS OF OPERATIONS</w:t>
              </w:r>
            </w:hyperlink>
          </w:p>
        </w:tc>
        <w:tc>
          <w:tcPr>
            <w:tcW w:w="7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33">
              <w:r>
                <w:rPr>
                  <w:rFonts w:ascii="Arial" w:cs="Arial" w:eastAsia="Arial" w:hAnsi="Arial"/>
                  <w:sz w:val="17"/>
                  <w:szCs w:val="17"/>
                  <w:color w:val="0000FF"/>
                  <w:w w:val="73"/>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0000FF"/>
            </w:tcBorders>
            <w:gridSpan w:val="24"/>
          </w:tcPr>
          <w:p>
            <w:pPr>
              <w:spacing w:after="0"/>
              <w:rPr>
                <w:rFonts w:ascii="Arial" w:cs="Arial" w:eastAsia="Arial" w:hAnsi="Arial"/>
                <w:sz w:val="18"/>
                <w:szCs w:val="18"/>
                <w:color w:val="0000FF"/>
                <w:w w:val="97"/>
              </w:rPr>
            </w:pPr>
            <w:hyperlink w:anchor="page50">
              <w:r>
                <w:rPr>
                  <w:rFonts w:ascii="Arial" w:cs="Arial" w:eastAsia="Arial" w:hAnsi="Arial"/>
                  <w:sz w:val="18"/>
                  <w:szCs w:val="18"/>
                  <w:color w:val="0000FF"/>
                  <w:w w:val="97"/>
                </w:rPr>
                <w:t>Item 3. QUANTITATIVE AND QUALITATIVE DISCLOSURES ABOUT MARKET RISK</w:t>
              </w:r>
            </w:hyperlink>
          </w:p>
        </w:tc>
        <w:tc>
          <w:tcPr>
            <w:tcW w:w="350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51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5"/>
          </w:tcPr>
          <w:p>
            <w:pPr>
              <w:spacing w:after="0"/>
              <w:rPr>
                <w:rFonts w:ascii="Arial" w:cs="Arial" w:eastAsia="Arial" w:hAnsi="Arial"/>
                <w:sz w:val="18"/>
                <w:szCs w:val="18"/>
                <w:color w:val="0000FF"/>
                <w:w w:val="93"/>
              </w:rPr>
            </w:pPr>
            <w:hyperlink w:anchor="page52">
              <w:r>
                <w:rPr>
                  <w:rFonts w:ascii="Arial" w:cs="Arial" w:eastAsia="Arial" w:hAnsi="Arial"/>
                  <w:sz w:val="18"/>
                  <w:szCs w:val="18"/>
                  <w:color w:val="0000FF"/>
                  <w:w w:val="93"/>
                </w:rPr>
                <w:t>Item 4. CONTROLS AND PROCEDURES</w:t>
              </w:r>
            </w:hyperlink>
          </w:p>
        </w:tc>
        <w:tc>
          <w:tcPr>
            <w:tcW w:w="7040" w:type="dxa"/>
            <w:vAlign w:val="bottom"/>
            <w:gridSpan w:val="15"/>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0"/>
          </w:tcPr>
          <w:p>
            <w:pPr>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PART II. OTHER INFORMATION</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4"/>
              </w:rPr>
            </w:pPr>
            <w:hyperlink w:anchor="page53">
              <w:r>
                <w:rPr>
                  <w:rFonts w:ascii="Arial" w:cs="Arial" w:eastAsia="Arial" w:hAnsi="Arial"/>
                  <w:sz w:val="18"/>
                  <w:szCs w:val="18"/>
                  <w:color w:val="0000FF"/>
                  <w:w w:val="94"/>
                </w:rPr>
                <w:t>Item 1. LEGAL PROCEEDINGS</w:t>
              </w:r>
            </w:hyperlink>
          </w:p>
        </w:tc>
        <w:tc>
          <w:tcPr>
            <w:tcW w:w="320" w:type="dxa"/>
            <w:vAlign w:val="bottom"/>
            <w:tcBorders>
              <w:top w:val="single" w:sz="8" w:color="0000FF"/>
            </w:tcBorders>
            <w:gridSpan w:val="2"/>
          </w:tcPr>
          <w:p>
            <w:pPr>
              <w:spacing w:after="0"/>
              <w:rPr>
                <w:sz w:val="18"/>
                <w:szCs w:val="18"/>
                <w:color w:val="auto"/>
              </w:rPr>
            </w:pPr>
          </w:p>
        </w:tc>
        <w:tc>
          <w:tcPr>
            <w:tcW w:w="7440" w:type="dxa"/>
            <w:vAlign w:val="bottom"/>
            <w:gridSpan w:val="18"/>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53">
              <w:r>
                <w:rPr>
                  <w:rFonts w:ascii="Arial" w:cs="Arial" w:eastAsia="Arial" w:hAnsi="Arial"/>
                  <w:sz w:val="18"/>
                  <w:szCs w:val="18"/>
                  <w:color w:val="0000FF"/>
                  <w:w w:val="93"/>
                </w:rPr>
                <w:t>Item 1A. RISK FACTORS</w:t>
              </w:r>
            </w:hyperlink>
          </w:p>
        </w:tc>
        <w:tc>
          <w:tcPr>
            <w:tcW w:w="8260" w:type="dxa"/>
            <w:vAlign w:val="bottom"/>
            <w:gridSpan w:val="22"/>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0"/>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2. UNREGISTERED SALES OF EQUITY SECURITIES AND USE OF PROCEEDS</w:t>
              </w:r>
            </w:hyperlink>
          </w:p>
        </w:tc>
        <w:tc>
          <w:tcPr>
            <w:tcW w:w="100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0000FF"/>
            </w:tcBorders>
            <w:gridSpan w:val="23"/>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3. DEFAULTS UPON SENIOR SECURITIES</w:t>
              </w:r>
            </w:hyperlink>
          </w:p>
        </w:tc>
        <w:tc>
          <w:tcPr>
            <w:tcW w:w="3580" w:type="dxa"/>
            <w:vAlign w:val="bottom"/>
            <w:gridSpan w:val="7"/>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4"/>
              </w:rPr>
            </w:pPr>
            <w:hyperlink w:anchor="page53">
              <w:r>
                <w:rPr>
                  <w:rFonts w:ascii="Arial" w:cs="Arial" w:eastAsia="Arial" w:hAnsi="Arial"/>
                  <w:sz w:val="18"/>
                  <w:szCs w:val="18"/>
                  <w:color w:val="0000FF"/>
                  <w:w w:val="94"/>
                </w:rPr>
                <w:t>Item 4. MINE SAFETY DISCLOSURES</w:t>
              </w:r>
            </w:hyperlink>
          </w:p>
        </w:tc>
        <w:tc>
          <w:tcPr>
            <w:tcW w:w="740" w:type="dxa"/>
            <w:vAlign w:val="bottom"/>
            <w:tcBorders>
              <w:top w:val="single" w:sz="8" w:color="0000FF"/>
            </w:tcBorders>
            <w:gridSpan w:val="4"/>
          </w:tcPr>
          <w:p>
            <w:pPr>
              <w:spacing w:after="0"/>
              <w:rPr>
                <w:sz w:val="18"/>
                <w:szCs w:val="18"/>
                <w:color w:val="auto"/>
              </w:rPr>
            </w:pPr>
          </w:p>
        </w:tc>
        <w:tc>
          <w:tcPr>
            <w:tcW w:w="6460" w:type="dxa"/>
            <w:vAlign w:val="bottom"/>
            <w:gridSpan w:val="13"/>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0"/>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5. OTHER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0"/>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6. EXHIBITS</w:t>
              </w:r>
            </w:hyperlink>
          </w:p>
        </w:tc>
        <w:tc>
          <w:tcPr>
            <w:tcW w:w="7760" w:type="dxa"/>
            <w:vAlign w:val="bottom"/>
            <w:gridSpan w:val="20"/>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54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0000FF"/>
            </w:tcBorders>
            <w:gridSpan w:val="6"/>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SIGNATURES</w:t>
              </w:r>
            </w:hyperlink>
          </w:p>
        </w:tc>
        <w:tc>
          <w:tcPr>
            <w:tcW w:w="8820" w:type="dxa"/>
            <w:vAlign w:val="bottom"/>
            <w:gridSpan w:val="24"/>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57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91"/>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452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Inventory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6,140</w:t>
            </w:r>
          </w:p>
        </w:tc>
      </w:tr>
      <w:tr>
        <w:trPr>
          <w:trHeight w:val="88"/>
        </w:trPr>
        <w:tc>
          <w:tcPr>
            <w:tcW w:w="8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19,434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19,292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(4,383)</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14,869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14,909</w:t>
            </w:r>
          </w:p>
        </w:tc>
      </w:tr>
      <w:tr>
        <w:trPr>
          <w:trHeight w:val="88"/>
        </w:trPr>
        <w:tc>
          <w:tcPr>
            <w:tcW w:w="8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OTHER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1,960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Linefill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r>
      <w:tr>
        <w:trPr>
          <w:trHeight w:val="210"/>
        </w:trPr>
        <w:tc>
          <w:tcPr>
            <w:tcW w:w="8240" w:type="dxa"/>
            <w:vAlign w:val="bottom"/>
          </w:tcPr>
          <w:p>
            <w:pPr>
              <w:ind w:left="14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31,991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29,978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08"/>
        </w:trPr>
        <w:tc>
          <w:tcPr>
            <w:tcW w:w="8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4,811</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822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6,234</w:t>
            </w:r>
          </w:p>
        </w:tc>
      </w:tr>
      <w:tr>
        <w:trPr>
          <w:trHeight w:val="88"/>
        </w:trPr>
        <w:tc>
          <w:tcPr>
            <w:tcW w:w="8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8,329</w:t>
            </w:r>
          </w:p>
        </w:tc>
      </w:tr>
      <w:tr>
        <w:trPr>
          <w:trHeight w:val="230"/>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9,567</w:t>
            </w:r>
          </w:p>
        </w:tc>
      </w:tr>
      <w:tr>
        <w:trPr>
          <w:trHeight w:val="88"/>
        </w:trPr>
        <w:tc>
          <w:tcPr>
            <w:tcW w:w="8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08"/>
        </w:trPr>
        <w:tc>
          <w:tcPr>
            <w:tcW w:w="8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Class A shareholders (194,228,477 and 194,192,777 shares outstanding, respectively)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1,533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12,661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12,644</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14,177</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31,991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20" w:type="dxa"/>
            <w:vAlign w:val="bottom"/>
          </w:tcPr>
          <w:p>
            <w:pPr>
              <w:spacing w:after="0"/>
              <w:rPr>
                <w:sz w:val="20"/>
                <w:szCs w:val="20"/>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Product sales 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13,381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8,083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revenues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13,694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8,383</w:t>
            </w:r>
          </w:p>
        </w:tc>
        <w:tc>
          <w:tcPr>
            <w:tcW w:w="20" w:type="dxa"/>
            <w:vAlign w:val="bottom"/>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7,859</w:t>
            </w:r>
          </w:p>
        </w:tc>
        <w:tc>
          <w:tcPr>
            <w:tcW w:w="20" w:type="dxa"/>
            <w:vAlign w:val="bottom"/>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Interest expense (net of capitalized interest of $1 and $5, respectively)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PAGP</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WEIGHTED AVERAGE CLASS A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4"/>
        </w:trPr>
        <w:tc>
          <w:tcPr>
            <w:tcW w:w="2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4"/>
        </w:trPr>
        <w:tc>
          <w:tcPr>
            <w:tcW w:w="20" w:type="dxa"/>
            <w:vAlign w:val="bottom"/>
          </w:tcPr>
          <w:p>
            <w:pPr>
              <w:spacing w:after="0"/>
              <w:rPr>
                <w:sz w:val="24"/>
                <w:szCs w:val="24"/>
                <w:color w:val="auto"/>
              </w:rPr>
            </w:pPr>
          </w:p>
        </w:tc>
        <w:tc>
          <w:tcPr>
            <w:tcW w:w="9780" w:type="dxa"/>
            <w:vAlign w:val="bottom"/>
            <w:gridSpan w:val="4"/>
          </w:tcPr>
          <w:p>
            <w:pPr>
              <w:jc w:val="center"/>
              <w:ind w:left="133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0"/>
        </w:trPr>
        <w:tc>
          <w:tcPr>
            <w:tcW w:w="8260" w:type="dxa"/>
            <w:vAlign w:val="bottom"/>
            <w:gridSpan w:val="2"/>
          </w:tcPr>
          <w:p>
            <w:pPr>
              <w:jc w:val="right"/>
              <w:ind w:right="251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60" w:right="22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216"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183"/>
        </w:trPr>
        <w:tc>
          <w:tcPr>
            <w:tcW w:w="8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PAGP</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ind w:left="90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0"/>
              </w:rPr>
              <w:t>(642)</w:t>
            </w:r>
          </w:p>
        </w:tc>
        <w:tc>
          <w:tcPr>
            <w:tcW w:w="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0"/>
              </w:rPr>
              <w:t>(3)</w:t>
            </w: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Unrealized gain on hedges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0"/>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period activity</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0"/>
              </w:rPr>
              <w:t>(1)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0"/>
              </w:rPr>
              <w:t>(602)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0"/>
              </w:rPr>
              <w:t>(4)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ind w:left="88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5"/>
              </w:rPr>
              <w:t>(657)</w:t>
            </w:r>
          </w:p>
        </w:tc>
        <w:tc>
          <w:tcPr>
            <w:tcW w:w="52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(3)</w:t>
            </w: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Unrealized gain on hedges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period activity</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5"/>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9"/>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6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183"/>
        </w:trPr>
        <w:tc>
          <w:tcPr>
            <w:tcW w:w="8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Deferred income tax expense</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8)</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r>
      <w:tr>
        <w:trPr>
          <w:trHeight w:val="88"/>
        </w:trPr>
        <w:tc>
          <w:tcPr>
            <w:tcW w:w="82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Additions to property, equipment and other</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assets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 purchases of linefill</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88"/>
        </w:trPr>
        <w:tc>
          <w:tcPr>
            <w:tcW w:w="82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borrowings/(repayments) under PAA commercial paper program (Note 6)</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repayments under PAA senior secured hedged inventory facility (Note 6)</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PAA senior notes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Repurchase of common units by a subsidiary (Note 7)</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to Class A shareholders (Note 7)</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paid to noncontrolling interests (Note 7)</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r>
      <w:tr>
        <w:trPr>
          <w:trHeight w:val="88"/>
        </w:trPr>
        <w:tc>
          <w:tcPr>
            <w:tcW w:w="82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Effect of translation adjustment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82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 and restricted cash</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net of amounts capitalized</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240" w:type="dxa"/>
            <w:vAlign w:val="bottom"/>
          </w:tcPr>
          <w:p>
            <w:pPr>
              <w:ind w:left="80"/>
              <w:spacing w:after="0"/>
              <w:rPr>
                <w:sz w:val="20"/>
                <w:szCs w:val="20"/>
                <w:color w:val="auto"/>
              </w:rPr>
            </w:pPr>
            <w:r>
              <w:rPr>
                <w:rFonts w:ascii="Arial" w:cs="Arial" w:eastAsia="Arial" w:hAnsi="Arial"/>
                <w:sz w:val="18"/>
                <w:szCs w:val="18"/>
                <w:color w:val="auto"/>
              </w:rPr>
              <w:t>Income taxes, net of amounts refunded</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4"/>
                <w:szCs w:val="14"/>
                <w:color w:val="auto"/>
              </w:rPr>
            </w:pPr>
          </w:p>
        </w:tc>
        <w:tc>
          <w:tcPr>
            <w:tcW w:w="134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Partners’ Capital</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(Note 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14,201</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6460" w:type="dxa"/>
            <w:vAlign w:val="bottom"/>
          </w:tcPr>
          <w:p>
            <w:pPr>
              <w:spacing w:after="0"/>
              <w:rPr>
                <w:sz w:val="24"/>
                <w:szCs w:val="2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Partners’ Capital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Plains GP Holdings, L.P. (“PAGP”) is a Delaware limited partnership formed in 2013 that has elected to be taxed as a corporation for United States federal income tax purposes. PAGP does not directly own any operating assets; as of March 31, 2022,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March 31, 2022, PAGP owned (i) a 100% managing member interest in Plains All American GP LLC (“GP LLC”), an entity that has also elected to be taxed as a corporation for United States federal income tax purposes and (ii) an approximate 81% limited partner interest in Plains AAP, L.P. (“AAP”) through our direct ownership of approximately 193.2 million Class A units of AAP (“AAP units”) and indirect ownership of approximately 1.0 million AAP units through GP LLC. GP LLC is a Delaware limited liability company that also holds the non-economic general partner interest in AAP. AAP is a Delaware limited partnership that, as of March 31, 2022, directly owned a limited partner interest in PAA through its ownership of approximately 241.5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11 for further discussion of our operating segments.</w:t>
      </w:r>
    </w:p>
    <w:p>
      <w:pPr>
        <w:spacing w:after="0" w:line="219"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2021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2021 was derived from audited financial statements, but does not include all disclosures required by GAAP. The results of operations for the three months ended March 31, 2022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including the reclassifications discussed further below.</w:t>
      </w:r>
    </w:p>
    <w:p>
      <w:pPr>
        <w:spacing w:after="0" w:line="19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6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10"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 the exception of a deferred tax asset of $1.341 billion and $1.362 billion as of March 31, 2022 and December 31, 2021,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assets and liabilities presented on PAGP’s Condensed Consolidated Balance Sheets are those of PAA. Only the assets of each respective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VIE can be used to settle the obligations of that individual VIE, and the creditors of each/either of those VIEs do not have recourse against the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of PAGP. PAGP did not provide any financial support to PAA or AAP during the three months ended March 31, 2022 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See Note 17 to our Consolidated Financial Statements included in Part IV of our 2021 Annual Report on Form 10-K for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regarding the Omnibus Agreement entered into by the Plains Entities on November 15,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of Prior Period Information</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See Note 11 for further discussion of our operating segments. In connection with this change, we changed the presentation of Revenues on our Condensed Consolidated Statements of Operations. “Product sales revenues” include amounts that were previously presented as “Supply and Logistics segment revenues,” while “Services revenues” includes amounts previously presented as “Transportation segment revenues” and “Facilities segment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Sheets that sum to the total of the amounts shown on our Condensed Consolidated Statements of Cash Flows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86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Restricted cash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8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cash and cash equivalents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20" w:lineRule="exact"/>
        <w:rPr>
          <w:sz w:val="20"/>
          <w:szCs w:val="20"/>
          <w:color w:val="auto"/>
        </w:rPr>
      </w:pPr>
    </w:p>
    <w:p>
      <w:pPr>
        <w:ind w:left="640" w:hanging="632"/>
        <w:spacing w:after="0"/>
        <w:tabs>
          <w:tab w:leader="none" w:pos="6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Included in “Other current assets” on our Condensed Consolidated Balance Sheets.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Except as discussed below and in our 2021 Annual Report on Form 10-K, there have been no new accounting pronouncements that have become effective or have been issued during the three months ended March 31, 2022 that are of significance or potential significance to us.</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August 2020, the FASB issued ASU 2020-06, Debt—Debt with Conversion and Other Options (Subtopic 470-20) and Derivatives and Hedging —Contracts in Entity’s Own Equity (Subtopic 815-40): Accounting for Convertible Instruments and Contracts in an Entity’s Own Equity, which simplifies accounting for certain financial instruments with characteristics of 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adopted this guidance effective January 1, 2022, and our adoption did not have a material impact on our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disaggregate our revenues by segment and type of activity. These categories depict how the nature, amount, timing and uncertainty of revenues and cash flows are affected by economic factors. See Note 3 to our Consolidated Financial Statements included in Part IV of our 2021 Annual Report on Form 10-K for additional information regarding our types of revenues and policies for revenue recognition.</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Revenues from Contracts with Customers. </w:t>
      </w:r>
      <w:r>
        <w:rPr>
          <w:rFonts w:ascii="Arial" w:cs="Arial" w:eastAsia="Arial" w:hAnsi="Arial"/>
          <w:sz w:val="18"/>
          <w:szCs w:val="18"/>
          <w:color w:val="auto"/>
        </w:rPr>
        <w:t>The following tables present our revenues from contracts with customers disaggregated by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activity (in millions):</w:t>
      </w:r>
    </w:p>
    <w:p>
      <w:pPr>
        <w:spacing w:after="0" w:line="21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revenues from contracts with customers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Sales</w:t>
            </w:r>
          </w:p>
        </w:tc>
        <w:tc>
          <w:tcPr>
            <w:tcW w:w="860" w:type="dxa"/>
            <w:vAlign w:val="bottom"/>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12,857</w:t>
            </w:r>
          </w:p>
        </w:tc>
        <w:tc>
          <w:tcPr>
            <w:tcW w:w="12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7,726</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Terminalling, Storage and 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Crude Oil segment revenues from contracts with customers</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13,102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8240" w:type="dxa"/>
            <w:vAlign w:val="bottom"/>
          </w:tcPr>
          <w:p>
            <w:pPr>
              <w:spacing w:after="0"/>
              <w:rPr>
                <w:sz w:val="24"/>
                <w:szCs w:val="24"/>
                <w:color w:val="auto"/>
              </w:rPr>
            </w:pPr>
          </w:p>
        </w:tc>
        <w:tc>
          <w:tcPr>
            <w:tcW w:w="24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24"/>
                <w:szCs w:val="24"/>
                <w:color w:val="auto"/>
              </w:rPr>
            </w:pPr>
          </w:p>
        </w:tc>
      </w:tr>
      <w:tr>
        <w:trPr>
          <w:trHeight w:val="188"/>
        </w:trPr>
        <w:tc>
          <w:tcPr>
            <w:tcW w:w="8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 segment revenues from contracts with customers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Sales</w:t>
            </w:r>
          </w:p>
        </w:tc>
        <w:tc>
          <w:tcPr>
            <w:tcW w:w="860" w:type="dxa"/>
            <w:vAlign w:val="bottom"/>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Terminalling, Storage and 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NGL segment revenues from contracts with customers</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 2022</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20" w:type="dxa"/>
            <w:vAlign w:val="bottom"/>
          </w:tcPr>
          <w:p>
            <w:pPr>
              <w:spacing w:after="0"/>
              <w:rPr>
                <w:sz w:val="16"/>
                <w:szCs w:val="16"/>
                <w:color w:val="auto"/>
              </w:rPr>
            </w:pPr>
          </w:p>
        </w:tc>
        <w:tc>
          <w:tcPr>
            <w:tcW w:w="108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2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center"/>
              <w:ind w:left="575"/>
              <w:spacing w:after="0"/>
              <w:rPr>
                <w:sz w:val="20"/>
                <w:szCs w:val="20"/>
                <w:color w:val="auto"/>
              </w:rPr>
            </w:pPr>
            <w:r>
              <w:rPr>
                <w:rFonts w:ascii="Arial" w:cs="Arial" w:eastAsia="Arial" w:hAnsi="Arial"/>
                <w:sz w:val="18"/>
                <w:szCs w:val="18"/>
                <w:color w:val="auto"/>
                <w:w w:val="93"/>
              </w:rPr>
              <w:t>879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13,981</w:t>
            </w:r>
          </w:p>
        </w:tc>
      </w:tr>
      <w:tr>
        <w:trPr>
          <w:trHeight w:val="230"/>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color w:val="auto"/>
                <w:w w:val="90"/>
              </w:rPr>
              <w:t>(144)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center"/>
              <w:ind w:left="575"/>
              <w:spacing w:after="0"/>
              <w:rPr>
                <w:sz w:val="20"/>
                <w:szCs w:val="20"/>
                <w:color w:val="auto"/>
              </w:rPr>
            </w:pPr>
            <w:r>
              <w:rPr>
                <w:rFonts w:ascii="Arial" w:cs="Arial" w:eastAsia="Arial" w:hAnsi="Arial"/>
                <w:sz w:val="18"/>
                <w:szCs w:val="18"/>
                <w:color w:val="auto"/>
                <w:w w:val="93"/>
              </w:rPr>
              <w:t>735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13,814</w:t>
            </w:r>
          </w:p>
        </w:tc>
      </w:tr>
      <w:tr>
        <w:trPr>
          <w:trHeight w:val="223"/>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 elimination</w:t>
            </w: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48"/>
        </w:trPr>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w:t>
            </w:r>
          </w:p>
        </w:tc>
      </w:tr>
      <w:tr>
        <w:trPr>
          <w:trHeight w:val="20"/>
        </w:trPr>
        <w:tc>
          <w:tcPr>
            <w:tcW w:w="68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00"/>
        </w:trPr>
        <w:tc>
          <w:tcPr>
            <w:tcW w:w="682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24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20" w:type="dxa"/>
            <w:vAlign w:val="bottom"/>
          </w:tcPr>
          <w:p>
            <w:pPr>
              <w:spacing w:after="0"/>
              <w:rPr>
                <w:sz w:val="24"/>
                <w:szCs w:val="24"/>
                <w:color w:val="auto"/>
              </w:rPr>
            </w:pPr>
          </w:p>
        </w:tc>
        <w:tc>
          <w:tcPr>
            <w:tcW w:w="108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2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center"/>
              <w:ind w:left="575"/>
              <w:spacing w:after="0"/>
              <w:rPr>
                <w:sz w:val="20"/>
                <w:szCs w:val="20"/>
                <w:color w:val="auto"/>
              </w:rPr>
            </w:pPr>
            <w:r>
              <w:rPr>
                <w:rFonts w:ascii="Arial" w:cs="Arial" w:eastAsia="Arial" w:hAnsi="Arial"/>
                <w:sz w:val="18"/>
                <w:szCs w:val="18"/>
                <w:color w:val="auto"/>
                <w:w w:val="93"/>
              </w:rPr>
              <w:t>801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w:t>
            </w:r>
          </w:p>
        </w:tc>
      </w:tr>
      <w:tr>
        <w:trPr>
          <w:trHeight w:val="229"/>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color w:val="auto"/>
                <w:w w:val="90"/>
              </w:rPr>
              <w:t>(162)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center"/>
              <w:ind w:left="575"/>
              <w:spacing w:after="0"/>
              <w:rPr>
                <w:sz w:val="20"/>
                <w:szCs w:val="20"/>
                <w:color w:val="auto"/>
              </w:rPr>
            </w:pPr>
            <w:r>
              <w:rPr>
                <w:rFonts w:ascii="Arial" w:cs="Arial" w:eastAsia="Arial" w:hAnsi="Arial"/>
                <w:sz w:val="18"/>
                <w:szCs w:val="18"/>
                <w:color w:val="auto"/>
                <w:w w:val="93"/>
              </w:rPr>
              <w:t>639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r>
      <w:tr>
        <w:trPr>
          <w:trHeight w:val="223"/>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 elimination</w:t>
            </w: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1340" w:type="dxa"/>
            <w:vAlign w:val="bottom"/>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260" w:hanging="652"/>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 in the liability balance associated with contracts with customers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March 31, 2022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2027 and</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2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Terminalling, storage and other agreement revenues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00" w:lineRule="exact"/>
        <w:rPr>
          <w:sz w:val="20"/>
          <w:szCs w:val="20"/>
          <w:color w:val="auto"/>
        </w:rPr>
      </w:pPr>
    </w:p>
    <w:p>
      <w:pPr>
        <w:spacing w:after="0" w:line="32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Short-term contracts and those with variable consideration, due to the election of practical expedients;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March 31, 2022 and December 31, 2021,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88"/>
              </w:rPr>
              <w:t>5,496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88"/>
              </w:rPr>
              <w:t>4,031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center"/>
              <w:ind w:left="536"/>
              <w:spacing w:after="0"/>
              <w:rPr>
                <w:sz w:val="20"/>
                <w:szCs w:val="20"/>
                <w:color w:val="auto"/>
              </w:rPr>
            </w:pPr>
            <w:r>
              <w:rPr>
                <w:rFonts w:ascii="Arial" w:cs="Arial" w:eastAsia="Arial" w:hAnsi="Arial"/>
                <w:sz w:val="18"/>
                <w:szCs w:val="18"/>
                <w:color w:val="auto"/>
                <w:w w:val="88"/>
              </w:rPr>
              <w:t>9,620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left="654"/>
              <w:spacing w:after="0"/>
              <w:rPr>
                <w:sz w:val="20"/>
                <w:szCs w:val="20"/>
                <w:color w:val="auto"/>
              </w:rPr>
            </w:pPr>
            <w:r>
              <w:rPr>
                <w:rFonts w:ascii="Arial" w:cs="Arial" w:eastAsia="Arial" w:hAnsi="Arial"/>
                <w:sz w:val="18"/>
                <w:szCs w:val="18"/>
                <w:color w:val="auto"/>
                <w:w w:val="88"/>
              </w:rPr>
              <w:t>5,126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94"/>
              </w:rPr>
              <w:t>(7,980)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4"/>
              </w:rPr>
              <w:t>(4,452)</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536"/>
              <w:spacing w:after="0"/>
              <w:rPr>
                <w:sz w:val="20"/>
                <w:szCs w:val="20"/>
                <w:color w:val="auto"/>
              </w:rPr>
            </w:pPr>
            <w:r>
              <w:rPr>
                <w:rFonts w:ascii="Arial" w:cs="Arial" w:eastAsia="Arial" w:hAnsi="Arial"/>
                <w:sz w:val="18"/>
                <w:szCs w:val="18"/>
                <w:color w:val="auto"/>
                <w:w w:val="88"/>
              </w:rPr>
              <w:t>7,136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88"/>
              </w:rPr>
              <w:t>4,705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Class A Share</w:t>
      </w: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(i) AAP units and the associated Class B shares into our Class A shares and (ii)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2021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2021 Annual Report on Form 10-K for information regarding PAGP LTIP awards.</w:t>
      </w:r>
    </w:p>
    <w:p>
      <w:pPr>
        <w:spacing w:after="0" w:line="21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 a weighted-average basis, for the three months ended March 31, 2022 and 2021, the possible exchange of 47 million and 51 million AAP units, respectively, would not have had a dilutive effect on basic net income per Class A share. For each of the three months ended March 31, 2022 and 2021, the possible exchange of less than 1 million AAP Management Units would not have had a dilutive effect on basic net income per Class A share on a weighted-average basis. For the three months ended March 31, 2022 and 2021, our PAGP LTIP awards were dilutive; however, the LTIP awards did not change the presentation of diluted weighted average Class A shares outstanding or diluted net income per Class A share.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Class A share (in millions, except per share data):</w:t>
      </w:r>
    </w:p>
    <w:p>
      <w:pPr>
        <w:spacing w:after="0" w:line="27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40" w:type="dxa"/>
            <w:vAlign w:val="bottom"/>
          </w:tcPr>
          <w:p>
            <w:pPr>
              <w:ind w:left="80"/>
              <w:spacing w:after="0"/>
              <w:rPr>
                <w:sz w:val="20"/>
                <w:szCs w:val="20"/>
                <w:color w:val="auto"/>
              </w:rPr>
            </w:pPr>
            <w:r>
              <w:rPr>
                <w:rFonts w:ascii="Arial" w:cs="Arial" w:eastAsia="Arial" w:hAnsi="Arial"/>
                <w:sz w:val="18"/>
                <w:szCs w:val="18"/>
                <w:color w:val="auto"/>
              </w:rPr>
              <w:t>Net income attributable to PAGP</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and diluted weighted average Class A shares outstanding</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57"/>
        </w:trPr>
        <w:tc>
          <w:tcPr>
            <w:tcW w:w="8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4"/>
        </w:trPr>
        <w:tc>
          <w:tcPr>
            <w:tcW w:w="8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and diluted net income per Class A share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Long-term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linefill and long-term inventory consisted of the following (barrels in thousands and carrying value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2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4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4"/>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6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9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1"/>
              </w:rPr>
              <w:t xml:space="preserve">Unit </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74"/>
              <w:spacing w:after="0" w:line="189"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4,711</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89.15</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15,160</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57.52</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Linefill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45.75</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9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360" w:hanging="652"/>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6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11"/>
        </w:trPr>
        <w:tc>
          <w:tcPr>
            <w:tcW w:w="4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83"/>
        </w:trPr>
        <w:tc>
          <w:tcPr>
            <w:tcW w:w="40" w:type="dxa"/>
            <w:vAlign w:val="bottom"/>
          </w:tcPr>
          <w:p>
            <w:pPr>
              <w:spacing w:after="0"/>
              <w:rPr>
                <w:sz w:val="24"/>
                <w:szCs w:val="24"/>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 xml:space="preserve">PAA commercial paper notes, bearing a weighted-average interest rate of 0.8% </w:t>
            </w:r>
            <w:r>
              <w:rPr>
                <w:rFonts w:ascii="Arial" w:cs="Arial" w:eastAsia="Arial" w:hAnsi="Arial"/>
                <w:sz w:val="23"/>
                <w:szCs w:val="23"/>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senior notes: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3.65% senior notes due June 2022 </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2.85% senior notes due January 2023</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40" w:type="dxa"/>
            <w:vAlign w:val="bottom"/>
          </w:tcPr>
          <w:p>
            <w:pPr>
              <w:spacing w:after="0"/>
              <w:rPr>
                <w:sz w:val="19"/>
                <w:szCs w:val="19"/>
                <w:color w:val="auto"/>
              </w:rPr>
            </w:pPr>
          </w:p>
        </w:tc>
        <w:tc>
          <w:tcPr>
            <w:tcW w:w="8400" w:type="dxa"/>
            <w:vAlign w:val="bottom"/>
            <w:gridSpan w:val="2"/>
            <w:shd w:val="clear" w:color="auto" w:fill="CCEEFF"/>
          </w:tcPr>
          <w:p>
            <w:pPr>
              <w:jc w:val="center"/>
              <w:ind w:right="6440"/>
              <w:spacing w:after="0"/>
              <w:rPr>
                <w:sz w:val="20"/>
                <w:szCs w:val="20"/>
                <w:color w:val="auto"/>
              </w:rPr>
            </w:pPr>
            <w:r>
              <w:rPr>
                <w:rFonts w:ascii="Arial" w:cs="Arial" w:eastAsia="Arial" w:hAnsi="Arial"/>
                <w:sz w:val="18"/>
                <w:szCs w:val="18"/>
                <w:color w:val="auto"/>
                <w:w w:val="90"/>
              </w:rPr>
              <w:t>Total short-term debt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57"/>
        </w:trPr>
        <w:tc>
          <w:tcPr>
            <w:tcW w:w="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PAA senior notes, net of unamortized discounts and debt issuance costs of $52 and $54, respectively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8,329</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40" w:type="dxa"/>
            <w:vAlign w:val="bottom"/>
          </w:tcPr>
          <w:p>
            <w:pPr>
              <w:spacing w:after="0"/>
              <w:rPr>
                <w:sz w:val="19"/>
                <w:szCs w:val="19"/>
                <w:color w:val="auto"/>
              </w:rPr>
            </w:pPr>
          </w:p>
        </w:tc>
        <w:tc>
          <w:tcPr>
            <w:tcW w:w="8400" w:type="dxa"/>
            <w:vAlign w:val="bottom"/>
            <w:tcBorders>
              <w:bottom w:val="single" w:sz="8" w:color="CCEEFF"/>
            </w:tcBorders>
            <w:gridSpan w:val="2"/>
          </w:tcPr>
          <w:p>
            <w:pPr>
              <w:jc w:val="center"/>
              <w:ind w:right="6480"/>
              <w:spacing w:after="0"/>
              <w:rPr>
                <w:sz w:val="20"/>
                <w:szCs w:val="20"/>
                <w:color w:val="auto"/>
              </w:rPr>
            </w:pPr>
            <w:r>
              <w:rPr>
                <w:rFonts w:ascii="Arial" w:cs="Arial" w:eastAsia="Arial" w:hAnsi="Arial"/>
                <w:sz w:val="18"/>
                <w:szCs w:val="18"/>
                <w:color w:val="auto"/>
                <w:w w:val="91"/>
              </w:rPr>
              <w:t>Total long-term debt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w:t>
            </w:r>
          </w:p>
        </w:tc>
      </w:tr>
      <w:tr>
        <w:trPr>
          <w:trHeight w:val="248"/>
        </w:trPr>
        <w:tc>
          <w:tcPr>
            <w:tcW w:w="4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jc w:val="center"/>
              <w:ind w:right="6420"/>
              <w:spacing w:after="0" w:line="223" w:lineRule="exact"/>
              <w:rPr>
                <w:sz w:val="20"/>
                <w:szCs w:val="20"/>
                <w:color w:val="auto"/>
              </w:rPr>
            </w:pPr>
            <w:r>
              <w:rPr>
                <w:rFonts w:ascii="Arial" w:cs="Arial" w:eastAsia="Arial" w:hAnsi="Arial"/>
                <w:sz w:val="18"/>
                <w:szCs w:val="18"/>
                <w:color w:val="auto"/>
                <w:w w:val="86"/>
              </w:rPr>
              <w:t xml:space="preserve">Total debt </w:t>
            </w:r>
            <w:r>
              <w:rPr>
                <w:rFonts w:ascii="Arial" w:cs="Arial" w:eastAsia="Arial" w:hAnsi="Arial"/>
                <w:sz w:val="23"/>
                <w:szCs w:val="23"/>
                <w:color w:val="auto"/>
                <w:w w:val="86"/>
                <w:vertAlign w:val="superscript"/>
              </w:rPr>
              <w:t>(3)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4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67"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jc w:val="both"/>
        <w:ind w:left="20" w:right="40" w:hanging="11"/>
        <w:spacing w:after="0" w:line="263" w:lineRule="auto"/>
        <w:rPr>
          <w:sz w:val="20"/>
          <w:szCs w:val="20"/>
          <w:color w:val="auto"/>
        </w:rPr>
      </w:pPr>
      <w:r>
        <w:rPr>
          <w:rFonts w:ascii="Arial" w:cs="Arial" w:eastAsia="Arial" w:hAnsi="Arial"/>
          <w:sz w:val="18"/>
          <w:szCs w:val="18"/>
          <w:color w:val="auto"/>
        </w:rPr>
        <w:t>We classified these PAA commercial paper notes as short-term as of March 31, 2022, as these notes were primarily designated as working capital borrowings, were required to be repaid within one year and were primarily for hedged NGL and crude oil inventory and NYMEX and ICE margin deposits.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These senior notes were redeemed on March 1, 2022.</w:t>
      </w:r>
    </w:p>
    <w:p>
      <w:pPr>
        <w:spacing w:after="0" w:line="117" w:lineRule="exact"/>
        <w:rPr>
          <w:sz w:val="20"/>
          <w:szCs w:val="20"/>
          <w:color w:val="auto"/>
        </w:rPr>
      </w:pPr>
    </w:p>
    <w:p>
      <w:pPr>
        <w:ind w:left="20" w:right="40" w:hanging="11"/>
        <w:spacing w:after="0" w:line="254" w:lineRule="auto"/>
        <w:rPr>
          <w:sz w:val="20"/>
          <w:szCs w:val="20"/>
          <w:color w:val="auto"/>
        </w:rPr>
      </w:pPr>
      <w:r>
        <w:rPr>
          <w:rFonts w:ascii="Arial" w:cs="Arial" w:eastAsia="Arial" w:hAnsi="Arial"/>
          <w:sz w:val="18"/>
          <w:szCs w:val="18"/>
          <w:color w:val="auto"/>
        </w:rPr>
        <w:t>PAA’s fixed-rate senior notes had a face value of approximately $8.4 billion and $9.1 billion as of March 31, 2022 and December 31, 2021, respectively. We estimated the aggregate fair value of these notes as of March 31, 2022 and December 31, 2021 to be approximately $8.4 billion and $9.9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approximates fair value as interest rates reflect current market rates. The fair value estimates for PAA’s senior notes and commercial paper notes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three months ended March 31, 2022 and 2021 were approximately $5.6 billion and $14.2 billion, respectively. Total repayments under the PAA credit facilities and commercial paper program were approximately $5.2 billion and $14.8 billion for the three months ended March 31, 2022 and 2021,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2022, PAA redeemed its 3.65%, $750 million senior notes due June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March 31, 2022 and December 31, 2021, we had outstanding letters of credit of $34 million and $98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194,192,777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46,645,514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534,596,831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205,024</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(11,957)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Repurchase of common units by a subsidiary under the Common Equity Repurchase</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(2,375,299)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Program</w:t>
            </w:r>
          </w:p>
        </w:tc>
        <w:tc>
          <w:tcPr>
            <w:tcW w:w="1540" w:type="dxa"/>
            <w:vAlign w:val="bottom"/>
            <w:gridSpan w:val="2"/>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194,228,477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46,802,881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532,285,426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194,051,436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50,640,192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547,717,762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414,608</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(229,931)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229,931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Repurchase of common units by a subsidiary under the Common Equity Repurchase</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Program</w:t>
            </w:r>
          </w:p>
        </w:tc>
        <w:tc>
          <w:tcPr>
            <w:tcW w:w="1540" w:type="dxa"/>
            <w:vAlign w:val="bottom"/>
            <w:gridSpan w:val="2"/>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25,431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194,098,315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50,777,990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547,623,124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340" w:hanging="652"/>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See Note 12 to our Consolidated Financial Statements included in Part IV of our 2021 Annual Report on Form 10-K for information regarding conversions of AAP Management Units, Exchange Rights and Redemption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1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three months of 2022 (in millions,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2060" w:type="dxa"/>
            <w:vAlign w:val="bottom"/>
          </w:tcPr>
          <w:p>
            <w:pPr>
              <w:jc w:val="right"/>
              <w:ind w:right="259"/>
              <w:spacing w:after="0"/>
              <w:rPr>
                <w:sz w:val="20"/>
                <w:szCs w:val="20"/>
                <w:color w:val="auto"/>
              </w:rPr>
            </w:pPr>
            <w:r>
              <w:rPr>
                <w:rFonts w:ascii="Arial" w:cs="Arial" w:eastAsia="Arial" w:hAnsi="Arial"/>
                <w:sz w:val="14"/>
                <w:szCs w:val="14"/>
                <w:b w:val="1"/>
                <w:bCs w:val="1"/>
                <w:color w:val="auto"/>
              </w:rPr>
              <w:t>Distributions to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tcPr>
          <w:p>
            <w:pPr>
              <w:jc w:val="right"/>
              <w:ind w:right="639"/>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88"/>
        </w:trPr>
        <w:tc>
          <w:tcPr>
            <w:tcW w:w="6140" w:type="dxa"/>
            <w:vAlign w:val="bottom"/>
            <w:gridSpan w:val="2"/>
            <w:vMerge w:val="continue"/>
          </w:tcPr>
          <w:p>
            <w:pPr>
              <w:spacing w:after="0"/>
              <w:rPr>
                <w:sz w:val="16"/>
                <w:szCs w:val="16"/>
                <w:color w:val="auto"/>
              </w:rPr>
            </w:pPr>
          </w:p>
        </w:tc>
        <w:tc>
          <w:tcPr>
            <w:tcW w:w="2060" w:type="dxa"/>
            <w:vAlign w:val="bottom"/>
          </w:tcPr>
          <w:p>
            <w:pPr>
              <w:jc w:val="right"/>
              <w:ind w:right="99"/>
              <w:spacing w:after="0"/>
              <w:rPr>
                <w:sz w:val="20"/>
                <w:szCs w:val="20"/>
                <w:color w:val="auto"/>
              </w:rPr>
            </w:pPr>
            <w:r>
              <w:rPr>
                <w:rFonts w:ascii="Arial" w:cs="Arial" w:eastAsia="Arial" w:hAnsi="Arial"/>
                <w:sz w:val="14"/>
                <w:szCs w:val="14"/>
                <w:b w:val="1"/>
                <w:bCs w:val="1"/>
                <w:color w:val="auto"/>
              </w:rPr>
              <w:t>Class A Shareholders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tcPr>
          <w:p>
            <w:pPr>
              <w:jc w:val="right"/>
              <w:ind w:right="759"/>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24"/>
        </w:trPr>
        <w:tc>
          <w:tcPr>
            <w:tcW w:w="60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13,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February 14, 2022</w:t>
            </w:r>
          </w:p>
        </w:tc>
        <w:tc>
          <w:tcPr>
            <w:tcW w:w="2060" w:type="dxa"/>
            <w:vAlign w:val="bottom"/>
          </w:tcPr>
          <w:p>
            <w:pPr>
              <w:jc w:val="right"/>
              <w:ind w:right="187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0.1800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66"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Payable to shareholders of record at the close of business on April 29, 2022 for the period from January 1, 2022 through March 31,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As of March 31, 2022,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Plains Oryx Permian Basin LLC (the “Permian JV”) and (iv) a 33% interest in Red River Pipeline Company LLC (“Red River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Equity Repurchase Program</w:t>
      </w:r>
    </w:p>
    <w:p>
      <w:pPr>
        <w:spacing w:after="0" w:line="23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PAA repurchased 2.4 million and 0.4 million common units under the Common Equity Repurchase Program (the “Program”) through open market purchases that settled during the three months ended March 31, 2022 and 2021, respectively, for a total purchase price of $25 million and $3 million, respectively, including commissions and fees. The repurchased PAA common units were canceled immediately upon acquisition, as were the Class C shares held by PAA associated with the repurchased common units. At March 31, 2022, the remaining available capacity under the Program was</w:t>
      </w:r>
    </w:p>
    <w:p>
      <w:pPr>
        <w:spacing w:after="0" w:line="1"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color w:val="auto"/>
        </w:rPr>
        <w:t>$247 million. See Note 12 to our Consolidated Financial Statements included in Part IV of our 2021 Annual Report on Form 10-K for additional information regarding the Program.</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first three months of 2022 (in millions, except per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4"/>
                <w:szCs w:val="14"/>
                <w:b w:val="1"/>
                <w:bCs w:val="1"/>
                <w:color w:val="auto"/>
              </w:rPr>
              <w:t>Series A Preferred Unitholders</w:t>
            </w:r>
          </w:p>
        </w:tc>
      </w:tr>
      <w:tr>
        <w:trPr>
          <w:trHeight w:val="188"/>
        </w:trPr>
        <w:tc>
          <w:tcPr>
            <w:tcW w:w="40" w:type="dxa"/>
            <w:vAlign w:val="bottom"/>
          </w:tcPr>
          <w:p>
            <w:pPr>
              <w:spacing w:after="0"/>
              <w:rPr>
                <w:sz w:val="16"/>
                <w:szCs w:val="16"/>
                <w:color w:val="auto"/>
              </w:rPr>
            </w:pPr>
          </w:p>
        </w:tc>
        <w:tc>
          <w:tcPr>
            <w:tcW w:w="7820" w:type="dxa"/>
            <w:vAlign w:val="bottom"/>
            <w:gridSpan w:val="3"/>
          </w:tcPr>
          <w:p>
            <w:pPr>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40" w:type="dxa"/>
            <w:vAlign w:val="bottom"/>
          </w:tcPr>
          <w:p>
            <w:pPr>
              <w:spacing w:after="0"/>
              <w:rPr>
                <w:sz w:val="19"/>
                <w:szCs w:val="19"/>
                <w:color w:val="auto"/>
              </w:rPr>
            </w:pPr>
          </w:p>
        </w:tc>
        <w:tc>
          <w:tcPr>
            <w:tcW w:w="7700" w:type="dxa"/>
            <w:vAlign w:val="bottom"/>
            <w:tcBorders>
              <w:top w:val="single" w:sz="8" w:color="auto"/>
            </w:tcBorders>
            <w:gridSpan w:val="2"/>
            <w:shd w:val="clear" w:color="auto" w:fill="CCEEFF"/>
          </w:tcPr>
          <w:p>
            <w:pPr>
              <w:spacing w:after="0" w:line="224" w:lineRule="exact"/>
              <w:rPr>
                <w:sz w:val="20"/>
                <w:szCs w:val="20"/>
                <w:color w:val="auto"/>
              </w:rPr>
            </w:pPr>
            <w:r>
              <w:rPr>
                <w:rFonts w:ascii="Arial" w:cs="Arial" w:eastAsia="Arial" w:hAnsi="Arial"/>
                <w:sz w:val="18"/>
                <w:szCs w:val="18"/>
                <w:color w:val="auto"/>
              </w:rPr>
              <w:t xml:space="preserve">May 13,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30"/>
        </w:trPr>
        <w:tc>
          <w:tcPr>
            <w:tcW w:w="4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February 14,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175"/>
        </w:trPr>
        <w:tc>
          <w:tcPr>
            <w:tcW w:w="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21" w:lineRule="exact"/>
        <w:rPr>
          <w:sz w:val="20"/>
          <w:szCs w:val="20"/>
          <w:color w:val="auto"/>
        </w:rPr>
      </w:pPr>
    </w:p>
    <w:p>
      <w:pPr>
        <w:ind w:left="660" w:right="220" w:hanging="652"/>
        <w:spacing w:after="0" w:line="267" w:lineRule="auto"/>
        <w:tabs>
          <w:tab w:leader="none" w:pos="64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April 29, 2022 for the period from January 1, 2022 through March 31, 2022. At March 31, 2022, such amount was accrued as distributions payable in “Other current liabilities” on our Condensed Consolidated Balance Sheet.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PAA Series B Preferred Unit Distributions</w:t>
      </w:r>
      <w:r>
        <w:rPr>
          <w:rFonts w:ascii="Arial" w:cs="Arial" w:eastAsia="Arial" w:hAnsi="Arial"/>
          <w:sz w:val="16"/>
          <w:szCs w:val="16"/>
          <w:color w:val="auto"/>
        </w:rPr>
        <w:t>. Distributions on PAA’s Series B preferred units are payable semi-annually in arrears on the 15th day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and November. The following table details distributions paid to PAA’s Series B preferred unitholders (in millions, except per unit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4"/>
                <w:szCs w:val="14"/>
                <w:b w:val="1"/>
                <w:bCs w:val="1"/>
                <w:color w:val="auto"/>
              </w:rPr>
              <w:t>Series B Preferred Unitholders</w:t>
            </w:r>
          </w:p>
        </w:tc>
      </w:tr>
      <w:tr>
        <w:trPr>
          <w:trHeight w:val="188"/>
        </w:trPr>
        <w:tc>
          <w:tcPr>
            <w:tcW w:w="40" w:type="dxa"/>
            <w:vAlign w:val="bottom"/>
          </w:tcPr>
          <w:p>
            <w:pPr>
              <w:spacing w:after="0"/>
              <w:rPr>
                <w:sz w:val="16"/>
                <w:szCs w:val="16"/>
                <w:color w:val="auto"/>
              </w:rPr>
            </w:pPr>
          </w:p>
        </w:tc>
        <w:tc>
          <w:tcPr>
            <w:tcW w:w="7820" w:type="dxa"/>
            <w:vAlign w:val="bottom"/>
            <w:gridSpan w:val="3"/>
          </w:tcPr>
          <w:p>
            <w:pPr>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40" w:type="dxa"/>
            <w:vAlign w:val="bottom"/>
          </w:tcPr>
          <w:p>
            <w:pPr>
              <w:spacing w:after="0"/>
              <w:rPr>
                <w:sz w:val="19"/>
                <w:szCs w:val="19"/>
                <w:color w:val="auto"/>
              </w:rPr>
            </w:pPr>
          </w:p>
        </w:tc>
        <w:tc>
          <w:tcPr>
            <w:tcW w:w="7700" w:type="dxa"/>
            <w:vAlign w:val="bottom"/>
            <w:tcBorders>
              <w:top w:val="single" w:sz="8" w:color="auto"/>
            </w:tcBorders>
            <w:gridSpan w:val="2"/>
            <w:shd w:val="clear" w:color="auto" w:fill="CCEEFF"/>
          </w:tcPr>
          <w:p>
            <w:pPr>
              <w:spacing w:after="0" w:line="224" w:lineRule="exact"/>
              <w:rPr>
                <w:sz w:val="20"/>
                <w:szCs w:val="20"/>
                <w:color w:val="auto"/>
              </w:rPr>
            </w:pPr>
            <w:r>
              <w:rPr>
                <w:rFonts w:ascii="Arial" w:cs="Arial" w:eastAsia="Arial" w:hAnsi="Arial"/>
                <w:sz w:val="18"/>
                <w:szCs w:val="18"/>
                <w:color w:val="auto"/>
              </w:rPr>
              <w:t xml:space="preserve">May 16,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r>
      <w:tr>
        <w:trPr>
          <w:trHeight w:val="175"/>
        </w:trPr>
        <w:tc>
          <w:tcPr>
            <w:tcW w:w="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1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May 2, 2022 for the period from November 15, 2021 through May 14, 2022.</w:t>
      </w:r>
    </w:p>
    <w:p>
      <w:pPr>
        <w:spacing w:after="0" w:line="28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At March 31, 2022, approximately $18 million of accrued distributions payable to PAA’s Series B preferred unitholders was included in “Other current liabilities” on our Condensed Consolidated Balance Sheet.</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2022 (in millions, except per unit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6"/>
        </w:trPr>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Common Unitholders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4"/>
                <w:szCs w:val="14"/>
                <w:b w:val="1"/>
                <w:bCs w:val="1"/>
                <w:color w:val="auto"/>
                <w:w w:val="92"/>
              </w:rPr>
              <w:t>Cash Distribution per</w:t>
            </w:r>
          </w:p>
        </w:tc>
      </w:tr>
      <w:tr>
        <w:trPr>
          <w:trHeight w:val="201"/>
        </w:trPr>
        <w:tc>
          <w:tcPr>
            <w:tcW w:w="40" w:type="dxa"/>
            <w:vAlign w:val="bottom"/>
          </w:tcPr>
          <w:p>
            <w:pPr>
              <w:spacing w:after="0"/>
              <w:rPr>
                <w:sz w:val="17"/>
                <w:szCs w:val="17"/>
                <w:color w:val="auto"/>
              </w:rPr>
            </w:pPr>
          </w:p>
        </w:tc>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00" w:type="dxa"/>
            <w:vAlign w:val="bottom"/>
          </w:tcPr>
          <w:p>
            <w:pPr>
              <w:jc w:val="right"/>
              <w:ind w:right="59"/>
              <w:spacing w:after="0"/>
              <w:rPr>
                <w:sz w:val="20"/>
                <w:szCs w:val="20"/>
                <w:color w:val="auto"/>
              </w:rPr>
            </w:pPr>
            <w:r>
              <w:rPr>
                <w:rFonts w:ascii="Arial" w:cs="Arial" w:eastAsia="Arial" w:hAnsi="Arial"/>
                <w:sz w:val="14"/>
                <w:szCs w:val="14"/>
                <w:b w:val="1"/>
                <w:bCs w:val="1"/>
                <w:color w:val="auto"/>
              </w:rPr>
              <w:t>Public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120" w:type="dxa"/>
            <w:vAlign w:val="bottom"/>
          </w:tcPr>
          <w:p>
            <w:pPr>
              <w:spacing w:after="0"/>
              <w:rPr>
                <w:sz w:val="17"/>
                <w:szCs w:val="17"/>
                <w:color w:val="auto"/>
              </w:rPr>
            </w:pPr>
          </w:p>
        </w:tc>
        <w:tc>
          <w:tcPr>
            <w:tcW w:w="1460" w:type="dxa"/>
            <w:vAlign w:val="bottom"/>
          </w:tcPr>
          <w:p>
            <w:pPr>
              <w:jc w:val="right"/>
              <w:ind w:right="279"/>
              <w:spacing w:after="0"/>
              <w:rPr>
                <w:sz w:val="20"/>
                <w:szCs w:val="20"/>
                <w:color w:val="auto"/>
              </w:rPr>
            </w:pPr>
            <w:r>
              <w:rPr>
                <w:rFonts w:ascii="Arial" w:cs="Arial" w:eastAsia="Arial" w:hAnsi="Arial"/>
                <w:sz w:val="14"/>
                <w:szCs w:val="14"/>
                <w:b w:val="1"/>
                <w:bCs w:val="1"/>
                <w:color w:val="auto"/>
              </w:rPr>
              <w:t>Common Unit</w:t>
            </w:r>
          </w:p>
        </w:tc>
      </w:tr>
      <w:tr>
        <w:trPr>
          <w:trHeight w:val="224"/>
        </w:trPr>
        <w:tc>
          <w:tcPr>
            <w:tcW w:w="40" w:type="dxa"/>
            <w:vAlign w:val="bottom"/>
          </w:tcPr>
          <w:p>
            <w:pPr>
              <w:spacing w:after="0"/>
              <w:rPr>
                <w:sz w:val="19"/>
                <w:szCs w:val="19"/>
                <w:color w:val="auto"/>
              </w:rPr>
            </w:pPr>
          </w:p>
        </w:tc>
        <w:tc>
          <w:tcPr>
            <w:tcW w:w="438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13,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0.2175</w:t>
            </w:r>
          </w:p>
        </w:tc>
      </w:tr>
      <w:tr>
        <w:trPr>
          <w:trHeight w:val="230"/>
        </w:trPr>
        <w:tc>
          <w:tcPr>
            <w:tcW w:w="40" w:type="dxa"/>
            <w:vAlign w:val="bottom"/>
          </w:tcPr>
          <w:p>
            <w:pPr>
              <w:spacing w:after="0"/>
              <w:rPr>
                <w:sz w:val="19"/>
                <w:szCs w:val="19"/>
                <w:color w:val="auto"/>
              </w:rPr>
            </w:pPr>
          </w:p>
        </w:tc>
        <w:tc>
          <w:tcPr>
            <w:tcW w:w="4500" w:type="dxa"/>
            <w:vAlign w:val="bottom"/>
            <w:gridSpan w:val="3"/>
          </w:tcPr>
          <w:p>
            <w:pPr>
              <w:ind w:left="20"/>
              <w:spacing w:after="0"/>
              <w:rPr>
                <w:sz w:val="20"/>
                <w:szCs w:val="20"/>
                <w:color w:val="auto"/>
              </w:rPr>
            </w:pPr>
            <w:r>
              <w:rPr>
                <w:rFonts w:ascii="Arial" w:cs="Arial" w:eastAsia="Arial" w:hAnsi="Arial"/>
                <w:sz w:val="18"/>
                <w:szCs w:val="18"/>
                <w:color w:val="auto"/>
              </w:rPr>
              <w:t>February 14, 2022</w:t>
            </w:r>
          </w:p>
        </w:tc>
        <w:tc>
          <w:tcPr>
            <w:tcW w:w="1100" w:type="dxa"/>
            <w:vAlign w:val="bottom"/>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680" w:type="dxa"/>
            <w:vAlign w:val="bottom"/>
          </w:tcPr>
          <w:p>
            <w:pPr>
              <w:jc w:val="right"/>
              <w:ind w:right="47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0.1800</w:t>
            </w:r>
          </w:p>
        </w:tc>
      </w:tr>
      <w:tr>
        <w:trPr>
          <w:trHeight w:val="162"/>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12"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April 29, 2022 for the period from January 1, 2022 through March 31, 2022.</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2"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three months of 2022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Distributions to AAP</w:t>
            </w:r>
            <w:r>
              <w:rPr>
                <w:rFonts w:ascii="Arial" w:cs="Arial" w:eastAsia="Arial" w:hAnsi="Arial"/>
                <w:sz w:val="17"/>
                <w:szCs w:val="17"/>
                <w:color w:val="auto"/>
                <w:w w:val="94"/>
              </w:rPr>
              <w:t>’</w:t>
            </w:r>
            <w:r>
              <w:rPr>
                <w:rFonts w:ascii="Arial" w:cs="Arial" w:eastAsia="Arial" w:hAnsi="Arial"/>
                <w:sz w:val="14"/>
                <w:szCs w:val="14"/>
                <w:b w:val="1"/>
                <w:bCs w:val="1"/>
                <w:color w:val="auto"/>
                <w:w w:val="94"/>
              </w:rPr>
              <w:t>s Partners</w:t>
            </w: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181"/>
        </w:trPr>
        <w:tc>
          <w:tcPr>
            <w:tcW w:w="534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Pr>
          <w:p>
            <w:pPr>
              <w:spacing w:after="0"/>
              <w:rPr>
                <w:sz w:val="15"/>
                <w:szCs w:val="15"/>
                <w:color w:val="auto"/>
              </w:rPr>
            </w:pPr>
          </w:p>
        </w:tc>
        <w:tc>
          <w:tcPr>
            <w:tcW w:w="1720" w:type="dxa"/>
            <w:vAlign w:val="bottom"/>
          </w:tcPr>
          <w:p>
            <w:pPr>
              <w:jc w:val="right"/>
              <w:ind w:right="96"/>
              <w:spacing w:after="0"/>
              <w:rPr>
                <w:sz w:val="20"/>
                <w:szCs w:val="20"/>
                <w:color w:val="auto"/>
              </w:rPr>
            </w:pPr>
            <w:r>
              <w:rPr>
                <w:rFonts w:ascii="Arial" w:cs="Arial" w:eastAsia="Arial" w:hAnsi="Arial"/>
                <w:sz w:val="14"/>
                <w:szCs w:val="14"/>
                <w:b w:val="1"/>
                <w:bCs w:val="1"/>
                <w:color w:val="auto"/>
                <w:w w:val="93"/>
              </w:rPr>
              <w:t>Noncontrolling Interests</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PAGP</w:t>
            </w:r>
          </w:p>
        </w:tc>
        <w:tc>
          <w:tcPr>
            <w:tcW w:w="160" w:type="dxa"/>
            <w:vAlign w:val="bottom"/>
          </w:tcPr>
          <w:p>
            <w:pPr>
              <w:spacing w:after="0"/>
              <w:rPr>
                <w:sz w:val="15"/>
                <w:szCs w:val="15"/>
                <w:color w:val="auto"/>
              </w:rPr>
            </w:pPr>
          </w:p>
        </w:tc>
        <w:tc>
          <w:tcPr>
            <w:tcW w:w="17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Total Cash Distribution</w:t>
            </w:r>
          </w:p>
        </w:tc>
      </w:tr>
      <w:tr>
        <w:trPr>
          <w:trHeight w:val="224"/>
        </w:trPr>
        <w:tc>
          <w:tcPr>
            <w:tcW w:w="52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13, 2022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February 14, 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66"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April 29, 2022 for the period from January 1, 2022 through March 31, 2022.</w:t>
      </w:r>
    </w:p>
    <w:p>
      <w:pPr>
        <w:spacing w:after="0" w:line="33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three months ended March 31, 2022, we paid distributions of $54 million and $5 million to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in the Permian JV and Red River LLC,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commodity price risk,</w:t>
      </w:r>
    </w:p>
    <w:p>
      <w:pPr>
        <w:ind w:firstLine="8"/>
        <w:spacing w:after="0" w:line="268" w:lineRule="auto"/>
        <w:tabs>
          <w:tab w:leader="none" w:pos="2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0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jc w:val="both"/>
        <w:ind w:right="120" w:firstLine="607"/>
        <w:spacing w:after="0" w:line="311" w:lineRule="auto"/>
        <w:rPr>
          <w:sz w:val="20"/>
          <w:szCs w:val="20"/>
          <w:color w:val="auto"/>
        </w:rPr>
      </w:pPr>
      <w:r>
        <w:rPr>
          <w:rFonts w:ascii="Arial" w:cs="Arial" w:eastAsia="Arial" w:hAnsi="Arial"/>
          <w:sz w:val="16"/>
          <w:szCs w:val="16"/>
          <w:color w:val="auto"/>
        </w:rPr>
        <w:t>At March 31, 2022 and December 31, 2021,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can be divided into the following general categories:</w:t>
      </w:r>
    </w:p>
    <w:p>
      <w:pPr>
        <w:spacing w:after="0" w:line="15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2022, net derivative positions related to these activities included:</w:t>
      </w:r>
    </w:p>
    <w:p>
      <w:pPr>
        <w:spacing w:after="0" w:line="146" w:lineRule="exact"/>
        <w:rPr>
          <w:sz w:val="20"/>
          <w:szCs w:val="20"/>
          <w:color w:val="auto"/>
        </w:rPr>
      </w:pPr>
    </w:p>
    <w:p>
      <w:pPr>
        <w:ind w:left="980" w:right="32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long position of 6.6 million barrels associated with our crude oil purchases, which was unwound ratably during April 2022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short time spread position of 5.3 million barrels, which hedges a portion of our anticipated crude oil lease gathering purchases through May 2023.</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crude oil basis spread position of 1.2 million barrels at multiple locations through November 2023. These derivatives allow us to lock in grade and location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net short position of 11.0 million barrels through December 2023 related to anticipated net sales of crude oil and NGL inventory.</w:t>
      </w:r>
    </w:p>
    <w:p>
      <w:pPr>
        <w:spacing w:after="0" w:line="23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 Volume</w:t>
            </w:r>
          </w:p>
        </w:tc>
        <w:tc>
          <w:tcPr>
            <w:tcW w:w="2180" w:type="dxa"/>
            <w:vAlign w:val="bottom"/>
          </w:tcPr>
          <w:p>
            <w:pPr>
              <w:spacing w:after="0"/>
              <w:rPr>
                <w:sz w:val="16"/>
                <w:szCs w:val="16"/>
                <w:color w:val="auto"/>
              </w:rPr>
            </w:pPr>
          </w:p>
        </w:tc>
      </w:tr>
      <w:tr>
        <w:trPr>
          <w:trHeight w:val="195"/>
        </w:trPr>
        <w:tc>
          <w:tcPr>
            <w:tcW w:w="678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2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82.6 Bcf</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(15.5)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(3.8)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Condensate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(1.5)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30"/>
        </w:trPr>
        <w:tc>
          <w:tcPr>
            <w:tcW w:w="6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8.8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2023</w:t>
            </w:r>
          </w:p>
        </w:tc>
      </w:tr>
      <w:tr>
        <w:trPr>
          <w:trHeight w:val="304"/>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0.5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38"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from commodity derivative activity</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tbl>
      <w:tblPr>
        <w:tblLayout w:type="fixed"/>
        <w:tblInd w:w="0" w:type="dxa"/>
        <w:tblCellMar>
          <w:top w:w="0" w:type="dxa"/>
          <w:left w:w="0" w:type="dxa"/>
          <w:bottom w:w="0" w:type="dxa"/>
          <w:right w:w="0" w:type="dxa"/>
        </w:tblCellMar>
      </w:tblPr>
      <w:tr>
        <w:trPr>
          <w:trHeight w:val="145"/>
        </w:trPr>
        <w:tc>
          <w:tcPr>
            <w:tcW w:w="8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20"/>
              <w:spacing w:after="0" w:line="145"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10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133</w:t>
            </w:r>
          </w:p>
        </w:tc>
      </w:tr>
      <w:tr>
        <w:trPr>
          <w:trHeight w:val="283"/>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w:t>
            </w:r>
          </w:p>
        </w:tc>
        <w:tc>
          <w:tcPr>
            <w:tcW w:w="200" w:type="dxa"/>
            <w:vAlign w:val="bottom"/>
          </w:tcPr>
          <w:p>
            <w:pPr>
              <w:spacing w:after="0"/>
              <w:rPr>
                <w:sz w:val="24"/>
                <w:szCs w:val="24"/>
                <w:color w:val="auto"/>
              </w:rPr>
            </w:pPr>
          </w:p>
        </w:tc>
        <w:tc>
          <w:tcPr>
            <w:tcW w:w="1060" w:type="dxa"/>
            <w:vAlign w:val="bottom"/>
          </w:tcPr>
          <w:p>
            <w:pPr>
              <w:ind w:left="72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ind w:left="760"/>
              <w:spacing w:after="0"/>
              <w:rPr>
                <w:sz w:val="20"/>
                <w:szCs w:val="20"/>
                <w:color w:val="auto"/>
              </w:rPr>
            </w:pPr>
            <w:r>
              <w:rPr>
                <w:rFonts w:ascii="Arial" w:cs="Arial" w:eastAsia="Arial" w:hAnsi="Arial"/>
                <w:sz w:val="18"/>
                <w:szCs w:val="18"/>
                <w:color w:val="auto"/>
              </w:rPr>
              <w:t>173</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3"/>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3"/>
              </w:rPr>
              <w:t>(47)</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259</w:t>
            </w:r>
          </w:p>
        </w:tc>
      </w:tr>
      <w:tr>
        <w:trPr>
          <w:trHeight w:val="20"/>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10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1"/>
                <w:szCs w:val="11"/>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1060" w:type="dxa"/>
            <w:vAlign w:val="bottom"/>
            <w:gridSpan w:val="3"/>
          </w:tcPr>
          <w:p>
            <w:pPr>
              <w:jc w:val="center"/>
              <w:ind w:right="300"/>
              <w:spacing w:after="0" w:line="102" w:lineRule="exact"/>
              <w:rPr>
                <w:sz w:val="20"/>
                <w:szCs w:val="20"/>
                <w:color w:val="auto"/>
              </w:rPr>
            </w:pPr>
            <w:r>
              <w:rPr>
                <w:rFonts w:ascii="Arial" w:cs="Arial" w:eastAsia="Arial" w:hAnsi="Arial"/>
                <w:sz w:val="11"/>
                <w:szCs w:val="11"/>
                <w:b w:val="1"/>
                <w:bCs w:val="1"/>
                <w:color w:val="auto"/>
              </w:rPr>
              <w:t>the Balance</w:t>
            </w:r>
          </w:p>
        </w:tc>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Sheet</w:t>
            </w: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560" w:type="dxa"/>
            <w:vAlign w:val="bottom"/>
          </w:tcPr>
          <w:p>
            <w:pPr>
              <w:ind w:left="18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March 31, 2022 (notional amounts in millions):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Expected</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Average Rate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860" w:type="dxa"/>
            <w:vAlign w:val="bottom"/>
            <w:gridSpan w:val="2"/>
            <w:vMerge w:val="continue"/>
          </w:tcPr>
          <w:p>
            <w:pPr>
              <w:spacing w:after="0"/>
              <w:rPr>
                <w:sz w:val="16"/>
                <w:szCs w:val="16"/>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Derivatives Employed</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Termination Date</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Locked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7"/>
              </w:rPr>
              <w:t>Treatment</w:t>
            </w:r>
          </w:p>
        </w:tc>
        <w:tc>
          <w:tcPr>
            <w:tcW w:w="0" w:type="dxa"/>
            <w:vAlign w:val="bottom"/>
          </w:tcPr>
          <w:p>
            <w:pPr>
              <w:spacing w:after="0"/>
              <w:rPr>
                <w:sz w:val="1"/>
                <w:szCs w:val="1"/>
                <w:color w:val="auto"/>
              </w:rPr>
            </w:pPr>
          </w:p>
        </w:tc>
      </w:tr>
      <w:tr>
        <w:trPr>
          <w:trHeight w:val="170"/>
        </w:trPr>
        <w:tc>
          <w:tcPr>
            <w:tcW w:w="274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20" w:type="dxa"/>
            <w:vAlign w:val="bottom"/>
            <w:tcBorders>
              <w:top w:val="single" w:sz="8" w:color="CCEEFF"/>
            </w:tcBorders>
            <w:shd w:val="clear" w:color="auto" w:fill="CCEEFF"/>
          </w:tcPr>
          <w:p>
            <w:pPr>
              <w:spacing w:after="0"/>
              <w:rPr>
                <w:sz w:val="14"/>
                <w:szCs w:val="14"/>
                <w:color w:val="auto"/>
              </w:rPr>
            </w:pPr>
          </w:p>
        </w:tc>
        <w:tc>
          <w:tcPr>
            <w:tcW w:w="24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6/15/2023</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5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8 forward starting swaps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color w:val="auto"/>
                <w:w w:val="92"/>
              </w:rPr>
              <w:t>6/14/2024</w:t>
            </w:r>
          </w:p>
        </w:tc>
        <w:tc>
          <w:tcPr>
            <w:tcW w:w="1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As of March 31, 2022, there was a net loss of $173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2054 as the underlying hedged transactions impact earnings. A portion of these amounts is based on market prices as of March 31, 2022; thus, actual amounts to be reclassified will differ and could vary materially as a result of changes in market conditions.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 recognized in AOCI for derivatives (in millions):</w:t>
      </w:r>
    </w:p>
    <w:p>
      <w:pPr>
        <w:spacing w:after="0" w:line="27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 w:lineRule="exact"/>
        <w:rPr>
          <w:sz w:val="20"/>
          <w:szCs w:val="20"/>
          <w:color w:val="auto"/>
        </w:rPr>
      </w:pPr>
    </w:p>
    <w:p>
      <w:pPr>
        <w:ind w:left="9080"/>
        <w:spacing w:after="0"/>
        <w:tabs>
          <w:tab w:leader="none" w:pos="104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36" w:lineRule="exact"/>
        <w:rPr>
          <w:sz w:val="20"/>
          <w:szCs w:val="20"/>
          <w:color w:val="auto"/>
        </w:rPr>
      </w:pPr>
    </w:p>
    <w:p>
      <w:pPr>
        <w:ind w:left="20"/>
        <w:spacing w:after="0"/>
        <w:tabs>
          <w:tab w:leader="none" w:pos="8600" w:val="left"/>
          <w:tab w:leader="none" w:pos="9600" w:val="left"/>
          <w:tab w:leader="none" w:pos="9960" w:val="left"/>
          <w:tab w:leader="none" w:pos="1096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w:t>
        <w:tab/>
        <w:t>$</w:t>
      </w:r>
      <w:r>
        <w:rPr>
          <w:sz w:val="20"/>
          <w:szCs w:val="20"/>
          <w:color w:val="auto"/>
        </w:rPr>
        <w:tab/>
      </w: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At March 31, 2022, the net fair value of our interest rate hedges, which were included in “Other long-term assets, net” on our Condensed Consolidated Balance Sheet, totaled $97 million. At December 31, 2021, the net fair value of these hedges totaled $65 million and was included in “Other long-term assets,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52" w:lineRule="exact"/>
        <w:rPr>
          <w:sz w:val="20"/>
          <w:szCs w:val="20"/>
          <w:color w:val="auto"/>
        </w:rPr>
      </w:pPr>
    </w:p>
    <w:p>
      <w:pPr>
        <w:ind w:right="240" w:firstLine="648"/>
        <w:spacing w:after="0" w:line="284" w:lineRule="auto"/>
        <w:rPr>
          <w:sz w:val="20"/>
          <w:szCs w:val="20"/>
          <w:color w:val="auto"/>
        </w:rPr>
      </w:pPr>
      <w:r>
        <w:rPr>
          <w:rFonts w:ascii="Arial" w:cs="Arial" w:eastAsia="Arial" w:hAnsi="Arial"/>
          <w:sz w:val="16"/>
          <w:szCs w:val="16"/>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This embedded derivative is not designated in a hedging relationship for accounting purposes and corresponding changes in fair value are recognized in “Other expense, net” in our Condensed Consolidated Statement of Operations. For the three months ended March 31, 2022 and 2021, we recognized losses of $44 million and</w:t>
      </w:r>
    </w:p>
    <w:p>
      <w:pPr>
        <w:spacing w:after="0" w:line="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$67 million, respectively. The fair value of the Preferred Distribution Rate Reset Option, which was included in “Other long-term liabilities and deferred credits” on our Condensed Consolidated Balance Sheets, totaled $44 million and less than $1 million at March 31, 2022 and December 31, 2021, respectively. See Note 12 to our Consolidated Financial Statements included in Part IV of our 2021 Annual Report on Form 10-K for additional information regarding the PAA Series A preferred units and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March 31, 2022</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December 31, 2021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44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3"/>
              </w:rPr>
              <w:t>(76)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center"/>
              <w:ind w:left="134"/>
              <w:spacing w:after="0"/>
              <w:rPr>
                <w:sz w:val="20"/>
                <w:szCs w:val="20"/>
                <w:color w:val="auto"/>
              </w:rPr>
            </w:pPr>
            <w:r>
              <w:rPr>
                <w:rFonts w:ascii="Arial" w:cs="Arial" w:eastAsia="Arial" w:hAnsi="Arial"/>
                <w:sz w:val="18"/>
                <w:szCs w:val="18"/>
                <w:color w:val="auto"/>
                <w:w w:val="93"/>
              </w:rPr>
              <w:t>(73)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center"/>
              <w:ind w:left="19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center"/>
              <w:ind w:left="136"/>
              <w:spacing w:after="0"/>
              <w:rPr>
                <w:sz w:val="20"/>
                <w:szCs w:val="20"/>
                <w:color w:val="auto"/>
              </w:rPr>
            </w:pPr>
            <w:r>
              <w:rPr>
                <w:rFonts w:ascii="Arial" w:cs="Arial" w:eastAsia="Arial" w:hAnsi="Arial"/>
                <w:sz w:val="18"/>
                <w:szCs w:val="18"/>
                <w:color w:val="auto"/>
                <w:w w:val="93"/>
              </w:rPr>
              <w:t>(17)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19"/>
                <w:szCs w:val="19"/>
                <w:color w:val="auto"/>
              </w:rPr>
            </w:pPr>
          </w:p>
        </w:tc>
        <w:tc>
          <w:tcPr>
            <w:tcW w:w="720" w:type="dxa"/>
            <w:vAlign w:val="bottom"/>
            <w:gridSpan w:val="2"/>
          </w:tcPr>
          <w:p>
            <w:pPr>
              <w:jc w:val="center"/>
              <w:ind w:left="5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00" w:type="dxa"/>
            <w:vAlign w:val="bottom"/>
          </w:tcPr>
          <w:p>
            <w:pPr>
              <w:jc w:val="center"/>
              <w:ind w:left="174"/>
              <w:spacing w:after="0"/>
              <w:rPr>
                <w:sz w:val="20"/>
                <w:szCs w:val="20"/>
                <w:color w:val="auto"/>
              </w:rPr>
            </w:pPr>
            <w:r>
              <w:rPr>
                <w:rFonts w:ascii="Arial" w:cs="Arial" w:eastAsia="Arial" w:hAnsi="Arial"/>
                <w:sz w:val="18"/>
                <w:szCs w:val="18"/>
                <w:color w:val="auto"/>
                <w:w w:val="89"/>
              </w:rPr>
              <w:t>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Distribution Rate Reset Option and Other</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93"/>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Total net derivative asset/(liability)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center"/>
              <w:ind w:left="176"/>
              <w:spacing w:after="0"/>
              <w:rPr>
                <w:sz w:val="20"/>
                <w:szCs w:val="20"/>
                <w:color w:val="auto"/>
              </w:rPr>
            </w:pPr>
            <w:r>
              <w:rPr>
                <w:rFonts w:ascii="Arial" w:cs="Arial" w:eastAsia="Arial" w:hAnsi="Arial"/>
                <w:sz w:val="18"/>
                <w:szCs w:val="18"/>
                <w:color w:val="auto"/>
                <w:w w:val="93"/>
              </w:rPr>
              <w:t>(76)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center"/>
              <w:ind w:left="174"/>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center"/>
              <w:ind w:left="154"/>
              <w:spacing w:after="0"/>
              <w:rPr>
                <w:sz w:val="20"/>
                <w:szCs w:val="20"/>
                <w:color w:val="auto"/>
              </w:rPr>
            </w:pPr>
            <w:r>
              <w:rPr>
                <w:rFonts w:ascii="Arial" w:cs="Arial" w:eastAsia="Arial" w:hAnsi="Arial"/>
                <w:sz w:val="18"/>
                <w:szCs w:val="18"/>
                <w:color w:val="auto"/>
                <w:w w:val="93"/>
              </w:rPr>
              <w:t>(44)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center"/>
              <w:ind w:left="136"/>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69"/>
        </w:trPr>
        <w:tc>
          <w:tcPr>
            <w:tcW w:w="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860"/>
        <w:spacing w:after="0" w:line="342" w:lineRule="auto"/>
        <w:rPr>
          <w:rFonts w:ascii="Arial" w:cs="Arial" w:eastAsia="Arial" w:hAnsi="Arial"/>
          <w:sz w:val="23"/>
          <w:szCs w:val="23"/>
          <w:color w:val="auto"/>
          <w:vertAlign w:val="superscript"/>
        </w:rPr>
      </w:pPr>
      <w:r>
        <w:rPr>
          <w:rFonts w:ascii="Arial" w:cs="Arial" w:eastAsia="Arial" w:hAnsi="Arial"/>
          <w:sz w:val="16"/>
          <w:szCs w:val="16"/>
          <w:color w:val="auto"/>
        </w:rPr>
        <w:t>Level 3 of the fair value hierarchy includes certain physical commodity and other contracts, over-the-counter options and the Preferred Distribution Rate Reset Option contained in PAA’s partnership agreement which is classified as an embedded derivative.</w:t>
      </w:r>
    </w:p>
    <w:p>
      <w:pPr>
        <w:spacing w:after="0" w:line="123" w:lineRule="exact"/>
        <w:rPr>
          <w:rFonts w:ascii="Arial" w:cs="Arial" w:eastAsia="Arial" w:hAnsi="Arial"/>
          <w:sz w:val="23"/>
          <w:szCs w:val="23"/>
          <w:color w:val="auto"/>
          <w:vertAlign w:val="superscript"/>
        </w:rPr>
      </w:pPr>
    </w:p>
    <w:p>
      <w:pPr>
        <w:ind w:left="660" w:right="12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Product sales revenues.</w:t>
      </w:r>
    </w:p>
    <w:p>
      <w:pPr>
        <w:spacing w:after="0" w:line="214" w:lineRule="exact"/>
        <w:rPr>
          <w:rFonts w:ascii="Arial" w:cs="Arial" w:eastAsia="Arial" w:hAnsi="Arial"/>
          <w:sz w:val="23"/>
          <w:szCs w:val="23"/>
          <w:color w:val="auto"/>
          <w:vertAlign w:val="superscript"/>
        </w:rPr>
      </w:pPr>
    </w:p>
    <w:p>
      <w:pPr>
        <w:ind w:left="660" w:right="80"/>
        <w:spacing w:after="0" w:line="301" w:lineRule="auto"/>
        <w:rPr>
          <w:rFonts w:ascii="Arial" w:cs="Arial" w:eastAsia="Arial" w:hAnsi="Arial"/>
          <w:sz w:val="23"/>
          <w:szCs w:val="23"/>
          <w:color w:val="auto"/>
          <w:vertAlign w:val="superscript"/>
        </w:rPr>
      </w:pPr>
      <w:r>
        <w:rPr>
          <w:rFonts w:ascii="Arial" w:cs="Arial" w:eastAsia="Arial" w:hAnsi="Arial"/>
          <w:sz w:val="16"/>
          <w:szCs w:val="16"/>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some of which involve management judgment. A significant change in these inputs could result in a material change in fair value to this embedded derivative feature.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Net losses for the period included in earnings</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w w:val="96"/>
              </w:rPr>
              <w:t>Change in unrealized losses included in earnings relating to Level 3 derivatives still held at the end of the period</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2021 Annual Report on Form 10-K for a complete discussion of related parties, including the determination of our related parties and nature of involvement with such related parties.</w:t>
      </w:r>
    </w:p>
    <w:p>
      <w:pPr>
        <w:spacing w:after="0" w:line="19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During the three months ended March 31, 2022 and 2021,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31"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related parties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8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 from related parties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bl>
    <w:p>
      <w:pPr>
        <w:spacing w:after="0" w:line="36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6"/>
        </w:trPr>
        <w:tc>
          <w:tcPr>
            <w:tcW w:w="38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8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175"/>
        </w:trPr>
        <w:tc>
          <w:tcPr>
            <w:tcW w:w="388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88" w:lineRule="exact"/>
        <w:rPr>
          <w:sz w:val="20"/>
          <w:szCs w:val="20"/>
          <w:color w:val="auto"/>
        </w:rPr>
      </w:pPr>
    </w:p>
    <w:p>
      <w:pPr>
        <w:ind w:left="660" w:right="80" w:hanging="652"/>
        <w:spacing w:after="0" w:line="227"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40" w:lineRule="exact"/>
        <w:rPr>
          <w:rFonts w:ascii="Arial" w:cs="Arial" w:eastAsia="Arial" w:hAnsi="Arial"/>
          <w:sz w:val="23"/>
          <w:szCs w:val="23"/>
          <w:color w:val="auto"/>
          <w:vertAlign w:val="superscript"/>
        </w:rPr>
      </w:pPr>
    </w:p>
    <w:p>
      <w:pPr>
        <w:ind w:left="660" w:right="200" w:hanging="652"/>
        <w:spacing w:after="0" w:line="234"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w:t>
      </w:r>
    </w:p>
    <w:p>
      <w:pPr>
        <w:spacing w:after="0" w:line="22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At March 31, 2022, our estimated undiscounted reserve for environmental liabilities (excluding liabilities related to the Line 901 incident, as discussed further below) totaled $59 million, of which $9 million was classified as short-term and $50 million was classified as long-term. At December 31, 2021, our estimated undiscounted reserve for environmental liabilities (excluding liabilities related to the Line 901 incident) totaled $57 million, of which $11 million was classified as short-term and $46 million was classified as long-term. Such short-term liabilities are reflected in “Other current liabilities” and long-term liabilities are reflected in “Other long-term liabilities and deferred credits” on our Condensed Consolidated Balance Sheets. At both March 31, 2022 and December 31, 2021, we had recorded receivables (excluding receivables related to the Line 901 incident) totaling $11 million, for amounts probable of recovery under insurance and from third parties under indemnification agreements, $1 million of which for each period is reflected in “Other long-term assets, net” and the remainder is reflected in “Trade accounts receivable and other receivables, net” on our Condensed Consolidated Balance Sheets.</w:t>
      </w:r>
    </w:p>
    <w:p>
      <w:pPr>
        <w:spacing w:after="0" w:line="19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regulatory claims related to the incident.</w:t>
      </w:r>
    </w:p>
    <w:p>
      <w:pPr>
        <w:spacing w:after="0" w:line="19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20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order to fully and finally resolve all claims and litigation for both classes, we have reached an agreement in principle to settle this case in exchange for a payment of $230 million (the “Class Action Settlement”). The Class Action Settlement is subject to negotiation of final documentation and approval of the trial court.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addition, after various other unitholder derivative lawsuits were either dismissed or consolidated, one proceeding remains pending in Delaware Chancery Court. Generally, the plaintiffs in the remaining derivative lawsuit claim that our Board of Directors failed to exercise proper oversight over PAA’s pipeline integrity efforts. In April 2022, Plains entered into a settlement agreement to settle this lawsuit, subject to court approval and notice to all PAA unitholders (the “Derivative Settlement”). Following court approval, we intend to effect notice to all PAA unitholders by filing a Current Report on Form 8-K with the SEC. The key terms of the Derivative Settlement include a payment of Plaintiff’s attorneys’ fees by our insurers in the amount of approximately $2.0 million and the agreement of Plains to comply with various covenants regarding the implementation or continuation of certain Board oversight practices with respect to pipeline integrity.</w:t>
      </w:r>
    </w:p>
    <w:p>
      <w:pPr>
        <w:spacing w:after="0" w:line="222"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We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The following lawsuits remain: (i) a lawsuit pending in the United States District Court for the Central District of California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 including a lack of duty owed to the claimants to keep Line 901 in service.</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March 31, 2022, we estimate that the aggregate total costs we have incurred or will incur with respect to the Line 901 incident will be approximately $725 million, which includes actual and projected emergency response and clean-up costs, natural resource damage assessments, fines and penalties payable pursuant to the Consent Decree, certain third 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As of March 31, 2022, we had a remaining undiscounted gross liability of $335 million related to this event, which aggregate amount is reflected in “Trade accounts payable” and “Other current liabilities” on our Condensed Consolidated Balance Sheet. We maintain insurance coverage, which is subject to certain exclusions and deductibles, in the event of such environmental liabilities; however, after giving effect to the settlements described above and assuming full collection of costs that we believe are probable of recovery from insurance providers, net of deductibles, we will reach the limit of our $500 million 2015 insurance program applicable to the Line 901 incident. Through March 31, 2022, we had collected, subject to customary reservations, approximately $260 million out of the $500 million of release costs that we believe are probable of recovery from insurance carriers, net of deductibles. Therefore, as of March 31, 2022, we have recognized a receivable of approximately $240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25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11—Segment Information</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During the fourth quarter of 2021, we effected changes in the primary financial information provided to our CODM for assessing performance and allocating resources to present two operating segments, Crude Oil and NGL. Prior to the fourth quarter of 2021, this information was organized into three operating segments: Transportation, Facilities and Supply and Logistics. All segment data and related disclosures for earlier periods presented herein have been recast to reflect the new segment reporting structure. Our CODM evaluates segment performance based on measures including Segment Adjusted EBITDA (as defined below) and maintenance capital. During the fourth quarter of 2021, we modified our definition of Segment Adjusted EBITDA to exclude amounts attributable to noncontrolling interests in consolidated joint venture entities. In connection with the Permian JV formation in October 2021, our CODM determined this modification resulted in amounts that were more meaningful to evaluate segment performance. Amounts attributable to noncontrolling interests in consolidated joint venture entities for earlier periods presented herein have been recast to reflect this modification. See Note 20 to our Consolidated Financial Statements included in Part IV of our 2021 Annual Report on Form 10-K for additional information regarding the modifications to our segment reporting and for a full discussion of our basis for segmentation and performance measures.</w:t>
      </w:r>
    </w:p>
    <w:p>
      <w:pPr>
        <w:spacing w:after="0" w:line="19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(“Adjusted EBITDA attributable to noncontrolling interests in 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Crude Oil</w:t>
            </w:r>
          </w:p>
        </w:tc>
        <w:tc>
          <w:tcPr>
            <w:tcW w:w="32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NGL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13,381</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474</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34" w:lineRule="auto"/>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247"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30"/>
        </w:trPr>
        <w:tc>
          <w:tcPr>
            <w:tcW w:w="8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6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6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Gains/(losses) from derivative activities and inventory valuation adjustments </w:t>
            </w:r>
            <w:r>
              <w:rPr>
                <w:rFonts w:ascii="Arial" w:cs="Arial" w:eastAsia="Arial" w:hAnsi="Arial"/>
                <w:sz w:val="23"/>
                <w:szCs w:val="23"/>
                <w:color w:val="auto"/>
                <w:vertAlign w:val="superscript"/>
              </w:rPr>
              <w:t>(3)</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86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86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6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6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6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in consolidated joint ventures </w:t>
            </w:r>
            <w:r>
              <w:rPr>
                <w:rFonts w:ascii="Arial" w:cs="Arial" w:eastAsia="Arial" w:hAnsi="Arial"/>
                <w:sz w:val="23"/>
                <w:szCs w:val="23"/>
                <w:color w:val="auto"/>
                <w:vertAlign w:val="superscript"/>
              </w:rPr>
              <w:t>(9)</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Unallocated general and administrative expenses </w:t>
            </w:r>
            <w:r>
              <w:rPr>
                <w:rFonts w:ascii="Arial" w:cs="Arial" w:eastAsia="Arial" w:hAnsi="Arial"/>
                <w:sz w:val="23"/>
                <w:szCs w:val="23"/>
                <w:color w:val="auto"/>
                <w:vertAlign w:val="superscript"/>
              </w:rPr>
              <w:t>(10)</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Income before tax</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29"/>
        </w:trPr>
        <w:tc>
          <w:tcPr>
            <w:tcW w:w="8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PAGP</w:t>
            </w: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1"/>
        </w:trPr>
        <w:tc>
          <w:tcPr>
            <w:tcW w:w="3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ind w:left="20" w:right="940" w:hanging="11"/>
        <w:spacing w:after="0" w:line="277" w:lineRule="auto"/>
        <w:rPr>
          <w:sz w:val="20"/>
          <w:szCs w:val="20"/>
          <w:color w:val="auto"/>
        </w:rPr>
      </w:pPr>
      <w:r>
        <w:rPr>
          <w:rFonts w:ascii="Arial" w:cs="Arial" w:eastAsia="Arial" w:hAnsi="Arial"/>
          <w:sz w:val="18"/>
          <w:szCs w:val="18"/>
          <w:color w:val="auto"/>
        </w:rPr>
        <w:t>Includes our proportionate share of the depreciation and amortization expense (including write-downs related to cancelled projects) of unconsolidated entities.</w:t>
      </w:r>
    </w:p>
    <w:p>
      <w:pPr>
        <w:spacing w:after="0" w:line="62"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left="20"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(9)</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 w:right="8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settle in cash is not excluded in determining Segment Adjusted EBITDA. See Note 18 to our Consolidated Financial Statements included in Part IV of our 2021 Annual Report on Form 10-K for a discussion regarding our equity-indexed compensation plans.</w:t>
      </w:r>
    </w:p>
    <w:p>
      <w:pPr>
        <w:spacing w:after="0" w:line="87" w:lineRule="exact"/>
        <w:rPr>
          <w:sz w:val="20"/>
          <w:szCs w:val="20"/>
          <w:color w:val="auto"/>
        </w:rPr>
      </w:pPr>
    </w:p>
    <w:p>
      <w:pPr>
        <w:ind w:left="20"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41"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10 for additional information regarding the Line 901 incident.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Reflects amounts attributable to noncontrolling interests in the Permian JV and Red River LLC.</w:t>
      </w:r>
    </w:p>
    <w:p>
      <w:pPr>
        <w:spacing w:after="0" w:line="117" w:lineRule="exact"/>
        <w:rPr>
          <w:sz w:val="20"/>
          <w:szCs w:val="20"/>
          <w:color w:val="auto"/>
        </w:rPr>
      </w:pPr>
    </w:p>
    <w:p>
      <w:pPr>
        <w:ind w:left="20" w:right="320" w:hanging="7"/>
        <w:spacing w:after="0" w:line="277" w:lineRule="auto"/>
        <w:rPr>
          <w:sz w:val="20"/>
          <w:szCs w:val="20"/>
          <w:color w:val="auto"/>
        </w:rPr>
      </w:pPr>
      <w:r>
        <w:rPr>
          <w:rFonts w:ascii="Arial" w:cs="Arial" w:eastAsia="Arial" w:hAnsi="Arial"/>
          <w:sz w:val="18"/>
          <w:szCs w:val="18"/>
          <w:color w:val="auto"/>
        </w:rPr>
        <w:t>Represents general and administrative expenses incremental to those of PAA, which are not allocated to our reporting segments in determining Segment Adjusted EBITDA.</w:t>
      </w:r>
    </w:p>
    <w:p>
      <w:pPr>
        <w:spacing w:after="0" w:line="200" w:lineRule="exact"/>
        <w:rPr>
          <w:sz w:val="20"/>
          <w:szCs w:val="20"/>
          <w:color w:val="auto"/>
        </w:rPr>
      </w:pPr>
    </w:p>
    <w:p>
      <w:pPr>
        <w:sectPr>
          <w:pgSz w:w="11900" w:h="16838" w:orient="portrait"/>
          <w:cols w:equalWidth="0" w:num="2">
            <w:col w:w="200" w:space="440"/>
            <w:col w:w="106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2021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a Delaware limited partnership that has elected to be taxed as a corporation for United States federal income tax purposes. As of March 31, 2022, our sole cash-generating assets consisted of (i) a 100% managing member interest in GP LLC and (ii) an approximate 81% limited partner interest in AAP through our direct ownership of AAP units and indirect ownership of AAP units through GP LLC, which also holds the non-economic general partner interest in AAP. As of March 31, 2022, AAP directly owned a limited partner interest in PAA through its ownership of approximately 241.5 million PAA common units (approximately 31% of PAA’s total outstanding common units and Series A preferred units combined). AAP is the sole member of PAA GP, which holds the non-economic general partner interest in PAA.</w:t>
      </w:r>
    </w:p>
    <w:p>
      <w:pPr>
        <w:spacing w:after="0" w:line="19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Changes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fourth quarter of 2021, we reorganized our historical operating segments into two operating segments: Crude Oil and NGL. Additionally, during the fourth quarter of 2021, we modified our definition of Segment Adjusted EBITDA to exclude amounts attributable to noncontrolling interests in consolidated joint venture entities. See Note 20 to our Consolidated Financial Statements included in Part IV of our 2021 Annual Report on Form 10-K for additional information. All segment data and related disclosures for earlier periods presented herein have been recast to reflect the new segment reporting structure and the modification to our definition of Segment Adjusted EBITDA.</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first three months of 2022, we recognized net income of $209 million compared to net income of $392 million recognized during the first three months of 2021. Results for the first three months of 2022 decreased from the comparable 2021 period driven primarily by the impact of the mark-to-market of certain derivative instruments, and, to a lesser extent, the sale of our natural gas storage facilities and higher field operating costs primarily from (i) an increase in estimated costs associated with the Line 901 incident and (ii) gains related to hedged power costs resulting from the extreme winter weather event that occurred in February 2021 (“Winter Storm Uri”) recognized in the first quarter of 2021. These items were partially offset by more favorable margins in our NGL segment and increased earnings from higher tariff volumes on our pipelines.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“Results of Operations” section below for further discussion.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46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Services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PAGP</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Basic and diluted net income per Class A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Class A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Indicates that variance as a percentage is not meaningful.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Purchases</w:t>
      </w:r>
    </w:p>
    <w:p>
      <w:pPr>
        <w:spacing w:after="0" w:line="25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Additionally, product sales revenues include the impact of gains and losses related to derivative instruments used to manage our exposure to commodity price risk associated with such sales and purchases.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NYMEX WTI</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8"/>
        </w:trPr>
        <w:tc>
          <w:tcPr>
            <w:tcW w:w="7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Crude Oil Price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7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High</w:t>
            </w:r>
          </w:p>
        </w:tc>
        <w:tc>
          <w:tcPr>
            <w:tcW w:w="240" w:type="dxa"/>
            <w:vAlign w:val="bottom"/>
          </w:tcPr>
          <w:p>
            <w:pPr>
              <w:spacing w:after="0"/>
              <w:rPr>
                <w:sz w:val="15"/>
                <w:szCs w:val="15"/>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Average</w:t>
            </w:r>
          </w:p>
        </w:tc>
      </w:tr>
      <w:tr>
        <w:trPr>
          <w:trHeight w:val="224"/>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2022</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Three Months Ended March 31, 2021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32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Product sales revenues and purchases increased for the three months ended March 31, 2022, compared to the same period in 2021 primarily due to higher prices and volumes in the 2022 period.</w:t>
      </w:r>
    </w:p>
    <w:p>
      <w:pPr>
        <w:spacing w:after="0" w:line="19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Revenues from services increased for the three months ended March 31, 2022, compared to the same period in 2021 primarily due to higher prices and volumes in the 2022 period, partially offset by the impact of the sale of our natural gas storage facilities in the third quarter of 2021.</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further discussion of our net revenues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increase in general and administrative expenses for the three months ended March 31, 2022 compared to the same period in 2021 was primarily due to (i) costs associated with the formation of the Permian JV, a portion of which are transition related, (ii) employee related costs, including an increase in equity-indexed compensation expense on equity-classified awards (which is excluded in the calculation of Adjusted EBITDA and Segment Adjusted EBITDA) due to changes in plan assumptions, and (iii) higher office rent due to a cost abatement in the prior year.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2022, we recognized a gain of $40 million related to the sale of land and buildings in California.</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The increase in depreciation and amortization expense for the three months ended March 31, 2022 compared to the same period in 2021 was driven by depreciation expense on the assets contributed by Oryx Midstream Holdings LLC (“Oryx Midstream”) upon formation of the Permian JV.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Expense,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expense, net (in millions):</w:t>
      </w:r>
    </w:p>
    <w:p>
      <w:pPr>
        <w:spacing w:after="0" w:line="27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82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Loss related to mark-to-market adjustment of Preferred Distribution Rate Reset Option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2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(2)</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8 to our Condensed Consolidated Financial Statements for additional information.</w:t>
      </w:r>
    </w:p>
    <w:p>
      <w:pPr>
        <w:spacing w:after="0" w:line="63"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43" w:lineRule="exact"/>
        <w:rPr>
          <w:sz w:val="20"/>
          <w:szCs w:val="20"/>
          <w:color w:val="auto"/>
        </w:rPr>
      </w:pPr>
    </w:p>
    <w:p>
      <w:pPr>
        <w:ind w:right="160" w:firstLine="648"/>
        <w:spacing w:after="0" w:line="274" w:lineRule="auto"/>
        <w:rPr>
          <w:sz w:val="20"/>
          <w:szCs w:val="20"/>
          <w:color w:val="auto"/>
        </w:rPr>
      </w:pPr>
      <w:r>
        <w:rPr>
          <w:rFonts w:ascii="Arial" w:cs="Arial" w:eastAsia="Arial" w:hAnsi="Arial"/>
          <w:sz w:val="17"/>
          <w:szCs w:val="17"/>
          <w:color w:val="auto"/>
        </w:rPr>
        <w:t>The net favorable income tax variance for the three months ended March 31, 2022 compared to the same period in 2021 was primarily due to the impact of lower earnings at PAA on income attributable to PAGP, partially offset by the impact of a change in our effective tax rate.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Adjusted EBITDA is defined as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Our definition and calculation of certain non-GAAP financial measures may not be comparable to similarly-titled measures of other companies. Adjusted EBITDA and Adjusted EBITDA attributable to PAA are reconciled to Net Income, the most directly comparable measure as reported in accordance with GAAP, and should be viewed in addition to, and not in lieu of, our Condensed Consolidated Financial Statements and accompanying notes.</w:t>
      </w:r>
    </w:p>
    <w:p>
      <w:pPr>
        <w:spacing w:after="0" w:line="22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provides additional information about our core operating performance, (ii) provides investors with the same financial analytical framework upon which management bases financial, operational, compensation and planning/budgeting decisions and (iii) presents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performance measures Adjusted EBITDA and Adjusted EBITDA attributable to PAA from Net Income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4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5"/>
        </w:trPr>
        <w:tc>
          <w:tcPr>
            <w:tcW w:w="38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Interest expense, net</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(Gains)/losses on asset sales and asset impairments, net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Unallocated general and administrative expenses </w:t>
            </w:r>
            <w:r>
              <w:rPr>
                <w:rFonts w:ascii="Arial" w:cs="Arial" w:eastAsia="Arial" w:hAnsi="Arial"/>
                <w:sz w:val="23"/>
                <w:szCs w:val="23"/>
                <w:color w:val="auto"/>
                <w:vertAlign w:val="superscript"/>
              </w:rPr>
              <w:t>(2)</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Selected Items Impacting Comparability:</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(Gains)/losses from derivative activities and inventory valuation adjustments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tcPr>
          <w:p>
            <w:pPr>
              <w:ind w:left="160"/>
              <w:spacing w:after="0"/>
              <w:rPr>
                <w:sz w:val="20"/>
                <w:szCs w:val="20"/>
                <w:color w:val="auto"/>
              </w:rPr>
            </w:pPr>
            <w:r>
              <w:rPr>
                <w:rFonts w:ascii="Arial" w:cs="Arial" w:eastAsia="Arial" w:hAnsi="Arial"/>
                <w:sz w:val="18"/>
                <w:szCs w:val="18"/>
                <w:color w:val="auto"/>
              </w:rPr>
              <w:t>Long-term inventory costing adjustments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Deficiencies under minimum volume commitments, net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60"/>
              <w:spacing w:after="0"/>
              <w:rPr>
                <w:sz w:val="20"/>
                <w:szCs w:val="20"/>
                <w:color w:val="auto"/>
              </w:rPr>
            </w:pPr>
            <w:r>
              <w:rPr>
                <w:rFonts w:ascii="Arial" w:cs="Arial" w:eastAsia="Arial" w:hAnsi="Arial"/>
                <w:sz w:val="18"/>
                <w:szCs w:val="18"/>
                <w:color w:val="auto"/>
              </w:rPr>
              <w:t>Equity-indexed compensation expense</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gain on foreign currency revaluation</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60"/>
              <w:spacing w:after="0"/>
              <w:rPr>
                <w:sz w:val="20"/>
                <w:szCs w:val="20"/>
                <w:color w:val="auto"/>
              </w:rPr>
            </w:pPr>
            <w:r>
              <w:rPr>
                <w:rFonts w:ascii="Arial" w:cs="Arial" w:eastAsia="Arial" w:hAnsi="Arial"/>
                <w:sz w:val="18"/>
                <w:szCs w:val="18"/>
                <w:color w:val="auto"/>
              </w:rPr>
              <w:t>Line 901 incident</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Selected Items Impacting Comparability - Segment Adjusted EBITDA </w:t>
            </w:r>
            <w:r>
              <w:rPr>
                <w:rFonts w:ascii="Arial" w:cs="Arial" w:eastAsia="Arial" w:hAnsi="Arial"/>
                <w:sz w:val="23"/>
                <w:szCs w:val="23"/>
                <w:color w:val="auto"/>
                <w:vertAlign w:val="superscript"/>
              </w:rPr>
              <w:t>(3)</w:t>
            </w: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 xml:space="preserve">Losses from derivative activities </w:t>
            </w:r>
            <w:r>
              <w:rPr>
                <w:rFonts w:ascii="Arial" w:cs="Arial" w:eastAsia="Arial" w:hAnsi="Arial"/>
                <w:sz w:val="23"/>
                <w:szCs w:val="23"/>
                <w:color w:val="auto"/>
                <w:vertAlign w:val="superscript"/>
              </w:rPr>
              <w:t>(4)</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(5)</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gridSpan w:val="2"/>
          </w:tcPr>
          <w:p>
            <w:pPr>
              <w:ind w:left="160"/>
              <w:spacing w:after="0" w:line="223"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(6)</w:t>
            </w:r>
          </w:p>
        </w:tc>
        <w:tc>
          <w:tcPr>
            <w:tcW w:w="8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(207)</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8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175"/>
        </w:trPr>
        <w:tc>
          <w:tcPr>
            <w:tcW w:w="584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9"/>
              </w:rPr>
              <w:t>Adjusted EBITDA attributable to noncontrolling interests in consolidated</w:t>
            </w:r>
          </w:p>
        </w:tc>
        <w:tc>
          <w:tcPr>
            <w:tcW w:w="8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gridSpan w:val="2"/>
          </w:tcPr>
          <w:p>
            <w:pPr>
              <w:ind w:left="320"/>
              <w:spacing w:after="0" w:line="230" w:lineRule="exact"/>
              <w:rPr>
                <w:sz w:val="20"/>
                <w:szCs w:val="20"/>
                <w:color w:val="auto"/>
              </w:rPr>
            </w:pPr>
            <w:r>
              <w:rPr>
                <w:rFonts w:ascii="Arial" w:cs="Arial" w:eastAsia="Arial" w:hAnsi="Arial"/>
                <w:sz w:val="18"/>
                <w:szCs w:val="18"/>
                <w:color w:val="auto"/>
              </w:rPr>
              <w:t xml:space="preserve">joint ventures </w:t>
            </w:r>
            <w:r>
              <w:rPr>
                <w:rFonts w:ascii="Arial" w:cs="Arial" w:eastAsia="Arial" w:hAnsi="Arial"/>
                <w:sz w:val="23"/>
                <w:szCs w:val="23"/>
                <w:color w:val="auto"/>
                <w:vertAlign w:val="superscript"/>
              </w:rPr>
              <w:t>(7)</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 attributable to PAA</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340" w:hanging="652"/>
        <w:spacing w:after="0" w:line="219"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We exclude our proportionate share of the depreciation and amortization expense (including write-downs related to cancelled projects) of such unconsolidated entities when reviewing Adjusted EBITDA, similar to our consolidated assets.</w:t>
      </w:r>
    </w:p>
    <w:p>
      <w:pPr>
        <w:spacing w:after="0" w:line="93" w:lineRule="exact"/>
        <w:rPr>
          <w:rFonts w:ascii="Arial" w:cs="Arial" w:eastAsia="Arial" w:hAnsi="Arial"/>
          <w:sz w:val="23"/>
          <w:szCs w:val="23"/>
          <w:color w:val="auto"/>
          <w:vertAlign w:val="superscript"/>
        </w:rPr>
      </w:pPr>
    </w:p>
    <w:p>
      <w:pPr>
        <w:ind w:left="660" w:right="320" w:hanging="652"/>
        <w:spacing w:after="0" w:line="238" w:lineRule="auto"/>
        <w:tabs>
          <w:tab w:leader="none" w:pos="64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95" w:lineRule="exact"/>
        <w:rPr>
          <w:rFonts w:ascii="Arial" w:cs="Arial" w:eastAsia="Arial" w:hAnsi="Arial"/>
          <w:sz w:val="22"/>
          <w:szCs w:val="22"/>
          <w:color w:val="auto"/>
          <w:vertAlign w:val="superscript"/>
        </w:rPr>
      </w:pPr>
    </w:p>
    <w:p>
      <w:pPr>
        <w:ind w:left="660" w:right="20" w:hanging="652"/>
        <w:spacing w:after="0" w:line="227"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11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right="80" w:hanging="11"/>
        <w:spacing w:after="0" w:line="259" w:lineRule="auto"/>
        <w:rPr>
          <w:sz w:val="20"/>
          <w:szCs w:val="20"/>
          <w:color w:val="auto"/>
        </w:rPr>
      </w:pPr>
      <w:r>
        <w:rPr>
          <w:rFonts w:ascii="Arial" w:cs="Arial" w:eastAsia="Arial" w:hAnsi="Arial"/>
          <w:sz w:val="18"/>
          <w:szCs w:val="18"/>
          <w:color w:val="auto"/>
        </w:rPr>
        <w:t>The Preferred Distribution Rate Reset Option of PAA’s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8 to our Condensed Consolidated Financial Statements for additional information regarding the Preferred Distribution Rate Reset Option.</w:t>
      </w:r>
    </w:p>
    <w:p>
      <w:pPr>
        <w:spacing w:after="0" w:line="79" w:lineRule="exact"/>
        <w:rPr>
          <w:sz w:val="20"/>
          <w:szCs w:val="20"/>
          <w:color w:val="auto"/>
        </w:rPr>
      </w:pPr>
    </w:p>
    <w:p>
      <w:pPr>
        <w:ind w:left="20"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41" w:lineRule="exact"/>
        <w:rPr>
          <w:sz w:val="20"/>
          <w:szCs w:val="20"/>
          <w:color w:val="auto"/>
        </w:rPr>
      </w:pPr>
    </w:p>
    <w:p>
      <w:pPr>
        <w:ind w:left="20" w:right="320" w:hanging="11"/>
        <w:spacing w:after="0" w:line="308" w:lineRule="auto"/>
        <w:rPr>
          <w:sz w:val="20"/>
          <w:szCs w:val="20"/>
          <w:color w:val="auto"/>
        </w:rPr>
      </w:pPr>
      <w:r>
        <w:rPr>
          <w:rFonts w:ascii="Arial" w:cs="Arial" w:eastAsia="Arial" w:hAnsi="Arial"/>
          <w:sz w:val="17"/>
          <w:szCs w:val="17"/>
          <w:color w:val="auto"/>
        </w:rPr>
        <w:t>Other expense, net per our Condensed Consolidated Statements of Operations, adjusted for selected items impacting comparability (“Adjusted Other income/(expense), net”) is included in Adjusted EBITDA and excluded from Segment Adjusted EBITDA.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amounts attributable to noncontrolling interests in the Permian JV and Red River LLC.</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 See Note 11 to our Condensed Consolidated Financial Statements for our definition of Segment Adjusted EBITDA and a reconciliation of Segment Adjusted EBITDA to Net income attributable to PAGP. See Note 20 to our Consolidated Financial Statements included in Part IV of our 2021 Annual Report on Form 10-K for our definition of maintenance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Segment</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primarily our assets to sales locations, including our terminals, third-party connecting carriers, regional hubs or to refineries. Our merchant activities are subject to our risk management policies and may include the use of derivative instruments to hedge our exposure.</w:t>
      </w:r>
    </w:p>
    <w:p>
      <w:pPr>
        <w:spacing w:after="0" w:line="21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the overall strength, weakness and volatility of market conditions, including regional differentials and time spreads. In addition, the execution of our risk management strategies in conjunction with our assets can provide upside in certain markets.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Crude Oil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80" w:type="dxa"/>
            <w:vAlign w:val="bottom"/>
          </w:tcPr>
          <w:p>
            <w:pPr>
              <w:spacing w:after="0"/>
              <w:rPr>
                <w:sz w:val="14"/>
                <w:szCs w:val="14"/>
                <w:color w:val="auto"/>
              </w:rPr>
            </w:pPr>
          </w:p>
        </w:tc>
        <w:tc>
          <w:tcPr>
            <w:tcW w:w="24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56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20" w:type="dxa"/>
            <w:vAlign w:val="bottom"/>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ind w:left="514"/>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51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7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0"/>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(5,346)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582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2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5"/>
        </w:trPr>
        <w:tc>
          <w:tcPr>
            <w:tcW w:w="582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 activities and inventory valuation</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30"/>
        </w:trPr>
        <w:tc>
          <w:tcPr>
            <w:tcW w:w="5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gridSpan w:val="3"/>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5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30"/>
        </w:trPr>
        <w:tc>
          <w:tcPr>
            <w:tcW w:w="5820" w:type="dxa"/>
            <w:vAlign w:val="bottom"/>
            <w:gridSpan w:val="3"/>
          </w:tcPr>
          <w:p>
            <w:pPr>
              <w:ind w:left="18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5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gain on foreign currency revaluation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820" w:type="dxa"/>
            <w:vAlign w:val="bottom"/>
            <w:gridSpan w:val="3"/>
          </w:tcPr>
          <w:p>
            <w:pPr>
              <w:ind w:left="180"/>
              <w:spacing w:after="0"/>
              <w:rPr>
                <w:sz w:val="20"/>
                <w:szCs w:val="20"/>
                <w:color w:val="auto"/>
              </w:rPr>
            </w:pPr>
            <w:r>
              <w:rPr>
                <w:rFonts w:ascii="Arial" w:cs="Arial" w:eastAsia="Arial" w:hAnsi="Arial"/>
                <w:sz w:val="18"/>
                <w:szCs w:val="18"/>
                <w:color w:val="auto"/>
              </w:rPr>
              <w:t>Line 901 incident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6"/>
        </w:trPr>
        <w:tc>
          <w:tcPr>
            <w:tcW w:w="582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Adjusted EBITDA attributable to noncontrolling interests in consolidated</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Maintenance capital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24"/>
                <w:szCs w:val="24"/>
                <w:color w:val="auto"/>
              </w:rPr>
            </w:pPr>
          </w:p>
        </w:tc>
        <w:tc>
          <w:tcPr>
            <w:tcW w:w="156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ind w:left="514"/>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Volumes</w:t>
            </w:r>
          </w:p>
        </w:tc>
        <w:tc>
          <w:tcPr>
            <w:tcW w:w="28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Volumes</w:t>
            </w:r>
          </w:p>
        </w:tc>
        <w:tc>
          <w:tcPr>
            <w:tcW w:w="940" w:type="dxa"/>
            <w:vAlign w:val="bottom"/>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72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Tariff activities volumes </w:t>
            </w:r>
            <w:r>
              <w:rPr>
                <w:rFonts w:ascii="Arial" w:cs="Arial" w:eastAsia="Arial" w:hAnsi="Arial"/>
                <w:sz w:val="23"/>
                <w:szCs w:val="23"/>
                <w:color w:val="auto"/>
                <w:vertAlign w:val="superscript"/>
              </w:rPr>
              <w:t>(4)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gridSpan w:val="3"/>
          </w:tcPr>
          <w:p>
            <w:pPr>
              <w:ind w:left="240"/>
              <w:spacing w:after="0"/>
              <w:rPr>
                <w:sz w:val="20"/>
                <w:szCs w:val="20"/>
                <w:color w:val="auto"/>
              </w:rPr>
            </w:pPr>
            <w:r>
              <w:rPr>
                <w:rFonts w:ascii="Arial" w:cs="Arial" w:eastAsia="Arial" w:hAnsi="Arial"/>
                <w:sz w:val="18"/>
                <w:szCs w:val="18"/>
                <w:color w:val="auto"/>
              </w:rPr>
              <w:t>Crude oil pipelines tariff volumes (by region):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3"/>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5820" w:type="dxa"/>
            <w:vAlign w:val="bottom"/>
            <w:gridSpan w:val="3"/>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5820" w:type="dxa"/>
            <w:vAlign w:val="bottom"/>
            <w:gridSpan w:val="3"/>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Mid-Continent </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5820" w:type="dxa"/>
            <w:vAlign w:val="bottom"/>
            <w:gridSpan w:val="3"/>
          </w:tcPr>
          <w:p>
            <w:pPr>
              <w:ind w:left="240"/>
              <w:spacing w:after="0"/>
              <w:rPr>
                <w:sz w:val="20"/>
                <w:szCs w:val="20"/>
                <w:color w:val="auto"/>
              </w:rPr>
            </w:pPr>
            <w:r>
              <w:rPr>
                <w:rFonts w:ascii="Arial" w:cs="Arial" w:eastAsia="Arial" w:hAnsi="Arial"/>
                <w:sz w:val="18"/>
                <w:szCs w:val="18"/>
                <w:color w:val="auto"/>
              </w:rPr>
              <w:t>Gulf Coast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5820" w:type="dxa"/>
            <w:vAlign w:val="bottom"/>
            <w:gridSpan w:val="3"/>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5820" w:type="dxa"/>
            <w:vAlign w:val="bottom"/>
            <w:gridSpan w:val="3"/>
          </w:tcPr>
          <w:p>
            <w:pPr>
              <w:ind w:left="24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5820" w:type="dxa"/>
            <w:vAlign w:val="bottom"/>
            <w:gridSpan w:val="3"/>
          </w:tcPr>
          <w:p>
            <w:pPr>
              <w:ind w:left="140"/>
              <w:spacing w:after="0"/>
              <w:rPr>
                <w:sz w:val="20"/>
                <w:szCs w:val="20"/>
                <w:color w:val="auto"/>
              </w:rPr>
            </w:pPr>
            <w:r>
              <w:rPr>
                <w:rFonts w:ascii="Arial" w:cs="Arial" w:eastAsia="Arial" w:hAnsi="Arial"/>
                <w:sz w:val="18"/>
                <w:szCs w:val="18"/>
                <w:color w:val="auto"/>
              </w:rPr>
              <w:t>Crude oil pipelines tariff activities total volumes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2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Commercial crude oil storage capacity </w:t>
            </w:r>
            <w:r>
              <w:rPr>
                <w:rFonts w:ascii="Arial" w:cs="Arial" w:eastAsia="Arial" w:hAnsi="Arial"/>
                <w:sz w:val="23"/>
                <w:szCs w:val="23"/>
                <w:color w:val="auto"/>
                <w:vertAlign w:val="superscript"/>
              </w:rPr>
              <w:t>(5) (6)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(4)</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87"/>
        </w:trPr>
        <w:tc>
          <w:tcPr>
            <w:tcW w:w="3880" w:type="dxa"/>
            <w:vAlign w:val="bottom"/>
            <w:tcBorders>
              <w:bottom w:val="single" w:sz="8" w:color="auto"/>
            </w:tcBorders>
          </w:tcPr>
          <w:p>
            <w:pPr>
              <w:spacing w:after="0"/>
              <w:rPr>
                <w:sz w:val="7"/>
                <w:szCs w:val="7"/>
                <w:color w:val="auto"/>
              </w:rPr>
            </w:pPr>
          </w:p>
        </w:tc>
        <w:tc>
          <w:tcPr>
            <w:tcW w:w="194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7"/>
        </w:trPr>
        <w:tc>
          <w:tcPr>
            <w:tcW w:w="5820" w:type="dxa"/>
            <w:vAlign w:val="bottom"/>
            <w:gridSpan w:val="3"/>
          </w:tcPr>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Indicates that variance as a percentage is not meaningful.</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ind w:left="20" w:right="220" w:hanging="11"/>
        <w:spacing w:after="0" w:line="286" w:lineRule="auto"/>
        <w:rPr>
          <w:sz w:val="20"/>
          <w:szCs w:val="20"/>
          <w:color w:val="auto"/>
        </w:rPr>
      </w:pPr>
      <w:r>
        <w:rPr>
          <w:rFonts w:ascii="Arial" w:cs="Arial" w:eastAsia="Arial" w:hAnsi="Arial"/>
          <w:sz w:val="17"/>
          <w:szCs w:val="17"/>
          <w:color w:val="auto"/>
        </w:rPr>
        <w:t>Average daily volumes in thousands of barrels per day calculated as the total volumes (attributable to our interest for pipelines owned by unconsolidated entities or undivided joint interests) for the year divided by the number of days in the year. Volumes associated with acquisitions represent total volumes for the number of days we actually owned the assets divided by the number of days in the period.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assets owned by unconsolidated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capacity in millions of barrels per day calculated as total volumes for the period divided by the number of months in the period.</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Crude Oil Segment Adjusted EBITDA decreased for the three months ended March 31, 2022 compared to the same period in 2021 primarily due to (i) the sale of our natural gas storage facilities in August of 2021 and (ii) gains related to hedged power costs resulting from Winter Storm Uri recognized in the first quarter of 2021. These items were partially offset by increased earnings in the first quarter of 2022 from higher tariff volumes on our pipelines.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Variances in the components impacting Segment Adjusted EBITDA are discussed in more detail below.</w:t>
      </w:r>
    </w:p>
    <w:p>
      <w:pPr>
        <w:spacing w:after="0" w:line="25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i w:val="1"/>
          <w:iCs w:val="1"/>
          <w:color w:val="auto"/>
        </w:rPr>
        <w:t xml:space="preserve">Revenues, Net of Purchases and Related Costs (“net revenues”) and Equity Earnings in Unconsolidated Entities. </w:t>
      </w:r>
      <w:r>
        <w:rPr>
          <w:rFonts w:ascii="Arial" w:cs="Arial" w:eastAsia="Arial" w:hAnsi="Arial"/>
          <w:sz w:val="18"/>
          <w:szCs w:val="18"/>
          <w:color w:val="auto"/>
        </w:rPr>
        <w:t>The following is a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significant factors impacting net revenues and equity earnings in unconsolidated entities that contributed to the variance in Segment Adjusted EBITDA for the first quarter of 2022 compared to the first quarter of 2021.</w:t>
      </w:r>
    </w:p>
    <w:p>
      <w:pPr>
        <w:spacing w:after="0" w:line="211" w:lineRule="exact"/>
        <w:rPr>
          <w:sz w:val="20"/>
          <w:szCs w:val="20"/>
          <w:color w:val="auto"/>
        </w:rPr>
      </w:pPr>
    </w:p>
    <w:p>
      <w:pPr>
        <w:ind w:left="980" w:right="140" w:hanging="324"/>
        <w:spacing w:after="0" w:line="259" w:lineRule="auto"/>
        <w:tabs>
          <w:tab w:leader="none" w:pos="975"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Production and Market Impacts. </w:t>
      </w:r>
      <w:r>
        <w:rPr>
          <w:rFonts w:ascii="Arial" w:cs="Arial" w:eastAsia="Arial" w:hAnsi="Arial"/>
          <w:sz w:val="18"/>
          <w:szCs w:val="18"/>
          <w:color w:val="auto"/>
        </w:rPr>
        <w:t>Since the trough in demand for crude oil in 2020 related to the COVID-19 pandemic, we have seen steady</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our volumes, commensurate with the growth in total U.S. crude oil production, resulting in a favorable impact on our earnings in the first quarter of 2022 compared to the first quarter of 2021. This was partially offset by the impact of less favorable crude oil differentials, including contango profits that benefited the 2021 period.</w:t>
      </w:r>
    </w:p>
    <w:p>
      <w:pPr>
        <w:spacing w:after="0" w:line="213" w:lineRule="exact"/>
        <w:rPr>
          <w:rFonts w:ascii="Arial" w:cs="Arial" w:eastAsia="Arial" w:hAnsi="Arial"/>
          <w:sz w:val="18"/>
          <w:szCs w:val="18"/>
          <w:i w:val="1"/>
          <w:iCs w:val="1"/>
          <w:color w:val="auto"/>
        </w:rPr>
      </w:pPr>
    </w:p>
    <w:p>
      <w:pPr>
        <w:ind w:left="980" w:hanging="324"/>
        <w:spacing w:after="0" w:line="255" w:lineRule="auto"/>
        <w:tabs>
          <w:tab w:leader="none" w:pos="975"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Joint Venture Formation and Divestiture Transactions. </w:t>
      </w:r>
      <w:r>
        <w:rPr>
          <w:rFonts w:ascii="Arial" w:cs="Arial" w:eastAsia="Arial" w:hAnsi="Arial"/>
          <w:sz w:val="18"/>
          <w:szCs w:val="18"/>
          <w:color w:val="auto"/>
        </w:rPr>
        <w:t>In October of 2021, we closed on the transaction with Oryx Midstream to merge our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Permian Basin assets, with the exception of our long-haul pipeline systems and certain of our intra-basin assets into the Permian JV. The pipelines contributed by Oryx Midstream upon formation of the Permian JV resulted in approximately 640 thousand barrels per day of additional tariff volumes in the Permian Basin in the first quarter of 2022. We deduct the portion of the financial results attributable to Oryx Midstream’s 35% interest in the Permian JV in determining Segment Adjusted EBITDA, which offset the favorable impact of the additional volumes for the first quarter of 2022.</w:t>
      </w:r>
    </w:p>
    <w:p>
      <w:pPr>
        <w:spacing w:after="0" w:line="219" w:lineRule="exact"/>
        <w:rPr>
          <w:rFonts w:ascii="Arial" w:cs="Arial" w:eastAsia="Arial" w:hAnsi="Arial"/>
          <w:sz w:val="18"/>
          <w:szCs w:val="18"/>
          <w:i w:val="1"/>
          <w:iCs w:val="1"/>
          <w:color w:val="auto"/>
        </w:rPr>
      </w:pPr>
    </w:p>
    <w:p>
      <w:pPr>
        <w:ind w:left="980" w:right="22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We sold our natural gas storage facilities in August 2021, which was a significant driver of the decrease in our results for the first quarter of 2022 compared to the first quarter of 2021 as net re</w:t>
      </w:r>
      <w:r>
        <w:rPr>
          <w:rFonts w:ascii="Arial" w:cs="Arial" w:eastAsia="Arial" w:hAnsi="Arial"/>
          <w:sz w:val="18"/>
          <w:szCs w:val="18"/>
          <w:i w:val="1"/>
          <w:iCs w:val="1"/>
          <w:color w:val="auto"/>
        </w:rPr>
        <w:t>v</w:t>
      </w:r>
      <w:r>
        <w:rPr>
          <w:rFonts w:ascii="Arial" w:cs="Arial" w:eastAsia="Arial" w:hAnsi="Arial"/>
          <w:sz w:val="18"/>
          <w:szCs w:val="18"/>
          <w:color w:val="auto"/>
        </w:rPr>
        <w:t>enues from our natural gas storage facilities in the first quarter of 2021 were approximately $42 million, which included the benefit of favorable margins from hub activities related to Winter Storm Uri, as mentioned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line="286" w:lineRule="auto"/>
        <w:tabs>
          <w:tab w:leader="none" w:pos="975"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Winter Storm Uri. </w:t>
      </w:r>
      <w:r>
        <w:rPr>
          <w:rFonts w:ascii="Arial" w:cs="Arial" w:eastAsia="Arial" w:hAnsi="Arial"/>
          <w:sz w:val="17"/>
          <w:szCs w:val="17"/>
          <w:color w:val="auto"/>
        </w:rPr>
        <w:t>During the first quarter of 2021, Winter Storm Uri had a negative impact on our volumes; however, this impact was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offset during the 2021 period by gains related to hedged power costs, which are reflected in equity earnings and field operating costs, and favorable margins from hub activities at our natural gas storage facilities resulting from Winter Storm Uri.</w:t>
      </w:r>
    </w:p>
    <w:p>
      <w:pPr>
        <w:spacing w:after="0" w:line="192" w:lineRule="exact"/>
        <w:rPr>
          <w:rFonts w:ascii="Arial" w:cs="Arial" w:eastAsia="Arial" w:hAnsi="Arial"/>
          <w:sz w:val="17"/>
          <w:szCs w:val="17"/>
          <w:b w:val="1"/>
          <w:bCs w:val="1"/>
          <w:i w:val="1"/>
          <w:iCs w:val="1"/>
          <w:color w:val="auto"/>
        </w:rPr>
      </w:pPr>
    </w:p>
    <w:p>
      <w:pPr>
        <w:ind w:left="980" w:right="260" w:hanging="324"/>
        <w:spacing w:after="0" w:line="277" w:lineRule="auto"/>
        <w:tabs>
          <w:tab w:leader="none" w:pos="975"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Pipeline Loss Allowance Revenue. </w:t>
      </w:r>
      <w:r>
        <w:rPr>
          <w:rFonts w:ascii="Arial" w:cs="Arial" w:eastAsia="Arial" w:hAnsi="Arial"/>
          <w:sz w:val="18"/>
          <w:szCs w:val="18"/>
          <w:color w:val="auto"/>
        </w:rPr>
        <w:t>Pipeline loss allowance revenues increased for the three months ended March 31, 2022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primarily due to higher prices and volumes during the 2022 period.</w:t>
      </w:r>
    </w:p>
    <w:p>
      <w:pPr>
        <w:spacing w:after="0" w:line="197" w:lineRule="exact"/>
        <w:rPr>
          <w:rFonts w:ascii="Arial" w:cs="Arial" w:eastAsia="Arial" w:hAnsi="Arial"/>
          <w:sz w:val="18"/>
          <w:szCs w:val="18"/>
          <w:i w:val="1"/>
          <w:iCs w:val="1"/>
          <w:color w:val="auto"/>
        </w:rPr>
      </w:pPr>
    </w:p>
    <w:p>
      <w:pPr>
        <w:ind w:left="980" w:right="20" w:hanging="324"/>
        <w:spacing w:after="0" w:line="271" w:lineRule="auto"/>
        <w:tabs>
          <w:tab w:leader="none" w:pos="975"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For the three months ended March 31, 2022 and 2021, Segment Adjusted EBITDA includes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$43 million and $26 million, respectively, associated with deficiencies under minimum volume commitments under contracts that have make-up rights. Although the payments have been received associated with the volume deficiencies, the revenues are not recognized until future periods when either the shortfall is made up or when the shipper’s make-up rights expire or it is determined that their ability to utilize the make-up right is remote. During the three months ended March 31, 2022 and 2021, we recognized approximately $37 million and $58 million, respectively, associated with deficiencies under minimum volume commitments that were previously deferred. The amount presented as an “Adjustment” in the table above reflects the net adjustment for revenues deferred during the period and the reversal of previously deferred revenues that were recognized during the period.</w:t>
      </w:r>
    </w:p>
    <w:p>
      <w:pPr>
        <w:spacing w:after="0" w:line="205" w:lineRule="exact"/>
        <w:rPr>
          <w:rFonts w:ascii="Arial" w:cs="Arial" w:eastAsia="Arial" w:hAnsi="Arial"/>
          <w:sz w:val="17"/>
          <w:szCs w:val="17"/>
          <w:i w:val="1"/>
          <w:iCs w:val="1"/>
          <w:color w:val="auto"/>
        </w:rPr>
      </w:pPr>
    </w:p>
    <w:p>
      <w:pPr>
        <w:ind w:left="980" w:right="60" w:hanging="324"/>
        <w:spacing w:after="0" w:line="263" w:lineRule="auto"/>
        <w:tabs>
          <w:tab w:leader="none" w:pos="975"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Project Completions. </w:t>
      </w:r>
      <w:r>
        <w:rPr>
          <w:rFonts w:ascii="Arial" w:cs="Arial" w:eastAsia="Arial" w:hAnsi="Arial"/>
          <w:sz w:val="18"/>
          <w:szCs w:val="18"/>
          <w:color w:val="auto"/>
        </w:rPr>
        <w:t>The Capline pipeline reversal project and phase two of the Wink to Webster pipeline project have been completed and</w:t>
      </w:r>
      <w:r>
        <w:rPr>
          <w:rFonts w:ascii="Arial" w:cs="Arial" w:eastAsia="Arial" w:hAnsi="Arial"/>
          <w:sz w:val="18"/>
          <w:szCs w:val="18"/>
          <w:i w:val="1"/>
          <w:iCs w:val="1"/>
          <w:color w:val="auto"/>
        </w:rPr>
        <w:t xml:space="preserve"> </w:t>
      </w:r>
      <w:r>
        <w:rPr>
          <w:rFonts w:ascii="Arial" w:cs="Arial" w:eastAsia="Arial" w:hAnsi="Arial"/>
          <w:sz w:val="18"/>
          <w:szCs w:val="18"/>
          <w:color w:val="auto"/>
        </w:rPr>
        <w:t>were placed in service in the first quarter of 2022, which favorably impacted equity earnings in unconsolidated entities and our tariff volumes for the 2022 period.</w:t>
      </w:r>
    </w:p>
    <w:p>
      <w:pPr>
        <w:spacing w:after="0" w:line="211" w:lineRule="exact"/>
        <w:rPr>
          <w:sz w:val="20"/>
          <w:szCs w:val="20"/>
          <w:color w:val="auto"/>
        </w:rPr>
      </w:pPr>
    </w:p>
    <w:p>
      <w:pPr>
        <w:ind w:left="340" w:right="2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three months ended March 31, 2022 compared to the same period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due to (i) the impact of gains related to hedged power costs resulting from Winter Storm Uri recognized in the first quarter of 2021, (ii) additional estimated costs associated with the Line 901 incident (which impact field operating costs but are excluded from Segment Adjusted EBITDA and thus are reflected as an “Adjustment” in the table above), and (iii) incremental operating costs from the Permian JV.</w:t>
      </w:r>
    </w:p>
    <w:p>
      <w:pPr>
        <w:spacing w:after="0" w:line="19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See the</w:t>
      </w:r>
      <w:r>
        <w:rPr>
          <w:rFonts w:ascii="Arial" w:cs="Arial" w:eastAsia="Arial" w:hAnsi="Arial"/>
          <w:sz w:val="18"/>
          <w:szCs w:val="18"/>
          <w:i w:val="1"/>
          <w:iCs w:val="1"/>
          <w:color w:val="auto"/>
        </w:rPr>
        <w:t xml:space="preserve"> “—Consolidated Results” </w:t>
      </w:r>
      <w:r>
        <w:rPr>
          <w:rFonts w:ascii="Arial" w:cs="Arial" w:eastAsia="Arial" w:hAnsi="Arial"/>
          <w:sz w:val="18"/>
          <w:szCs w:val="18"/>
          <w:color w:val="auto"/>
        </w:rPr>
        <w:t>section above for a discussion of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w:t>
      </w:r>
    </w:p>
    <w:p>
      <w:pPr>
        <w:spacing w:after="0" w:line="19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The decrease in maintenance capital spending for the three months ended March 31, 2022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was primarily due to timing.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Segment</w:t>
      </w:r>
    </w:p>
    <w:p>
      <w:pPr>
        <w:spacing w:after="0" w:line="229"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supply from the gas stream processed at our Empress straddle plant facility as well as acquiring NGL mix supply, which mix supply is then transported, stored and fractionated into finished products and sold to customers.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NGL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80" w:type="dxa"/>
            <w:vAlign w:val="bottom"/>
          </w:tcPr>
          <w:p>
            <w:pPr>
              <w:spacing w:after="0"/>
              <w:rPr>
                <w:sz w:val="14"/>
                <w:szCs w:val="14"/>
                <w:color w:val="auto"/>
              </w:rPr>
            </w:pPr>
          </w:p>
        </w:tc>
        <w:tc>
          <w:tcPr>
            <w:tcW w:w="240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40" w:type="dxa"/>
            <w:vAlign w:val="bottom"/>
            <w:gridSpan w:val="5"/>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ind w:left="516"/>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80" w:type="dxa"/>
            <w:vAlign w:val="bottom"/>
          </w:tcPr>
          <w:p>
            <w:pPr>
              <w:spacing w:after="0"/>
              <w:rPr>
                <w:sz w:val="15"/>
                <w:szCs w:val="15"/>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7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840" w:type="dxa"/>
            <w:vAlign w:val="bottom"/>
            <w:gridSpan w:val="5"/>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40" w:type="dxa"/>
            <w:vAlign w:val="bottom"/>
            <w:gridSpan w:val="5"/>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3"/>
              </w:rPr>
              <w:t>(Gains)/losses from derivative activities and inventory valuation adjustments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30"/>
        </w:trPr>
        <w:tc>
          <w:tcPr>
            <w:tcW w:w="5840" w:type="dxa"/>
            <w:vAlign w:val="bottom"/>
            <w:gridSpan w:val="5"/>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8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Net gain on foreign currency revaluation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Maintenance capital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24"/>
                <w:szCs w:val="24"/>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ind w:left="496"/>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20" w:type="dxa"/>
            <w:vAlign w:val="bottom"/>
            <w:gridSpan w:val="4"/>
          </w:tcPr>
          <w:p>
            <w:pPr>
              <w:ind w:left="20"/>
              <w:spacing w:after="0" w:line="212" w:lineRule="exact"/>
              <w:rPr>
                <w:sz w:val="20"/>
                <w:szCs w:val="20"/>
                <w:color w:val="auto"/>
              </w:rPr>
            </w:pPr>
            <w:r>
              <w:rPr>
                <w:rFonts w:ascii="Arial" w:cs="Arial" w:eastAsia="Arial" w:hAnsi="Arial"/>
                <w:sz w:val="14"/>
                <w:szCs w:val="14"/>
                <w:b w:val="1"/>
                <w:bCs w:val="1"/>
                <w:color w:val="auto"/>
              </w:rPr>
              <w:t>Average Volumes (in thousands of barrels per day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23"/>
                <w:szCs w:val="23"/>
                <w:b w:val="1"/>
                <w:bCs w:val="1"/>
                <w:color w:val="auto"/>
                <w:vertAlign w:val="superscript"/>
              </w:rPr>
              <w:t>(4)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Volumes</w:t>
            </w:r>
          </w:p>
        </w:tc>
        <w:tc>
          <w:tcPr>
            <w:tcW w:w="920" w:type="dxa"/>
            <w:vAlign w:val="bottom"/>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5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NGL fractionation</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NGL pipeline tariff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NGL sales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1960" w:type="dxa"/>
            <w:vAlign w:val="bottom"/>
            <w:gridSpan w:val="4"/>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7"/>
        </w:trPr>
        <w:tc>
          <w:tcPr>
            <w:tcW w:w="5840" w:type="dxa"/>
            <w:vAlign w:val="bottom"/>
            <w:gridSpan w:val="5"/>
          </w:tcPr>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Indicates that variance as a percentage is not meaningful.</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right="4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ind w:right="360" w:hanging="11"/>
        <w:spacing w:after="0" w:line="277" w:lineRule="auto"/>
        <w:rPr>
          <w:sz w:val="20"/>
          <w:szCs w:val="20"/>
          <w:color w:val="auto"/>
        </w:rPr>
      </w:pPr>
      <w:r>
        <w:rPr>
          <w:rFonts w:ascii="Arial" w:cs="Arial" w:eastAsia="Arial" w:hAnsi="Arial"/>
          <w:sz w:val="18"/>
          <w:szCs w:val="18"/>
          <w:color w:val="auto"/>
        </w:rPr>
        <w:t>Average daily volumes are calculated as total volumes (attributable to our interest for pipelines and facilities in which we have undivided joint interests) for the period divided by the number of days in the period.</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Segment Adjusted EBITDA</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NGL Segment Adjusted EBITDA increased for the three months ended March 31, 2022 compared to the same period in 2021 primarily due to the favorable impact of higher realized fractionation spreads between the price of natural gas and the extracted NGL (“frac spreads”) and higher NGL sales prices, partially offset by lower NGL sales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variances in the components of Segment Adjusted EBITDA are discussed in more detail below.</w:t>
      </w:r>
    </w:p>
    <w:p>
      <w:pPr>
        <w:spacing w:after="0" w:line="252"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from our NGL activities increased for the three months ended March 31, 2022 compared to the same period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due to higher realized frac spreads and higher NGL sales prices, partially offset by lower NGL sales volumes. Additionally, net revenues for the 2022 period compared to 2021 include the benefit of our increased ownership in the Empress straddle plants effective June 2021.</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months ended March 31, 2022 compared to the same period in 2021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increased power costs related to our increased ownership in the Empress straddle plants and (ii) higher compensation costs including lower wage subsidies received by our Canadian subsidiary.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and (ii) borrowings under PAA’s credit facilities or the PAA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investment capital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19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As of March 31, 2022, although we had a working capital deficit of $472 million, we had approximately $2.4 billion of liquidity available to meet our ongoing operating, investing and financing needs, subject to continued covenant compliance, as noted below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635"/>
              <w:spacing w:after="0"/>
              <w:rPr>
                <w:sz w:val="20"/>
                <w:szCs w:val="20"/>
                <w:color w:val="auto"/>
              </w:rPr>
            </w:pPr>
            <w:r>
              <w:rPr>
                <w:rFonts w:ascii="Arial" w:cs="Arial" w:eastAsia="Arial" w:hAnsi="Arial"/>
                <w:sz w:val="14"/>
                <w:szCs w:val="14"/>
                <w:b w:val="1"/>
                <w:bCs w:val="1"/>
                <w:color w:val="auto"/>
              </w:rPr>
              <w:t>As of</w:t>
            </w:r>
          </w:p>
        </w:tc>
      </w:tr>
      <w:tr>
        <w:trPr>
          <w:trHeight w:val="188"/>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5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2022</w:t>
            </w:r>
          </w:p>
        </w:tc>
      </w:tr>
      <w:tr>
        <w:trPr>
          <w:trHeight w:val="224"/>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20" w:type="dxa"/>
            <w:vAlign w:val="bottom"/>
          </w:tcPr>
          <w:p>
            <w:pPr>
              <w:spacing w:after="0"/>
              <w:rPr>
                <w:sz w:val="19"/>
                <w:szCs w:val="19"/>
                <w:color w:val="auto"/>
              </w:rPr>
            </w:pPr>
          </w:p>
        </w:tc>
        <w:tc>
          <w:tcPr>
            <w:tcW w:w="9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30"/>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outstanding under PAA commercial paper program</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23"/>
        </w:trPr>
        <w:tc>
          <w:tcPr>
            <w:tcW w:w="20" w:type="dxa"/>
            <w:vAlign w:val="bottom"/>
          </w:tcPr>
          <w:p>
            <w:pPr>
              <w:spacing w:after="0"/>
              <w:rPr>
                <w:sz w:val="19"/>
                <w:szCs w:val="19"/>
                <w:color w:val="auto"/>
              </w:rPr>
            </w:pPr>
          </w:p>
        </w:tc>
        <w:tc>
          <w:tcPr>
            <w:tcW w:w="950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2,284</w:t>
            </w:r>
          </w:p>
        </w:tc>
      </w:tr>
      <w:tr>
        <w:trPr>
          <w:trHeight w:val="230"/>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20" w:type="dxa"/>
            <w:vAlign w:val="bottom"/>
          </w:tcPr>
          <w:p>
            <w:pPr>
              <w:spacing w:after="0"/>
              <w:rPr>
                <w:sz w:val="19"/>
                <w:szCs w:val="19"/>
                <w:color w:val="auto"/>
              </w:rPr>
            </w:pPr>
          </w:p>
        </w:tc>
        <w:tc>
          <w:tcPr>
            <w:tcW w:w="95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64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the PAA commercial paper program, which reduce available capacity under the facilities.</w:t>
      </w:r>
    </w:p>
    <w:p>
      <w:pPr>
        <w:spacing w:after="0" w:line="62" w:lineRule="exact"/>
        <w:rPr>
          <w:sz w:val="20"/>
          <w:szCs w:val="20"/>
          <w:color w:val="auto"/>
        </w:rPr>
      </w:pPr>
    </w:p>
    <w:p>
      <w:pPr>
        <w:ind w:right="10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$29 million and $5 million, respectively.</w:t>
      </w:r>
    </w:p>
    <w:p>
      <w:pPr>
        <w:spacing w:after="0" w:line="197"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ind w:right="100" w:firstLine="648"/>
        <w:spacing w:after="0" w:line="255" w:lineRule="auto"/>
        <w:rPr>
          <w:sz w:val="20"/>
          <w:szCs w:val="20"/>
          <w:color w:val="auto"/>
        </w:rPr>
      </w:pPr>
      <w:r>
        <w:rPr>
          <w:rFonts w:ascii="Arial" w:cs="Arial" w:eastAsia="Arial" w:hAnsi="Arial"/>
          <w:sz w:val="18"/>
          <w:szCs w:val="18"/>
          <w:color w:val="auto"/>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Additionally, lack of compliance with the provisions in PAA’s credit agreements may restrict its ability to make distributions of available cash. PAA was in compliance with the covenants contained in its credit agreements and indentures 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2021 Annual Report on Form 10-K for further discussion regarding risks that may impact our liquidity and capital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2021 Annual Report on Form 10-K.</w:t>
      </w:r>
    </w:p>
    <w:p>
      <w:pPr>
        <w:spacing w:after="0" w:line="18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Net cash provided by operating activities for the first three months of 2022 and 2021 was $339 million and $789 million, respectively, and primarily resulted from earnings from our operations. During the three months ended March 31, 2022, our cash provided by operating activities was negatively impacted by working capital changes. During the three months ended March 31, 2021, our cash provided by operating activities was positively impacted by working capital changes, including decreases in the volume of inventory that we held, primarily due to the sale of crude oil inventory that had been stored during the contango market and the sale of NGL inventory related to demand for heating during the winter season. The net proceeds from the liquidation of such inventory were used to repay borrowings under PAA’s commercial paper program and credit facilities.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82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jc w:val="both"/>
        <w:ind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76" w:lineRule="exact"/>
        <w:rPr>
          <w:sz w:val="20"/>
          <w:szCs w:val="20"/>
          <w:color w:val="auto"/>
        </w:rPr>
      </w:pPr>
    </w:p>
    <w:p>
      <w:pPr>
        <w:jc w:val="both"/>
        <w:ind w:right="240" w:hanging="11"/>
        <w:spacing w:after="0" w:line="277" w:lineRule="auto"/>
        <w:rPr>
          <w:sz w:val="20"/>
          <w:szCs w:val="20"/>
          <w:color w:val="auto"/>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2022 Investment and Maintenance Capital. </w:t>
      </w:r>
      <w:r>
        <w:rPr>
          <w:rFonts w:ascii="Arial" w:cs="Arial" w:eastAsia="Arial" w:hAnsi="Arial"/>
          <w:sz w:val="17"/>
          <w:szCs w:val="17"/>
          <w:color w:val="auto"/>
        </w:rPr>
        <w:t>Total investment capital for the year ended December 31, 2022 is projected to be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$330 million ($275 million net to our interest). Approximately half of our projected investment capital expenditures are expected to be invested in the Permian JV assets. Additionally, maintenance capital for the full year of 2022 is projected to be $220 million ($210 million net to our interest). We expect to fund our 2022 investment and maintenance capital expenditures primarily with retained cash flow.</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Proceeds from the sale of assets have generally been used to fund our investment capital projects and reduce debt levels. The following table summarizes the proceeds received during the first three months of 2022 and 2021 from sales of assets (in millions):</w:t>
      </w:r>
    </w:p>
    <w:p>
      <w:pPr>
        <w:spacing w:after="0" w:line="21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40"/>
        <w:spacing w:after="0"/>
        <w:tabs>
          <w:tab w:leader="none" w:pos="8260" w:val="left"/>
          <w:tab w:leader="none" w:pos="9420" w:val="left"/>
          <w:tab w:leader="none" w:pos="9800" w:val="left"/>
          <w:tab w:leader="none" w:pos="10960" w:val="left"/>
        </w:tabs>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w:t>
        <w:tab/>
        <w:t>$</w:t>
      </w:r>
      <w:r>
        <w:rPr>
          <w:sz w:val="20"/>
          <w:szCs w:val="20"/>
          <w:color w:val="auto"/>
        </w:rPr>
        <w:tab/>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4599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27"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proceeds, including working capital adjustments, net of transaction costs.</w:t>
      </w:r>
    </w:p>
    <w:p>
      <w:pPr>
        <w:spacing w:after="0" w:line="27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are continuously engaged in the evaluation of potential transactions that support our current business strategy. In the past, such transactions have included the sale on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18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Business—Divestitures and acquisitions involve risks that may adversely affect our business” included in our 2021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During the three months ended March 31, 2022, we had net borrowings on the PAA credit facilities and commercial paper program of $382 million. The net borrowings resulted primarily from borrowings during the period related to funding needs for capital investments, inventory purchases, senior notes repayments and other general partnership purposes, partially offset by cash flow from operating activities and proceeds from asset sales.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During the three months ended March 31, 2021, we had net repayments on the PAA credit facilities and commercial paper program of $576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Repayment of Senior Notes</w:t>
      </w:r>
    </w:p>
    <w:p>
      <w:pPr>
        <w:spacing w:after="0" w:line="25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During the three months ended March 31, 2022, PAA redeemed its 3.65%, $750 million senior notes due June 2022. PAA utilized cash on hand and borrowings under its commercial paper program to repay these senior notes.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PAA repurchased 2.4 million and 0.4 million common units under the Program through open market purchases that settled during the three months ended March 31, 2022 and 2021, respectively, for a total purchase price of $25 million and $3 million, respectively, including commissions and fees. At March 31, 2022, the remaining available capacity under the Program was $247 million.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w:t>
      </w:r>
      <w:r>
        <w:rPr>
          <w:rFonts w:ascii="Arial" w:cs="Arial" w:eastAsia="Arial" w:hAnsi="Arial"/>
          <w:sz w:val="17"/>
          <w:szCs w:val="17"/>
          <w:i w:val="1"/>
          <w:iCs w:val="1"/>
          <w:color w:val="auto"/>
        </w:rPr>
        <w:t xml:space="preserve"> </w:t>
      </w:r>
      <w:r>
        <w:rPr>
          <w:rFonts w:ascii="Arial" w:cs="Arial" w:eastAsia="Arial" w:hAnsi="Arial"/>
          <w:sz w:val="17"/>
          <w:szCs w:val="17"/>
          <w:color w:val="auto"/>
        </w:rPr>
        <w:t>to issue, in the aggregate, up to a specified amount of equity securities (the “PAGP Traditional Shelf”), under which we had approximately $939 million of unsold securities available at March 31, 2022.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three months ended March 31, 2022.</w:t>
      </w:r>
    </w:p>
    <w:p>
      <w:pPr>
        <w:spacing w:after="0" w:line="20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in the aggregate, up to a specified amount of debt or equity securities (the “PAA Traditional Shelf”), under which PAA had approximately $1.1 billion of unsold securities available at March 31, 2022.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Traditional Shelf or the PAA WKSI Shelf during the three months ended March 31, 2022.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distribute all of our available cash within 55 days following the end of each quarter to Class A 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Securities—Cash Distribution Policy” included in our 2021 Annual Report on Form 10-K for additional discussion.</w:t>
      </w:r>
    </w:p>
    <w:p>
      <w:pPr>
        <w:spacing w:after="0" w:line="20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On May 13, 2022, we will pay a quarterly cash distribution of $0.2175 per Class A share ($0.87 per share on an annualized basis) to shareholders of record at the close of business on April 29, 2022 for the period from January 1, 2022 through March 31, 2022, which represents a $0.0375 per share increase from the distribution paid in February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7 to our Condensed Consolidated Financial Statements for details of distributions paid during or pertaining to the first three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March 31, 2022,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the Permian JV and (iv) a 33% interest in Red River LLC.</w:t>
      </w:r>
    </w:p>
    <w:p>
      <w:pPr>
        <w:spacing w:after="0" w:line="21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May 13, 2022, PAA will pay a quarterly cash distribution of $0.2175 per common unit ($0.87 per unit on an annualized basis) to unitholders of record at the close of business on April 29, 2022 for the period from January 1, 2022 through March 31, 2022, which represents a $0.0375 per unit increase from the distribution paid in February 2022.</w:t>
      </w:r>
    </w:p>
    <w:p>
      <w:pPr>
        <w:spacing w:after="0" w:line="21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See Note 7 to our Condensed Consolidated Financial Statements for details of distributions paid to noncontrolling interests during the three months ended March 31,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March 31, 2022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Remainder of</w:t>
            </w: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2027 and</w:t>
            </w:r>
          </w:p>
        </w:tc>
        <w:tc>
          <w:tcPr>
            <w:tcW w:w="24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Thereafter</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26,253</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25,271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24,414</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23,148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72,905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195,250</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49" w:lineRule="auto"/>
        <w:tabs>
          <w:tab w:leader="none" w:pos="648"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March 2022.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7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merchant activities, we provide certain suppliers with irrevocable standby letters of credit to secure our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for the purchase and transportation of crude oil, NGL and natural gas. Additionally, we issue letters of credit to support insurance programs, derivative transactions, including hedging-related margin obligations, and construction activities. At March 31, 2022 and December 31, 2021, we had outstanding letters of credit of approximately $34 million and $98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our ability to pay distributions to our Class A shareholders;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117" w:lineRule="exact"/>
        <w:rPr>
          <w:rFonts w:ascii="Arial" w:cs="Arial" w:eastAsia="Arial" w:hAnsi="Arial"/>
          <w:sz w:val="18"/>
          <w:szCs w:val="18"/>
          <w:color w:val="auto"/>
        </w:rPr>
      </w:pPr>
    </w:p>
    <w:p>
      <w:pPr>
        <w:ind w:left="980" w:right="100" w:hanging="324"/>
        <w:spacing w:after="0" w:line="293" w:lineRule="auto"/>
        <w:tabs>
          <w:tab w:leader="none" w:pos="9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56" w:lineRule="exact"/>
        <w:rPr>
          <w:rFonts w:ascii="Arial" w:cs="Arial" w:eastAsia="Arial" w:hAnsi="Arial"/>
          <w:sz w:val="16"/>
          <w:szCs w:val="16"/>
          <w:color w:val="auto"/>
        </w:rPr>
      </w:pPr>
    </w:p>
    <w:p>
      <w:pPr>
        <w:ind w:left="980" w:right="400" w:hanging="324"/>
        <w:spacing w:after="0" w:line="248" w:lineRule="auto"/>
        <w:tabs>
          <w:tab w:leader="none" w:pos="975"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73" w:lineRule="exact"/>
        <w:rPr>
          <w:rFonts w:ascii="Arial" w:cs="Arial" w:eastAsia="Arial" w:hAnsi="Arial"/>
          <w:sz w:val="18"/>
          <w:szCs w:val="18"/>
          <w:i w:val="1"/>
          <w:iCs w:val="1"/>
          <w:color w:val="auto"/>
        </w:rPr>
      </w:pPr>
    </w:p>
    <w:p>
      <w:pPr>
        <w:ind w:left="980" w:right="360" w:hanging="324"/>
        <w:spacing w:after="0" w:line="342" w:lineRule="auto"/>
        <w:tabs>
          <w:tab w:leader="none" w:pos="9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jc w:val="both"/>
        <w:ind w:left="980" w:right="400" w:hanging="324"/>
        <w:spacing w:after="0" w:line="301" w:lineRule="auto"/>
        <w:tabs>
          <w:tab w:leader="none" w:pos="9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9" w:lineRule="exact"/>
        <w:rPr>
          <w:rFonts w:ascii="Arial" w:cs="Arial" w:eastAsia="Arial" w:hAnsi="Arial"/>
          <w:sz w:val="16"/>
          <w:szCs w:val="16"/>
          <w:color w:val="auto"/>
        </w:rPr>
      </w:pPr>
    </w:p>
    <w:p>
      <w:pPr>
        <w:ind w:left="980" w:hanging="324"/>
        <w:spacing w:after="0" w:line="259"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arise out of pandemic related concerns that prohibit, restrict or regulate hydraulic fracturing or that prohibit the development of oil and gas resources and the related infrastructure on lands dedicated to or served by our pipelines;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key personnel and inability to attract and retain new talent;</w:t>
      </w:r>
    </w:p>
    <w:p>
      <w:pPr>
        <w:spacing w:after="0" w:line="117"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right="20" w:hanging="324"/>
        <w:spacing w:after="0" w:line="308" w:lineRule="auto"/>
        <w:tabs>
          <w:tab w:leader="none" w:pos="9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our suppliers and trade counterparties;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32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right="300" w:hanging="324"/>
        <w:spacing w:after="0" w:line="25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ind w:left="980" w:right="40" w:hanging="324"/>
        <w:spacing w:after="0" w:line="263"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16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right="40" w:hanging="324"/>
        <w:spacing w:after="0" w:line="263"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70"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2021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2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right="1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86" w:lineRule="exact"/>
        <w:rPr>
          <w:rFonts w:ascii="Arial" w:cs="Arial" w:eastAsia="Arial" w:hAnsi="Arial"/>
          <w:sz w:val="18"/>
          <w:szCs w:val="18"/>
          <w:i w:val="1"/>
          <w:iCs w:val="1"/>
          <w:color w:val="auto"/>
        </w:rPr>
      </w:pPr>
    </w:p>
    <w:p>
      <w:pPr>
        <w:ind w:left="980" w:hanging="324"/>
        <w:spacing w:after="0"/>
        <w:tabs>
          <w:tab w:leader="none" w:pos="98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52" w:lineRule="exact"/>
        <w:rPr>
          <w:rFonts w:ascii="Arial" w:cs="Arial" w:eastAsia="Arial" w:hAnsi="Arial"/>
          <w:sz w:val="18"/>
          <w:szCs w:val="18"/>
          <w:i w:val="1"/>
          <w:iCs w:val="1"/>
          <w:color w:val="auto"/>
        </w:rPr>
      </w:pPr>
    </w:p>
    <w:p>
      <w:pPr>
        <w:ind w:left="980" w:right="14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6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2022 that would be expected from a 10% price increase or decrease is shown in the table below (in millions):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left="797"/>
              <w:spacing w:after="0"/>
              <w:rPr>
                <w:sz w:val="20"/>
                <w:szCs w:val="20"/>
                <w:color w:val="auto"/>
              </w:rPr>
            </w:pPr>
            <w:r>
              <w:rPr>
                <w:rFonts w:ascii="Arial" w:cs="Arial" w:eastAsia="Arial" w:hAnsi="Arial"/>
                <w:sz w:val="18"/>
                <w:szCs w:val="18"/>
                <w:color w:val="auto"/>
                <w:w w:val="93"/>
              </w:rPr>
              <w:t>(40)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center"/>
              <w:ind w:left="857"/>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837"/>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center"/>
              <w:ind w:left="817"/>
              <w:spacing w:after="0"/>
              <w:rPr>
                <w:sz w:val="20"/>
                <w:szCs w:val="20"/>
                <w:color w:val="auto"/>
              </w:rPr>
            </w:pPr>
            <w:r>
              <w:rPr>
                <w:rFonts w:ascii="Arial" w:cs="Arial" w:eastAsia="Arial" w:hAnsi="Arial"/>
                <w:sz w:val="18"/>
                <w:szCs w:val="18"/>
                <w:color w:val="auto"/>
                <w:w w:val="93"/>
              </w:rPr>
              <w:t>(34)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857"/>
              <w:spacing w:after="0"/>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March 31, 2022, approximately $382 million, was subject to interest rate re-sets that generally range from one day to approximately one week. The average interest rate on variable rate debt that was outstanding during the three months ended March 31, 2022 was 1.0%, based upon rates in effect during such period. The fair value of our interest rate derivatives was a net asset of $97 million as of March 31, 2022. A 10% increase in the forward LIBOR curve as of March 31, 2022 would have resulted in an increase of $18 million to the fair value of our interest rate derivatives. A 10% decrease in the forward LIBOR curve as of March 31, 2022 would have resulted in a decrease of $18 million to the fair value of our interest rate derivatives. See Note 8 to our Condensed Consolidated Financial Statements for a discussion of our interest rate risk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United States treasury rates, default probabilities and timing estimates to ultimately calculate the fair value of PAA’s Series A preferred units with and without the Preferred Distribution Rate Reset Option. The fair value of this embedded derivative was a liability of $44 million as of March 31, 2022. A 10% increase or decrease in the fair value would have an impact of $4 million. See Note 8 to our Condensed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2022,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10 to our Condensed Consolidated Financial Statements,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For a discussion of our risk factors, see Item 1A. of our 2021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right="80" w:firstLine="8"/>
        <w:spacing w:after="0" w:line="287" w:lineRule="auto"/>
        <w:tabs>
          <w:tab w:leader="none" w:pos="265" w:val="left"/>
        </w:tabs>
        <w:numPr>
          <w:ilvl w:val="0"/>
          <w:numId w:val="32"/>
        </w:numPr>
        <w:rPr>
          <w:rFonts w:ascii="Arial" w:cs="Arial" w:eastAsia="Arial" w:hAnsi="Arial"/>
          <w:sz w:val="16"/>
          <w:szCs w:val="16"/>
          <w:color w:val="auto"/>
        </w:rPr>
      </w:pPr>
      <w:r>
        <w:rPr>
          <w:rFonts w:ascii="Arial" w:cs="Arial" w:eastAsia="Arial" w:hAnsi="Arial"/>
          <w:sz w:val="16"/>
          <w:szCs w:val="16"/>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March 31, 2022, certain Legacy Owners or their permitted transferees exercised the Exchange Right, which resulted in the issuance of 35,700 Class A shares. The issuance of Class A shares in connection with the exercise of the Exchange Right was exempt from the registration requirements of the Securities Act of 1933, as amended, pursuant to Section 4(a)(2)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Exhibit No.</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gridSpan w:val="26"/>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28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7"/>
              </w:rPr>
            </w:pPr>
            <w:hyperlink r:id="rId75">
              <w:r>
                <w:rPr>
                  <w:rFonts w:ascii="Arial" w:cs="Arial" w:eastAsia="Arial" w:hAnsi="Arial"/>
                  <w:sz w:val="18"/>
                  <w:szCs w:val="18"/>
                  <w:color w:val="0000FF"/>
                  <w:w w:val="97"/>
                </w:rPr>
                <w:t>Certificate of Limited Partnership of Plains GP Holdings, L.P. (incorporated by reference to Exhibit 3.1 to our Registration</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Statement on Form S-1 (333-190227) filed July 29, 2013).</w:t>
              </w:r>
            </w:hyperlink>
          </w:p>
        </w:tc>
        <w:tc>
          <w:tcPr>
            <w:tcW w:w="46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2"/>
              </w:rPr>
            </w:pPr>
            <w:hyperlink r:id="rId76">
              <w:r>
                <w:rPr>
                  <w:rFonts w:ascii="Arial" w:cs="Arial" w:eastAsia="Arial" w:hAnsi="Arial"/>
                  <w:sz w:val="18"/>
                  <w:szCs w:val="18"/>
                  <w:color w:val="0000FF"/>
                  <w:w w:val="92"/>
                </w:rPr>
                <w:t>Second Amended and Restated Agreement of Limited Partnership of Plains GP Holdings, L.P. dated as of November 15, 2016</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(incorporated by reference to Exhibit 3.2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4"/>
              </w:rPr>
            </w:pPr>
            <w:hyperlink r:id="rId77">
              <w:r>
                <w:rPr>
                  <w:rFonts w:ascii="Arial" w:cs="Arial" w:eastAsia="Arial" w:hAnsi="Arial"/>
                  <w:sz w:val="18"/>
                  <w:szCs w:val="18"/>
                  <w:color w:val="0000FF"/>
                  <w:w w:val="94"/>
                </w:rPr>
                <w:t>Amendment No. 1 dated April 6, 2020 to the Second Amended and Restated Agreement of Limited Partnership of Plains GP</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Holdings, L.P. (incorporated by reference to Exhibit 3.1 to our Current Report on Form 8-K filed April 9,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5"/>
              </w:rPr>
            </w:pPr>
            <w:hyperlink r:id="rId78">
              <w:r>
                <w:rPr>
                  <w:rFonts w:ascii="Arial" w:cs="Arial" w:eastAsia="Arial" w:hAnsi="Arial"/>
                  <w:sz w:val="18"/>
                  <w:szCs w:val="18"/>
                  <w:color w:val="0000FF"/>
                  <w:w w:val="95"/>
                </w:rPr>
                <w:t>Certificate of Formation of PAA GP Holdings LLC (incorporated by reference to Exhibit 3.3 to our Registration Statement on</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Form S-1 (333-190227) filed July 29,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80" w:type="dxa"/>
            <w:vAlign w:val="bottom"/>
            <w:tcBorders>
              <w:bottom w:val="single" w:sz="8" w:color="0000FF"/>
            </w:tcBorders>
            <w:gridSpan w:val="22"/>
          </w:tcPr>
          <w:p>
            <w:pPr>
              <w:spacing w:after="0"/>
              <w:rPr>
                <w:rFonts w:ascii="Arial" w:cs="Arial" w:eastAsia="Arial" w:hAnsi="Arial"/>
                <w:sz w:val="18"/>
                <w:szCs w:val="18"/>
                <w:color w:val="0000FF"/>
                <w:w w:val="92"/>
              </w:rPr>
            </w:pPr>
            <w:hyperlink r:id="rId79">
              <w:r>
                <w:rPr>
                  <w:rFonts w:ascii="Arial" w:cs="Arial" w:eastAsia="Arial" w:hAnsi="Arial"/>
                  <w:sz w:val="18"/>
                  <w:szCs w:val="18"/>
                  <w:color w:val="0000FF"/>
                  <w:w w:val="92"/>
                </w:rPr>
                <w:t>Fourth Amended and Restated Limited Liability Company Agreement of PAA GP Holdings LLC dated effective as of August</w:t>
              </w:r>
            </w:hyperlink>
          </w:p>
        </w:tc>
        <w:tc>
          <w:tcPr>
            <w:tcW w:w="280" w:type="dxa"/>
            <w:vAlign w:val="bottom"/>
            <w:gridSpan w:val="7"/>
          </w:tcPr>
          <w:p>
            <w:pPr>
              <w:spacing w:after="0"/>
              <w:rPr>
                <w:sz w:val="24"/>
                <w:szCs w:val="24"/>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9"/>
          </w:tcPr>
          <w:p>
            <w:pPr>
              <w:spacing w:after="0" w:line="15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19, 2020 (incorporated by reference to Exhibit 3.11 to our Annual Report on Form 10-K for the year ended December 31, 2021).</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Seventh Amended and Restated Agreement of Limited Partnership of Plains All American Pipeline, L.P., dated as of October 10,</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2017 (incorporated by reference to Exhibit 3.1 to PAA's Current Report on Form 8-K filed October 12, 2017).</w:t>
              </w:r>
            </w:hyperlink>
          </w:p>
        </w:tc>
        <w:tc>
          <w:tcPr>
            <w:tcW w:w="1380" w:type="dxa"/>
            <w:vAlign w:val="bottom"/>
            <w:tcBorders>
              <w:top w:val="single" w:sz="8" w:color="0000FF"/>
            </w:tcBorders>
            <w:gridSpan w:val="20"/>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5"/>
              </w:rPr>
            </w:pPr>
            <w:hyperlink r:id="rId81">
              <w:r>
                <w:rPr>
                  <w:rFonts w:ascii="Arial" w:cs="Arial" w:eastAsia="Arial" w:hAnsi="Arial"/>
                  <w:sz w:val="18"/>
                  <w:szCs w:val="18"/>
                  <w:color w:val="0000FF"/>
                  <w:w w:val="95"/>
                </w:rPr>
                <w:t>Seventh Amended and Restated Limited Liability Company Agreement of Plains All American GP LLC dated November 15,</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2016 (incorporated by reference to Exhibit 3.3 to our Current Report on Form 8-K filed November 21, 2016).</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3"/>
              </w:rPr>
            </w:pPr>
            <w:hyperlink r:id="rId82">
              <w:r>
                <w:rPr>
                  <w:rFonts w:ascii="Arial" w:cs="Arial" w:eastAsia="Arial" w:hAnsi="Arial"/>
                  <w:sz w:val="18"/>
                  <w:szCs w:val="18"/>
                  <w:color w:val="0000FF"/>
                  <w:w w:val="93"/>
                </w:rPr>
                <w:t>Eighth Amended and Restated Limited Partnership Agreement of Plains AAP, L.P. dated November 15, 2016 (incorporated by</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reference to Exhibit 3.4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4"/>
              </w:rPr>
            </w:pPr>
            <w:hyperlink r:id="rId83">
              <w:r>
                <w:rPr>
                  <w:rFonts w:ascii="Arial" w:cs="Arial" w:eastAsia="Arial" w:hAnsi="Arial"/>
                  <w:sz w:val="18"/>
                  <w:szCs w:val="18"/>
                  <w:color w:val="0000FF"/>
                  <w:w w:val="94"/>
                </w:rPr>
                <w:t>Amendment No. 1 dated September 26, 2018 to the Eighth Amended and Restated Limited Partnership Agreement of Plains</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AAP, L.P. (incorporated by reference to Exhibit 3.1 to our Current Report on Form 8-K filed October 2, 2018).</w:t>
              </w:r>
            </w:hyperlink>
          </w:p>
        </w:tc>
        <w:tc>
          <w:tcPr>
            <w:tcW w:w="6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Amendment No. 2 dated May 23, 2019 to the Eighth Amended and Restated Limited Partnership Agreement of Plains AAP, L.P.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(incorporated by reference to Exhibit 3.1 to our Current Report on Form 8-K filed May 30, 2019).</w:t>
              </w:r>
            </w:hyperlink>
          </w:p>
        </w:tc>
        <w:tc>
          <w:tcPr>
            <w:tcW w:w="2200" w:type="dxa"/>
            <w:vAlign w:val="bottom"/>
            <w:tcBorders>
              <w:top w:val="single" w:sz="8" w:color="0000FF"/>
            </w:tcBorders>
            <w:gridSpan w:val="2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4"/>
              </w:rPr>
            </w:pPr>
            <w:hyperlink r:id="rId85">
              <w:r>
                <w:rPr>
                  <w:rFonts w:ascii="Arial" w:cs="Arial" w:eastAsia="Arial" w:hAnsi="Arial"/>
                  <w:sz w:val="18"/>
                  <w:szCs w:val="18"/>
                  <w:color w:val="0000FF"/>
                  <w:w w:val="94"/>
                </w:rPr>
                <w:t>Limited Liability Company Agreement of PAA GP LLC dated December 28, 2007 (incorporated by reference to Exhibit 3.3 to</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PAA’s Current Report on Form 8-K filed January 4, 2008).</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7"/>
              </w:rPr>
            </w:pPr>
            <w:hyperlink r:id="rId86">
              <w:r>
                <w:rPr>
                  <w:rFonts w:ascii="Arial" w:cs="Arial" w:eastAsia="Arial" w:hAnsi="Arial"/>
                  <w:sz w:val="18"/>
                  <w:szCs w:val="18"/>
                  <w:color w:val="0000FF"/>
                  <w:w w:val="97"/>
                </w:rPr>
                <w:t>Indenture dated September 25, 2002 among Plains All American Pipeline, L.P., PAA Finance Corp. and Wachovia Bank,</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500" w:type="dxa"/>
            <w:vAlign w:val="bottom"/>
            <w:tcBorders>
              <w:right w:val="single" w:sz="8" w:color="0000FF"/>
            </w:tcBorders>
            <w:gridSpan w:val="9"/>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9"/>
          </w:tcPr>
          <w:p>
            <w:pPr>
              <w:spacing w:after="0" w:line="156" w:lineRule="exact"/>
              <w:rPr>
                <w:rFonts w:ascii="Arial" w:cs="Arial" w:eastAsia="Arial" w:hAnsi="Arial"/>
                <w:sz w:val="18"/>
                <w:szCs w:val="18"/>
                <w:color w:val="0000FF"/>
                <w:w w:val="97"/>
              </w:rPr>
            </w:pPr>
            <w:hyperlink r:id="rId86">
              <w:r>
                <w:rPr>
                  <w:rFonts w:ascii="Arial" w:cs="Arial" w:eastAsia="Arial" w:hAnsi="Arial"/>
                  <w:sz w:val="18"/>
                  <w:szCs w:val="18"/>
                  <w:color w:val="0000FF"/>
                  <w:w w:val="97"/>
                </w:rPr>
                <w:t>National Association, as trustee (incorporated by reference to Exhibit 4.1 to PAA’s Quarterly Report on Form 10-Q for the</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86">
              <w:r>
                <w:rPr>
                  <w:rFonts w:ascii="Arial" w:cs="Arial" w:eastAsia="Arial" w:hAnsi="Arial"/>
                  <w:sz w:val="18"/>
                  <w:szCs w:val="18"/>
                  <w:color w:val="0000FF"/>
                  <w:w w:val="87"/>
                </w:rPr>
                <w:t>quarter ended September 30, 2002).</w:t>
              </w:r>
            </w:hyperlink>
          </w:p>
        </w:tc>
        <w:tc>
          <w:tcPr>
            <w:tcW w:w="6220" w:type="dxa"/>
            <w:vAlign w:val="bottom"/>
            <w:tcBorders>
              <w:top w:val="single" w:sz="8" w:color="0000FF"/>
            </w:tcBorders>
            <w:gridSpan w:val="1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5"/>
              </w:rPr>
            </w:pPr>
            <w:hyperlink r:id="rId87">
              <w:r>
                <w:rPr>
                  <w:rFonts w:ascii="Arial" w:cs="Arial" w:eastAsia="Arial" w:hAnsi="Arial"/>
                  <w:sz w:val="18"/>
                  <w:szCs w:val="18"/>
                  <w:color w:val="0000FF"/>
                  <w:w w:val="95"/>
                </w:rPr>
                <w:t>Sixth Supplemental Indenture (Series A and Series B 6.70% Senior Notes due 2036) dated May 12, 2006 among Plains All</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5"/>
          </w:tcPr>
          <w:p>
            <w:pPr>
              <w:spacing w:after="0" w:line="156" w:lineRule="exact"/>
              <w:rPr>
                <w:rFonts w:ascii="Arial" w:cs="Arial" w:eastAsia="Arial" w:hAnsi="Arial"/>
                <w:sz w:val="18"/>
                <w:szCs w:val="18"/>
                <w:color w:val="0000FF"/>
                <w:w w:val="94"/>
              </w:rPr>
            </w:pPr>
            <w:hyperlink r:id="rId87">
              <w:r>
                <w:rPr>
                  <w:rFonts w:ascii="Arial" w:cs="Arial" w:eastAsia="Arial" w:hAnsi="Arial"/>
                  <w:sz w:val="18"/>
                  <w:szCs w:val="18"/>
                  <w:color w:val="0000FF"/>
                  <w:w w:val="94"/>
                </w:rPr>
                <w:t>American Pipeline, L.P., PAA Finance Corp., the Subsidiary Guarantors named therein and Wachovia Bank, National</w:t>
              </w:r>
            </w:hyperlink>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Association, as trustee (incorporated by reference to Exhibit 4.1 to PAA’s Current Report on Form 8-K filed May 12,</w:t>
              </w:r>
            </w:hyperlink>
          </w:p>
        </w:tc>
        <w:tc>
          <w:tcPr>
            <w:tcW w:w="460" w:type="dxa"/>
            <w:vAlign w:val="bottom"/>
            <w:tcBorders>
              <w:bottom w:val="single" w:sz="8" w:color="0000FF"/>
            </w:tcBorders>
            <w:gridSpan w:val="5"/>
          </w:tcPr>
          <w:p>
            <w:pPr>
              <w:jc w:val="right"/>
              <w:spacing w:after="0" w:line="156" w:lineRule="exact"/>
              <w:rPr>
                <w:rFonts w:ascii="Arial" w:cs="Arial" w:eastAsia="Arial" w:hAnsi="Arial"/>
                <w:sz w:val="18"/>
                <w:szCs w:val="18"/>
                <w:color w:val="0000FF"/>
                <w:w w:val="86"/>
              </w:rPr>
            </w:pPr>
            <w:hyperlink r:id="rId87">
              <w:r>
                <w:rPr>
                  <w:rFonts w:ascii="Arial" w:cs="Arial" w:eastAsia="Arial" w:hAnsi="Arial"/>
                  <w:sz w:val="18"/>
                  <w:szCs w:val="18"/>
                  <w:color w:val="0000FF"/>
                  <w:w w:val="86"/>
                </w:rPr>
                <w:t>2006).</w:t>
              </w:r>
            </w:hyperlink>
          </w:p>
        </w:tc>
        <w:tc>
          <w:tcPr>
            <w:tcW w:w="10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1"/>
              </w:rPr>
            </w:pPr>
            <w:hyperlink r:id="rId88">
              <w:r>
                <w:rPr>
                  <w:rFonts w:ascii="Arial" w:cs="Arial" w:eastAsia="Arial" w:hAnsi="Arial"/>
                  <w:sz w:val="18"/>
                  <w:szCs w:val="18"/>
                  <w:color w:val="0000FF"/>
                  <w:w w:val="91"/>
                </w:rPr>
                <w:t>Tenth Supplemental Indenture (Series A and Series B 6.650% Senior Notes due 2037) dated October 30, 2006 among Plains All</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American Pipeline, L.P., PAA Finance Corp., the Subsidiary Guarantors named therein and U.S. Bank National Association, as</w:t>
              </w:r>
            </w:hyperlink>
          </w:p>
        </w:tc>
        <w:tc>
          <w:tcPr>
            <w:tcW w:w="100" w:type="dxa"/>
            <w:vAlign w:val="bottom"/>
            <w:gridSpan w:val="2"/>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trustee (incorporated by reference to Exhibit 4.2 to PAA’s Current Report on Form 8-K filed October 30, 2006).</w:t>
              </w:r>
            </w:hyperlink>
          </w:p>
        </w:tc>
        <w:tc>
          <w:tcPr>
            <w:tcW w:w="1080" w:type="dxa"/>
            <w:vAlign w:val="bottom"/>
            <w:tcBorders>
              <w:top w:val="single" w:sz="8" w:color="0000FF"/>
            </w:tcBorders>
            <w:gridSpan w:val="16"/>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8"/>
              </w:rPr>
            </w:pPr>
            <w:hyperlink r:id="rId89">
              <w:r>
                <w:rPr>
                  <w:rFonts w:ascii="Arial" w:cs="Arial" w:eastAsia="Arial" w:hAnsi="Arial"/>
                  <w:sz w:val="18"/>
                  <w:szCs w:val="18"/>
                  <w:color w:val="0000FF"/>
                  <w:w w:val="98"/>
                </w:rPr>
                <w:t>Twenty-First Supplemental Indenture (5.15% Senior Notes due 2042) dated March 22, 2012 among Plains All American</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80" w:type="dxa"/>
            <w:vAlign w:val="bottom"/>
            <w:gridSpan w:val="12"/>
            <w:shd w:val="clear" w:color="auto" w:fill="0000FF"/>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9"/>
          </w:tcPr>
          <w:p>
            <w:pPr>
              <w:spacing w:after="0" w:line="156"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Pipeline, L.P., PAA Finance Corp and U.S. Bank National Association, as trustee (incorporated by reference to Exhibit 4.3 to</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PAA’s Current Report on Form 8-K filed March 26, 2012).</w:t>
              </w:r>
            </w:hyperlink>
          </w:p>
        </w:tc>
        <w:tc>
          <w:tcPr>
            <w:tcW w:w="340" w:type="dxa"/>
            <w:vAlign w:val="bottom"/>
            <w:gridSpan w:val="10"/>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7"/>
              </w:rPr>
              <w:t>4.5</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4"/>
              </w:rPr>
            </w:pPr>
            <w:hyperlink r:id="rId91">
              <w:r>
                <w:rPr>
                  <w:rFonts w:ascii="Arial" w:cs="Arial" w:eastAsia="Arial" w:hAnsi="Arial"/>
                  <w:sz w:val="18"/>
                  <w:szCs w:val="18"/>
                  <w:color w:val="0000FF"/>
                  <w:w w:val="94"/>
                </w:rPr>
                <w:t>Twenty-Second Supplemental Indenture (2.85% Senior Notes due 2023) dated December 10, 2012, by and among Plains All</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98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American Pipeline, L.P., PAA Finance Corp. and U.S. Bank National Association, as trustee (incorporated by reference to</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Exhibit 4.1 to PAA’s Current Report on Form 8-K filed December 12, 2012).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7"/>
              </w:rPr>
              <w:t>4.6</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6"/>
              </w:rPr>
            </w:pPr>
            <w:hyperlink r:id="rId92">
              <w:r>
                <w:rPr>
                  <w:rFonts w:ascii="Arial" w:cs="Arial" w:eastAsia="Arial" w:hAnsi="Arial"/>
                  <w:sz w:val="18"/>
                  <w:szCs w:val="18"/>
                  <w:color w:val="0000FF"/>
                  <w:w w:val="96"/>
                </w:rPr>
                <w:t>Twenty-Third Supplemental Indenture (4.30% Senior Notes due 2043) dated December 10, 2012, by and among Plains All</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6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American Pipeline, L.P., PAA Finance Corp. and U.S. Bank National Association, as trustee (incorporated by reference to</w:t>
              </w:r>
            </w:hyperlink>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Exhibit 4.3 to PAA’s Current Report on Form 8-K filed December 12, 2012).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7"/>
              </w:rPr>
              <w:t>4.7</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7"/>
              </w:rPr>
            </w:pPr>
            <w:hyperlink r:id="rId93">
              <w:r>
                <w:rPr>
                  <w:rFonts w:ascii="Arial" w:cs="Arial" w:eastAsia="Arial" w:hAnsi="Arial"/>
                  <w:sz w:val="18"/>
                  <w:szCs w:val="18"/>
                  <w:color w:val="0000FF"/>
                  <w:w w:val="97"/>
                </w:rPr>
                <w:t>Twenty-Fourth Supplemental Indenture (3.85% Senior Notes due 2023) dated August 15, 2013, by and among Plains All</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380" w:type="dxa"/>
            <w:vAlign w:val="bottom"/>
            <w:gridSpan w:val="30"/>
          </w:tcPr>
          <w:p>
            <w:pPr>
              <w:spacing w:after="0" w:line="156" w:lineRule="exact"/>
              <w:rPr>
                <w:rFonts w:ascii="Arial" w:cs="Arial" w:eastAsia="Arial" w:hAnsi="Arial"/>
                <w:sz w:val="18"/>
                <w:szCs w:val="18"/>
                <w:color w:val="0000FF"/>
                <w:w w:val="96"/>
              </w:rPr>
            </w:pPr>
            <w:hyperlink r:id="rId93">
              <w:r>
                <w:rPr>
                  <w:rFonts w:ascii="Arial" w:cs="Arial" w:eastAsia="Arial" w:hAnsi="Arial"/>
                  <w:sz w:val="18"/>
                  <w:szCs w:val="18"/>
                  <w:color w:val="0000FF"/>
                  <w:w w:val="96"/>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Exhibit 4.1 to PAA’s Current Report on Form 8-K filed August 15, 2013).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7"/>
              </w:rPr>
              <w:t>4.8</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27"/>
          </w:tcPr>
          <w:p>
            <w:pPr>
              <w:spacing w:after="0"/>
              <w:rPr>
                <w:rFonts w:ascii="Arial" w:cs="Arial" w:eastAsia="Arial" w:hAnsi="Arial"/>
                <w:sz w:val="18"/>
                <w:szCs w:val="18"/>
                <w:color w:val="0000FF"/>
                <w:w w:val="91"/>
              </w:rPr>
            </w:pPr>
            <w:hyperlink r:id="rId94">
              <w:r>
                <w:rPr>
                  <w:rFonts w:ascii="Arial" w:cs="Arial" w:eastAsia="Arial" w:hAnsi="Arial"/>
                  <w:sz w:val="18"/>
                  <w:szCs w:val="18"/>
                  <w:color w:val="0000FF"/>
                  <w:w w:val="91"/>
                </w:rPr>
                <w:t>Twenty-Fifth Supplemental Indenture (4.70% Senior Notes due 2044) dated April 23, 2014, by and among Plains All American</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380" w:type="dxa"/>
            <w:vAlign w:val="bottom"/>
            <w:gridSpan w:val="30"/>
          </w:tcPr>
          <w:p>
            <w:pPr>
              <w:spacing w:after="0" w:line="15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Current Report on Form 8-K filed April 29, 2014).</w:t>
              </w:r>
            </w:hyperlink>
          </w:p>
        </w:tc>
        <w:tc>
          <w:tcPr>
            <w:tcW w:w="5660" w:type="dxa"/>
            <w:vAlign w:val="bottom"/>
            <w:tcBorders>
              <w:top w:val="single" w:sz="8" w:color="0000FF"/>
            </w:tcBorders>
            <w:gridSpan w:val="27"/>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7"/>
              </w:rPr>
              <w:t>4.9</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6"/>
              </w:rPr>
            </w:pPr>
            <w:hyperlink r:id="rId95">
              <w:r>
                <w:rPr>
                  <w:rFonts w:ascii="Arial" w:cs="Arial" w:eastAsia="Arial" w:hAnsi="Arial"/>
                  <w:sz w:val="18"/>
                  <w:szCs w:val="18"/>
                  <w:color w:val="0000FF"/>
                  <w:w w:val="96"/>
                </w:rPr>
                <w:t>Twenty-Sixth Supplemental Indenture (3.60% Senior Notes due 2024) dated September 9, 2014, by and among Plains All</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60" w:type="dxa"/>
            <w:vAlign w:val="bottom"/>
            <w:tcBorders>
              <w:top w:val="single" w:sz="8" w:color="0000FF"/>
            </w:tcBorders>
            <w:gridSpan w:val="16"/>
          </w:tcPr>
          <w:p>
            <w:pPr>
              <w:spacing w:after="0" w:line="15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American Pipeline, L.P., PAA Finance Corp. and U.S. Bank National Association, as trustee (incorporated by reference to</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Exhibit 4.1 to our Current Report on Form 8-K filed September 11, 2014).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4.10</w:t>
            </w:r>
          </w:p>
        </w:tc>
        <w:tc>
          <w:tcPr>
            <w:tcW w:w="720" w:type="dxa"/>
            <w:vAlign w:val="bottom"/>
          </w:tcPr>
          <w:p>
            <w:pPr>
              <w:spacing w:after="0"/>
              <w:rPr>
                <w:sz w:val="24"/>
                <w:szCs w:val="24"/>
                <w:color w:val="auto"/>
              </w:rPr>
            </w:pPr>
          </w:p>
        </w:tc>
        <w:tc>
          <w:tcPr>
            <w:tcW w:w="9380" w:type="dxa"/>
            <w:vAlign w:val="bottom"/>
            <w:gridSpan w:val="30"/>
          </w:tcPr>
          <w:p>
            <w:pPr>
              <w:spacing w:after="0"/>
              <w:rPr>
                <w:rFonts w:ascii="Arial" w:cs="Arial" w:eastAsia="Arial" w:hAnsi="Arial"/>
                <w:sz w:val="18"/>
                <w:szCs w:val="18"/>
                <w:color w:val="0000FF"/>
                <w:w w:val="96"/>
              </w:rPr>
            </w:pPr>
            <w:hyperlink r:id="rId96">
              <w:r>
                <w:rPr>
                  <w:rFonts w:ascii="Arial" w:cs="Arial" w:eastAsia="Arial" w:hAnsi="Arial"/>
                  <w:sz w:val="18"/>
                  <w:szCs w:val="18"/>
                  <w:color w:val="0000FF"/>
                  <w:w w:val="96"/>
                </w:rPr>
                <w:t>Twenty-Eighth Supplemental Indenture (4.90% Senior Notes due 2045) dated December 9, 2014, by and among Plains All</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884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96">
              <w:r>
                <w:rPr>
                  <w:rFonts w:ascii="Arial" w:cs="Arial" w:eastAsia="Arial" w:hAnsi="Arial"/>
                  <w:sz w:val="18"/>
                  <w:szCs w:val="18"/>
                  <w:color w:val="0000FF"/>
                  <w:w w:val="90"/>
                </w:rPr>
                <w:t>American Pipeline, L.P., PAA Finance Corp., and U.S. Bank National Association, as trustee (incorporated by reference to</w:t>
              </w:r>
            </w:hyperlink>
          </w:p>
        </w:tc>
        <w:tc>
          <w:tcPr>
            <w:tcW w:w="2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53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Exhibit 4.3 to our Current Report on Form 8-K filed December 11, 2014).</w:t>
              </w:r>
            </w:hyperlink>
          </w:p>
        </w:tc>
        <w:tc>
          <w:tcPr>
            <w:tcW w:w="3480" w:type="dxa"/>
            <w:vAlign w:val="bottom"/>
            <w:tcBorders>
              <w:top w:val="single" w:sz="8" w:color="0000FF"/>
            </w:tcBorders>
            <w:gridSpan w:val="10"/>
          </w:tcPr>
          <w:p>
            <w:pPr>
              <w:spacing w:after="0"/>
              <w:rPr>
                <w:sz w:val="13"/>
                <w:szCs w:val="13"/>
                <w:color w:val="auto"/>
              </w:rPr>
            </w:pPr>
          </w:p>
        </w:tc>
        <w:tc>
          <w:tcPr>
            <w:tcW w:w="2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4.11</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8"/>
              </w:rPr>
            </w:pPr>
            <w:hyperlink r:id="rId97">
              <w:r>
                <w:rPr>
                  <w:rFonts w:ascii="Arial" w:cs="Arial" w:eastAsia="Arial" w:hAnsi="Arial"/>
                  <w:sz w:val="18"/>
                  <w:szCs w:val="18"/>
                  <w:color w:val="0000FF"/>
                  <w:w w:val="98"/>
                </w:rPr>
                <w:t>Twenty-Ninth Supplemental Indenture (4.65% Senior Notes due 2025) dated August 24, 2015, by and among Plains All</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0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American Pipeline, L.P., PAA Finance Corp., and U.S. Bank National Association, as trustee (incorporated by reference</w:t>
              </w:r>
            </w:hyperlink>
          </w:p>
        </w:tc>
        <w:tc>
          <w:tcPr>
            <w:tcW w:w="680" w:type="dxa"/>
            <w:vAlign w:val="bottom"/>
            <w:gridSpan w:val="16"/>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Exhibit 4.1 to PAA’s Current Report on Form 8-K filed August 26, 2015).</w:t>
              </w:r>
            </w:hyperlink>
          </w:p>
        </w:tc>
        <w:tc>
          <w:tcPr>
            <w:tcW w:w="2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4.12</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2"/>
              </w:rPr>
            </w:pPr>
            <w:hyperlink r:id="rId98">
              <w:r>
                <w:rPr>
                  <w:rFonts w:ascii="Arial" w:cs="Arial" w:eastAsia="Arial" w:hAnsi="Arial"/>
                  <w:sz w:val="18"/>
                  <w:szCs w:val="18"/>
                  <w:color w:val="0000FF"/>
                  <w:w w:val="92"/>
                </w:rPr>
                <w:t>Thirtieth Supplemental Indenture (4.50% Senior Notes due 2026) dated November 22, 2016, by and among Plains All American</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6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PAA’s Current Report on Form 8-K filed November 29, 2016).</w:t>
              </w:r>
            </w:hyperlink>
          </w:p>
        </w:tc>
        <w:tc>
          <w:tcPr>
            <w:tcW w:w="4600" w:type="dxa"/>
            <w:vAlign w:val="bottom"/>
            <w:tcBorders>
              <w:top w:val="single" w:sz="8" w:color="0000FF"/>
            </w:tcBorders>
            <w:gridSpan w:val="21"/>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4.13</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7"/>
              </w:rPr>
            </w:pPr>
            <w:hyperlink r:id="rId99">
              <w:r>
                <w:rPr>
                  <w:rFonts w:ascii="Arial" w:cs="Arial" w:eastAsia="Arial" w:hAnsi="Arial"/>
                  <w:sz w:val="18"/>
                  <w:szCs w:val="18"/>
                  <w:color w:val="0000FF"/>
                  <w:w w:val="97"/>
                </w:rPr>
                <w:t>Thirty-First Supplemental Indenture (3.55% Senior Notes due 2029) dated September 16, 2019, by and among Plains All</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380" w:type="dxa"/>
            <w:vAlign w:val="bottom"/>
            <w:gridSpan w:val="30"/>
          </w:tcPr>
          <w:p>
            <w:pPr>
              <w:spacing w:after="0" w:line="156" w:lineRule="exact"/>
              <w:rPr>
                <w:rFonts w:ascii="Arial" w:cs="Arial" w:eastAsia="Arial" w:hAnsi="Arial"/>
                <w:sz w:val="18"/>
                <w:szCs w:val="18"/>
                <w:color w:val="0000FF"/>
                <w:w w:val="96"/>
              </w:rPr>
            </w:pPr>
            <w:hyperlink r:id="rId99">
              <w:r>
                <w:rPr>
                  <w:rFonts w:ascii="Arial" w:cs="Arial" w:eastAsia="Arial" w:hAnsi="Arial"/>
                  <w:sz w:val="18"/>
                  <w:szCs w:val="18"/>
                  <w:color w:val="0000FF"/>
                  <w:w w:val="96"/>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Exhibit 4.1 to PAA’s Current Report on Form 8-K filed September 17, 2019).</w:t>
              </w:r>
            </w:hyperlink>
          </w:p>
        </w:tc>
        <w:tc>
          <w:tcPr>
            <w:tcW w:w="3220" w:type="dxa"/>
            <w:vAlign w:val="bottom"/>
            <w:tcBorders>
              <w:top w:val="single" w:sz="8" w:color="0000FF"/>
            </w:tcBorders>
            <w:gridSpan w:val="7"/>
          </w:tcPr>
          <w:p>
            <w:pPr>
              <w:spacing w:after="0"/>
              <w:rPr>
                <w:sz w:val="13"/>
                <w:szCs w:val="13"/>
                <w:color w:val="auto"/>
              </w:rPr>
            </w:pPr>
          </w:p>
        </w:tc>
        <w:tc>
          <w:tcPr>
            <w:tcW w:w="26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4.14</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Thirty-Second Supplemental Indenture (3.80% Senior Notes due 2030) dated June 11, 2020, by and among Plains All American</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20" w:type="dxa"/>
            <w:vAlign w:val="bottom"/>
            <w:tcBorders>
              <w:top w:val="single" w:sz="8" w:color="0000FF"/>
            </w:tcBorders>
            <w:gridSpan w:val="27"/>
          </w:tcPr>
          <w:p>
            <w:pPr>
              <w:spacing w:after="0" w:line="15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PAA’s Current Report on Form 8-K filed June 11,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4.15</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2"/>
              </w:rPr>
            </w:pPr>
            <w:hyperlink r:id="rId101">
              <w:r>
                <w:rPr>
                  <w:rFonts w:ascii="Arial" w:cs="Arial" w:eastAsia="Arial" w:hAnsi="Arial"/>
                  <w:sz w:val="18"/>
                  <w:szCs w:val="18"/>
                  <w:color w:val="0000FF"/>
                  <w:w w:val="92"/>
                </w:rPr>
                <w:t>Shareholder and Registration Rights Agreement dated October 21, 2013 by and among Plains GP Holdings, L.P. and the other</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parties signatory thereto (incorporated by reference to Exhibit 4.1 to our Current Report on Form 8-K filed October 25, 2013).</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4.16</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3"/>
              </w:rPr>
            </w:pPr>
            <w:hyperlink r:id="rId102">
              <w:r>
                <w:rPr>
                  <w:rFonts w:ascii="Arial" w:cs="Arial" w:eastAsia="Arial" w:hAnsi="Arial"/>
                  <w:sz w:val="18"/>
                  <w:szCs w:val="18"/>
                  <w:color w:val="0000FF"/>
                  <w:w w:val="93"/>
                </w:rPr>
                <w:t>Description of Our Securities (incorporated by reference to Exhibit 4.17 to our Annual Report on Form 10-K for the year ended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December 31, 2021).</w:t>
              </w:r>
            </w:hyperlink>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94"/>
              </w:rPr>
              <w:t>10.1* †</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Form of Amended and Restated Special Retention LTIP Grant Letter Dated February 24,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87"/>
              </w:rPr>
              <w:t>31.1 †</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734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65">
              <w:r>
                <w:rPr>
                  <w:rFonts w:ascii="Arial" w:cs="Arial" w:eastAsia="Arial" w:hAnsi="Arial"/>
                  <w:sz w:val="18"/>
                  <w:szCs w:val="18"/>
                  <w:color w:val="0000FF"/>
                  <w:w w:val="91"/>
                </w:rPr>
                <w:t>Certification of Principal Executive Officer pursuant to Exchange Act Rules 13a-14(a) and 15d-14(a).</w:t>
              </w:r>
            </w:hyperlink>
          </w:p>
        </w:tc>
        <w:tc>
          <w:tcPr>
            <w:tcW w:w="20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87"/>
              </w:rPr>
              <w:t>31.2 †</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Certification of Principal Financial Officer pursuant to Exchange Act Rules 13a-14(a) and 15d-14(a).</w:t>
              </w:r>
            </w:hyperlink>
          </w:p>
        </w:tc>
        <w:tc>
          <w:tcPr>
            <w:tcW w:w="0" w:type="dxa"/>
            <w:vAlign w:val="bottom"/>
          </w:tcPr>
          <w:p>
            <w:pPr>
              <w:spacing w:after="0"/>
              <w:rPr>
                <w:sz w:val="1"/>
                <w:szCs w:val="1"/>
                <w:color w:val="auto"/>
              </w:rPr>
            </w:pPr>
          </w:p>
        </w:tc>
      </w:tr>
      <w:tr>
        <w:trPr>
          <w:trHeight w:val="318"/>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9"/>
              </w:rPr>
              <w:t>32.1 ††</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7280" w:type="dxa"/>
            <w:vAlign w:val="bottom"/>
            <w:tcBorders>
              <w:top w:val="single" w:sz="8" w:color="0000FF"/>
            </w:tcBorders>
            <w:gridSpan w:val="1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Certification of Principal Executive Officer pursuant to 18 U.S.C. 1350.</w:t>
              </w:r>
            </w:hyperlink>
          </w:p>
        </w:tc>
        <w:tc>
          <w:tcPr>
            <w:tcW w:w="21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9"/>
              </w:rPr>
              <w:t>32.2 ††</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5180" w:type="dxa"/>
            <w:vAlign w:val="bottom"/>
            <w:tcBorders>
              <w:top w:val="single" w:sz="8" w:color="0000FF"/>
            </w:tcBorders>
            <w:gridSpan w:val="6"/>
          </w:tcPr>
          <w:p>
            <w:pPr>
              <w:spacing w:after="0"/>
              <w:rPr>
                <w:rFonts w:ascii="Arial" w:cs="Arial" w:eastAsia="Arial" w:hAnsi="Arial"/>
                <w:sz w:val="18"/>
                <w:szCs w:val="18"/>
                <w:color w:val="0000FF"/>
                <w:w w:val="93"/>
              </w:rPr>
            </w:pPr>
            <w:hyperlink w:anchor="page68">
              <w:r>
                <w:rPr>
                  <w:rFonts w:ascii="Arial" w:cs="Arial" w:eastAsia="Arial" w:hAnsi="Arial"/>
                  <w:sz w:val="18"/>
                  <w:szCs w:val="18"/>
                  <w:color w:val="0000FF"/>
                  <w:w w:val="93"/>
                </w:rPr>
                <w:t>Certification of Principal Financial Officer pursuant to 18 U.S.C. 1350.</w:t>
              </w:r>
            </w:hyperlink>
          </w:p>
        </w:tc>
        <w:tc>
          <w:tcPr>
            <w:tcW w:w="420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80" w:type="dxa"/>
            <w:vAlign w:val="bottom"/>
            <w:tcBorders>
              <w:top w:val="single" w:sz="8" w:color="0000FF"/>
            </w:tcBorders>
            <w:gridSpan w:val="3"/>
          </w:tcPr>
          <w:p>
            <w:pPr>
              <w:ind w:left="3680"/>
              <w:spacing w:after="0"/>
              <w:rPr>
                <w:sz w:val="20"/>
                <w:szCs w:val="20"/>
                <w:color w:val="auto"/>
              </w:rPr>
            </w:pPr>
            <w:r>
              <w:rPr>
                <w:rFonts w:ascii="Arial" w:cs="Arial" w:eastAsia="Arial" w:hAnsi="Arial"/>
                <w:sz w:val="18"/>
                <w:szCs w:val="18"/>
                <w:color w:val="auto"/>
              </w:rPr>
              <w:t>55</w:t>
            </w:r>
          </w:p>
        </w:tc>
        <w:tc>
          <w:tcPr>
            <w:tcW w:w="4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101.INS†</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8800" w:type="dxa"/>
            <w:vAlign w:val="bottom"/>
            <w:gridSpan w:val="2"/>
          </w:tcPr>
          <w:p>
            <w:pPr>
              <w:ind w:left="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r>
      <w:tr>
        <w:trPr>
          <w:trHeight w:val="230"/>
        </w:trPr>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0" w:type="dxa"/>
            <w:vAlign w:val="bottom"/>
            <w:gridSpan w:val="2"/>
          </w:tcPr>
          <w:p>
            <w:pPr>
              <w:ind w:left="20"/>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101.SCH†</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880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4"/>
              </w:rPr>
              <w:t>101.CAL†</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880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240" w:type="dxa"/>
            <w:vAlign w:val="bottom"/>
          </w:tcPr>
          <w:p>
            <w:pPr>
              <w:spacing w:after="0"/>
              <w:rPr>
                <w:sz w:val="24"/>
                <w:szCs w:val="24"/>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1"/>
              </w:rPr>
              <w:t>101.DEF†</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880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6"/>
              </w:rPr>
              <w:t>101.LAB†</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880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240" w:type="dxa"/>
            <w:vAlign w:val="bottom"/>
          </w:tcPr>
          <w:p>
            <w:pPr>
              <w:spacing w:after="0"/>
              <w:rPr>
                <w:sz w:val="24"/>
                <w:szCs w:val="24"/>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0"/>
              </w:rPr>
              <w:t>101.PRE†</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880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104†</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880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76"/>
        </w:trPr>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6760" w:type="dxa"/>
            <w:vAlign w:val="bottom"/>
          </w:tcPr>
          <w:p>
            <w:pPr>
              <w:spacing w:after="0"/>
              <w:rPr>
                <w:sz w:val="15"/>
                <w:szCs w:val="15"/>
                <w:color w:val="auto"/>
              </w:rPr>
            </w:pPr>
          </w:p>
        </w:tc>
      </w:tr>
      <w:tr>
        <w:trPr>
          <w:trHeight w:val="34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Filed herewith.</w:t>
            </w:r>
          </w:p>
        </w:tc>
        <w:tc>
          <w:tcPr>
            <w:tcW w:w="204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w w:val="92"/>
              </w:rPr>
              <w:t>Furnished herewith.</w:t>
            </w:r>
          </w:p>
        </w:tc>
        <w:tc>
          <w:tcPr>
            <w:tcW w:w="2040" w:type="dxa"/>
            <w:vAlign w:val="bottom"/>
          </w:tcPr>
          <w:p>
            <w:pPr>
              <w:spacing w:after="0"/>
              <w:rPr>
                <w:sz w:val="24"/>
                <w:szCs w:val="24"/>
                <w:color w:val="auto"/>
              </w:rPr>
            </w:pPr>
          </w:p>
        </w:tc>
        <w:tc>
          <w:tcPr>
            <w:tcW w:w="676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30"/>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5"/>
              </w:rPr>
              <w:t>Chief Executive Officer and Director of 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499"/>
        </w:trPr>
        <w:tc>
          <w:tcPr>
            <w:tcW w:w="6160" w:type="dxa"/>
            <w:vAlign w:val="bottom"/>
          </w:tcPr>
          <w:p>
            <w:pPr>
              <w:spacing w:after="0"/>
              <w:rPr>
                <w:sz w:val="20"/>
                <w:szCs w:val="20"/>
                <w:color w:val="auto"/>
              </w:rPr>
            </w:pPr>
            <w:r>
              <w:rPr>
                <w:rFonts w:ascii="Arial" w:cs="Arial" w:eastAsia="Arial" w:hAnsi="Arial"/>
                <w:sz w:val="18"/>
                <w:szCs w:val="18"/>
                <w:color w:val="auto"/>
              </w:rPr>
              <w:t>May 9, 2022</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Executive Vice President and Chief Financial Officer of PAA GP</w:t>
            </w:r>
          </w:p>
        </w:tc>
      </w:tr>
      <w:tr>
        <w:trPr>
          <w:trHeight w:val="229"/>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May 9, 2022</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Senior Vice President, Finance and Chief Accounting Officer of</w:t>
            </w:r>
          </w:p>
        </w:tc>
      </w:tr>
      <w:tr>
        <w:trPr>
          <w:trHeight w:val="229"/>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May 9, 2022</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25"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3175</wp:posOffset>
            </wp:positionV>
            <wp:extent cx="2486025" cy="737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24860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AMENDED AND RESTATED</w:t>
      </w:r>
    </w:p>
    <w:p>
      <w:pPr>
        <w:jc w:val="right"/>
        <w:spacing w:after="0" w:line="204" w:lineRule="auto"/>
        <w:rPr>
          <w:sz w:val="20"/>
          <w:szCs w:val="20"/>
          <w:color w:val="auto"/>
        </w:rPr>
      </w:pPr>
      <w:r>
        <w:rPr>
          <w:rFonts w:ascii="Arial" w:cs="Arial" w:eastAsia="Arial" w:hAnsi="Arial"/>
          <w:sz w:val="22"/>
          <w:szCs w:val="22"/>
          <w:b w:val="1"/>
          <w:bCs w:val="1"/>
          <w:u w:val="single" w:color="auto"/>
          <w:color w:val="auto"/>
        </w:rPr>
        <w:t>SPECIAL RETENTION LTIP GRANT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US Section 16 Officer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24, 2022</w:t>
      </w:r>
    </w:p>
    <w:p>
      <w:pPr>
        <w:jc w:val="center"/>
        <w:spacing w:after="0"/>
        <w:rPr>
          <w:sz w:val="20"/>
          <w:szCs w:val="20"/>
          <w:color w:val="auto"/>
        </w:rPr>
      </w:pPr>
      <w:r>
        <w:rPr>
          <w:rFonts w:ascii="Arial" w:cs="Arial" w:eastAsia="Arial" w:hAnsi="Arial"/>
          <w:sz w:val="22"/>
          <w:szCs w:val="22"/>
          <w:color w:val="auto"/>
        </w:rPr>
        <w:t>(Replaces and supersedes letter dated November 21, 2019)</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[Address]</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Amended and Restated Grant of Phantom Units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This letter replaces and supersedes the original grant letter dated November 21, 2019, pursuant to which you received an award of [•] Phantom Units under the Company’s 2013 Long-Term Incentive Plan (the “Plan”) and an equal number of distribution equivalent rights (“DERs”) representing the right to receive a cash payment equivalent to the amount, if any, paid in cash distributions on one Common Unit of Plains All American Pipeline, L.P. (“PAA” or the “Partnership”) to the holder of such Common Unit. The terms and conditions of this amended and restated grant are as set forth below.</w:t>
      </w:r>
    </w:p>
    <w:p>
      <w:pPr>
        <w:spacing w:after="0" w:line="176" w:lineRule="exact"/>
        <w:rPr>
          <w:sz w:val="20"/>
          <w:szCs w:val="20"/>
          <w:color w:val="auto"/>
        </w:rPr>
      </w:pPr>
    </w:p>
    <w:p>
      <w:pPr>
        <w:ind w:left="980" w:right="20" w:hanging="324"/>
        <w:spacing w:after="0" w:line="213" w:lineRule="auto"/>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or applicable portion thereof shall vest (become payable in the form of one Common Unit of PAA for each Phantom Unit) as follows:</w:t>
      </w:r>
    </w:p>
    <w:p>
      <w:pPr>
        <w:ind w:left="1620" w:right="20" w:hanging="316"/>
        <w:spacing w:after="0" w:line="204" w:lineRule="auto"/>
        <w:tabs>
          <w:tab w:leader="none" w:pos="1608" w:val="left"/>
        </w:tabs>
        <w:numPr>
          <w:ilvl w:val="1"/>
          <w:numId w:val="33"/>
        </w:numPr>
        <w:rPr>
          <w:rFonts w:ascii="Arial" w:cs="Arial" w:eastAsia="Arial" w:hAnsi="Arial"/>
          <w:sz w:val="22"/>
          <w:szCs w:val="22"/>
          <w:color w:val="auto"/>
        </w:rPr>
      </w:pPr>
      <w:r>
        <w:rPr>
          <w:rFonts w:ascii="Arial" w:cs="Arial" w:eastAsia="Arial" w:hAnsi="Arial"/>
          <w:sz w:val="22"/>
          <w:szCs w:val="22"/>
          <w:color w:val="auto"/>
        </w:rPr>
        <w:t>Tranche A, which shall consist of 50% of the total number of Phantom Units covered by this grant letter, shall vest on the August 2026 Distribution Date; and</w:t>
      </w:r>
    </w:p>
    <w:p>
      <w:pPr>
        <w:spacing w:after="0" w:line="1" w:lineRule="exact"/>
        <w:rPr>
          <w:rFonts w:ascii="Arial" w:cs="Arial" w:eastAsia="Arial" w:hAnsi="Arial"/>
          <w:sz w:val="22"/>
          <w:szCs w:val="22"/>
          <w:color w:val="auto"/>
        </w:rPr>
      </w:pPr>
    </w:p>
    <w:p>
      <w:pPr>
        <w:jc w:val="both"/>
        <w:ind w:left="1620" w:hanging="316"/>
        <w:spacing w:after="0" w:line="214" w:lineRule="auto"/>
        <w:tabs>
          <w:tab w:leader="none" w:pos="1620" w:val="left"/>
        </w:tabs>
        <w:numPr>
          <w:ilvl w:val="1"/>
          <w:numId w:val="33"/>
        </w:numPr>
        <w:rPr>
          <w:rFonts w:ascii="Arial" w:cs="Arial" w:eastAsia="Arial" w:hAnsi="Arial"/>
          <w:sz w:val="22"/>
          <w:szCs w:val="22"/>
          <w:color w:val="auto"/>
        </w:rPr>
      </w:pPr>
      <w:r>
        <w:rPr>
          <w:rFonts w:ascii="Arial" w:cs="Arial" w:eastAsia="Arial" w:hAnsi="Arial"/>
          <w:sz w:val="22"/>
          <w:szCs w:val="22"/>
          <w:color w:val="auto"/>
        </w:rPr>
        <w:t>Tranche B, which shall consist of up to 50% of the total number of Phantom Units covered by this grant letter, shall vest pursuant to the terms and conditions described in Exhibit A attached hereto. With respect to Tranche B, the actual number of Phantom Units that vest may be lower than the percentage of target Phantom Units associated with such Tranche.</w:t>
      </w:r>
    </w:p>
    <w:p>
      <w:pPr>
        <w:spacing w:after="0" w:line="186" w:lineRule="exact"/>
        <w:rPr>
          <w:rFonts w:ascii="Arial" w:cs="Arial" w:eastAsia="Arial" w:hAnsi="Arial"/>
          <w:sz w:val="22"/>
          <w:szCs w:val="22"/>
          <w:color w:val="auto"/>
        </w:rPr>
      </w:pPr>
    </w:p>
    <w:p>
      <w:pPr>
        <w:jc w:val="both"/>
        <w:ind w:left="1060" w:hanging="404"/>
        <w:spacing w:after="0" w:line="242" w:lineRule="auto"/>
        <w:tabs>
          <w:tab w:leader="none" w:pos="1050" w:val="left"/>
        </w:tabs>
        <w:numPr>
          <w:ilvl w:val="0"/>
          <w:numId w:val="33"/>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DERs have vested or will vest (become payable in cash) as follows: (i) one-fifth of your DERs vested upon and effective with the August 2020 Distribution Date; (ii) one-fifth of your DERs vested upon and effective with the August 2021 Distribution Date; (iii) one-fifth of your DERs shall vest upon and effective with the August 2022 Distribution Date; and (iv) two-fifths of your DERs will begin accruing with the first quarter 2022 distribution paid on the May 2022 Distribution Date and will continue to accrue until the associated Phantom Units vest or are forfeited pursuant to the terms hereof. Once the final payout percentages and the final number of Phantom Units vesting for Tranche B have been determined, such accrued amounts shall be adjusted so that they equal the total amount that would have been accrued in respect of the DERs associated with such vested Phantom Units had the accrual been based on such number of vested Phantom Units commencing on the May 2022 Distribution Date. All accrued and unpaid DERs associated with the number of vested Tranche B Phantom Units as finally determined, if any, shall be paid on the August 2026 Distribution Date or as soon thereafter as is administratively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98"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February 24,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Except as set forth in paragraph 2(iv) above, your DERs shall not accrue payments prior to vesting.</w:t>
      </w:r>
    </w:p>
    <w:p>
      <w:pPr>
        <w:spacing w:after="0" w:line="206" w:lineRule="exact"/>
        <w:rPr>
          <w:rFonts w:ascii="Arial" w:cs="Arial" w:eastAsia="Arial" w:hAnsi="Arial"/>
          <w:sz w:val="22"/>
          <w:szCs w:val="22"/>
          <w:color w:val="auto"/>
        </w:rPr>
      </w:pPr>
    </w:p>
    <w:p>
      <w:pPr>
        <w:ind w:left="1080" w:right="20" w:hanging="424"/>
        <w:spacing w:after="0" w:line="298" w:lineRule="auto"/>
        <w:tabs>
          <w:tab w:leader="none" w:pos="10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number of Phantom Units and DERs subject to this award shall be proportionately reduced or increased for any split or reverse split, respectively, of the Common Units, or any event or transaction having a similar effect.</w:t>
      </w:r>
    </w:p>
    <w:p>
      <w:pPr>
        <w:spacing w:after="0" w:line="132" w:lineRule="exact"/>
        <w:rPr>
          <w:rFonts w:ascii="Arial" w:cs="Arial" w:eastAsia="Arial" w:hAnsi="Arial"/>
          <w:sz w:val="19"/>
          <w:szCs w:val="19"/>
          <w:color w:val="auto"/>
        </w:rPr>
      </w:pPr>
    </w:p>
    <w:p>
      <w:pPr>
        <w:jc w:val="both"/>
        <w:ind w:left="1080" w:hanging="424"/>
        <w:spacing w:after="0" w:line="223" w:lineRule="auto"/>
        <w:tabs>
          <w:tab w:leader="none" w:pos="10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vested prior to, or that would vest as of, the Distribution Date on which the Phantom Units vest, shall be payable on such Distribution Date prior to their expiration.</w:t>
      </w:r>
    </w:p>
    <w:p>
      <w:pPr>
        <w:spacing w:after="0" w:line="185" w:lineRule="exact"/>
        <w:rPr>
          <w:rFonts w:ascii="Arial" w:cs="Arial" w:eastAsia="Arial" w:hAnsi="Arial"/>
          <w:sz w:val="22"/>
          <w:szCs w:val="22"/>
          <w:color w:val="auto"/>
        </w:rPr>
      </w:pPr>
    </w:p>
    <w:p>
      <w:pPr>
        <w:jc w:val="both"/>
        <w:ind w:left="1080" w:hanging="424"/>
        <w:spacing w:after="0"/>
        <w:tabs>
          <w:tab w:leader="none" w:pos="10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for any reason (other than in connection with a Change in Status or by reason of your death or “disability,” as defined in paragraph 7 below), all of your then outstanding DERs (regardless of vesting) and Phantom Units shall automatically be forfeited as of the date of termination; provided, however, that if the Company or its Affiliates terminate your employment other than as a result of a Termination for Cause, the following provisions shall apply: (i) if such termination occurs prior to the third anniversary of the date of the original grant letter, 40% of your unvested Phantom Units (assuming a TSR Payout Percentage (as defined in Exhibit A) of 100% with respect to Tranche B) shall be deemed nonforfeitable on the date of termination, and shall vest on the next following Distribution Date; (ii) if such termination occurs on or after the third anniversary of the date of the original grant letter but prior to the fourth anniversary of the date of the original grant letter, 60% of your unvested Phantom Units (assuming a TSR Payout Percentage of 100% with respect to Tranche B) shall be deemed nonforfeitable on the date of termination, and shall vest on the next following Distribution Date; (iii) if such termination occurs on or after the fourth anniversary of the date of the original grant letter but prior to the fifth anniversary of the date of the original grant letter, 80% of your unvested Phantom Units (assuming a TSR Payout Percentage of 100% with respect to Tranche B) shall be deemed nonforfeitable on the date of termination, and shall vest on the next following Distribution Date; (iv) if such termination occurs on or after the fifth anniversary of the date of the original grant letter, 100% of your unvested Phantom Units (assuming a TSR Payout Percentage of 100% with respect to Tranche B) shall be deemed nonforfeitable on the date of termination, and shall vest on the next following Distribution Date; and (v) any DERs associated with such unvested, nonforfeitable Phantom Units described in clauses (i)-(iv) immediately preceding shall not be forfeited on the date of termination, but shall vest in accordance with paragraph 2 above and if vested shall be payable and shall expire in accordance with paragraph 1 or paragraph 5 above.</w:t>
      </w:r>
    </w:p>
    <w:p>
      <w:pPr>
        <w:sectPr>
          <w:pgSz w:w="11900" w:h="16838" w:orient="portrait"/>
          <w:cols w:equalWidth="0" w:num="1">
            <w:col w:w="11240"/>
          </w:cols>
          <w:pgMar w:left="320" w:top="86"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February 24,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080" w:hanging="424"/>
        <w:spacing w:after="0" w:line="244" w:lineRule="auto"/>
        <w:tabs>
          <w:tab w:leader="none" w:pos="10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100% of the unvested Phantom Units covered by paragraphs 1(a) and 1(b) above (assuming a TSR Payout Percentage of 100% with respect to Tranche B) shall be deemed nonforfeitable on the date of termination and shall vest on the next following Distribution Date (and any DERs associated with such unvested, nonforfeitable Phantom Units shall not be forfeited on the date of termination, but shall vest in accordance with paragraph 2 above and if vested shall be payable and shall expire in accordance with paragraph 1 or paragraph 5 above). As soon as administratively practicable after the vesting of any Phantom Units pursuant to this paragraph 7, payment will be made in cash in an amount equal to the Market Value of the number of Phantom Units vesting.</w:t>
      </w:r>
    </w:p>
    <w:p>
      <w:pPr>
        <w:spacing w:after="0" w:line="181" w:lineRule="exact"/>
        <w:rPr>
          <w:rFonts w:ascii="Arial" w:cs="Arial" w:eastAsia="Arial" w:hAnsi="Arial"/>
          <w:sz w:val="19"/>
          <w:szCs w:val="19"/>
          <w:color w:val="auto"/>
        </w:rPr>
      </w:pPr>
    </w:p>
    <w:p>
      <w:pPr>
        <w:jc w:val="both"/>
        <w:ind w:left="1080" w:hanging="424"/>
        <w:spacing w:after="0" w:line="223" w:lineRule="auto"/>
        <w:tabs>
          <w:tab w:leader="none" w:pos="1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the event of a Change in Status, all of your then outstanding Phantom Units (assuming a TSR Payout Percentage of 100% with respect to Tranche B) and tandem DERs shall be deemed 100% nonforfeitable on such date, and such Phantom Units shall vest in full upon the next Distribution Date.</w:t>
      </w:r>
    </w:p>
    <w:p>
      <w:pPr>
        <w:spacing w:after="0" w:line="185" w:lineRule="exact"/>
        <w:rPr>
          <w:rFonts w:ascii="Arial" w:cs="Arial" w:eastAsia="Arial" w:hAnsi="Arial"/>
          <w:sz w:val="22"/>
          <w:szCs w:val="22"/>
          <w:color w:val="auto"/>
        </w:rPr>
      </w:pPr>
    </w:p>
    <w:p>
      <w:pPr>
        <w:jc w:val="both"/>
        <w:ind w:left="1080" w:hanging="424"/>
        <w:spacing w:after="0" w:line="218" w:lineRule="auto"/>
        <w:tabs>
          <w:tab w:leader="none" w:pos="1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(iii) “Market Value” means the average of the closing sales prices for a Common Unit on Nasdaq for the five trading days preceding the then most recent “ex dividend” date for payment of a distribution by the Partnership; and (iv) “Board” means the board of directors of PAGP GP (defined below).</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Chief Executive Officer of the Company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ectPr>
          <w:pgSz w:w="11900" w:h="16838" w:orient="portrait"/>
          <w:cols w:equalWidth="0" w:num="1">
            <w:col w:w="11240"/>
          </w:cols>
          <w:pgMar w:left="320" w:top="86"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February 24,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580" w:hanging="924"/>
        <w:spacing w:after="0" w:line="209" w:lineRule="auto"/>
        <w:tabs>
          <w:tab w:leader="none" w:pos="157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p>
    <w:p>
      <w:pPr>
        <w:jc w:val="both"/>
        <w:ind w:left="1580" w:hanging="924"/>
        <w:spacing w:after="0" w:line="204" w:lineRule="auto"/>
        <w:tabs>
          <w:tab w:leader="none" w:pos="1577"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2" w:lineRule="exact"/>
        <w:rPr>
          <w:rFonts w:ascii="Arial" w:cs="Arial" w:eastAsia="Arial" w:hAnsi="Arial"/>
          <w:sz w:val="22"/>
          <w:szCs w:val="22"/>
          <w:color w:val="auto"/>
        </w:rPr>
      </w:pPr>
    </w:p>
    <w:p>
      <w:pPr>
        <w:ind w:left="1580" w:hanging="924"/>
        <w:spacing w:after="0" w:line="204" w:lineRule="auto"/>
        <w:tabs>
          <w:tab w:leader="none" w:pos="1569" w:val="left"/>
        </w:tabs>
        <w:numPr>
          <w:ilvl w:val="0"/>
          <w:numId w:val="36"/>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spacing w:after="0" w:line="1" w:lineRule="exact"/>
        <w:rPr>
          <w:rFonts w:ascii="Arial" w:cs="Arial" w:eastAsia="Arial" w:hAnsi="Arial"/>
          <w:sz w:val="22"/>
          <w:szCs w:val="22"/>
          <w:color w:val="auto"/>
        </w:rPr>
      </w:pPr>
    </w:p>
    <w:p>
      <w:pPr>
        <w:jc w:val="both"/>
        <w:ind w:left="1580" w:hanging="924"/>
        <w:spacing w:after="0" w:line="214" w:lineRule="auto"/>
        <w:tabs>
          <w:tab w:leader="none" w:pos="157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18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18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8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18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 You also acknowledge and agree that (i) Tranche B of this award constitutes performance-based compensation as defined in the Clawback Policy adopted by PAGP GP on November 12, 2020 and (ii) Tranche B of this award, as well as any other performance-based compensation previously paid or awarded to you, is subject to recovery or cancellation pursuant to such Policy. Copies of the Plan, the Partnership Agreement and the Clawback Policy are available upon request.</w:t>
      </w:r>
    </w:p>
    <w:p>
      <w:pPr>
        <w:sectPr>
          <w:pgSz w:w="11900" w:h="16838" w:orient="portrait"/>
          <w:cols w:equalWidth="0" w:num="1">
            <w:col w:w="11240"/>
          </w:cols>
          <w:pgMar w:left="320" w:top="86"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February 24,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Please execute and return a copy of this grant letter to Richard McGee and retain a copy for your records.</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18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ind w:left="3900"/>
        <w:spacing w:after="0" w:line="237" w:lineRule="auto"/>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ind w:left="3900"/>
        <w:spacing w:after="0" w:line="214" w:lineRule="auto"/>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PLAINS ALL AMERICAN GP LLC,</w:t>
      </w:r>
    </w:p>
    <w:tbl>
      <w:tblPr>
        <w:tblLayout w:type="fixed"/>
        <w:tblInd w:w="10" w:type="dxa"/>
        <w:tblCellMar>
          <w:top w:w="0" w:type="dxa"/>
          <w:left w:w="0" w:type="dxa"/>
          <w:bottom w:w="0" w:type="dxa"/>
          <w:right w:w="0" w:type="dxa"/>
        </w:tblCellMar>
      </w:tblPr>
      <w:tr>
        <w:trPr>
          <w:trHeight w:val="274"/>
        </w:trPr>
        <w:tc>
          <w:tcPr>
            <w:tcW w:w="10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280" w:type="dxa"/>
            <w:vAlign w:val="bottom"/>
            <w:gridSpan w:val="3"/>
          </w:tcPr>
          <w:p>
            <w:pPr>
              <w:jc w:val="right"/>
              <w:ind w:right="1580"/>
              <w:spacing w:after="0"/>
              <w:rPr>
                <w:sz w:val="20"/>
                <w:szCs w:val="20"/>
                <w:color w:val="auto"/>
              </w:rPr>
            </w:pPr>
            <w:r>
              <w:rPr>
                <w:rFonts w:ascii="Arial" w:cs="Arial" w:eastAsia="Arial" w:hAnsi="Arial"/>
                <w:sz w:val="22"/>
                <w:szCs w:val="22"/>
                <w:color w:val="auto"/>
                <w:w w:val="94"/>
              </w:rPr>
              <w:t>its general partner</w:t>
            </w:r>
          </w:p>
        </w:tc>
        <w:tc>
          <w:tcPr>
            <w:tcW w:w="3580" w:type="dxa"/>
            <w:vAlign w:val="bottom"/>
          </w:tcPr>
          <w:p>
            <w:pPr>
              <w:spacing w:after="0"/>
              <w:rPr>
                <w:sz w:val="23"/>
                <w:szCs w:val="23"/>
                <w:color w:val="auto"/>
              </w:rPr>
            </w:pPr>
          </w:p>
        </w:tc>
      </w:tr>
      <w:tr>
        <w:trPr>
          <w:trHeight w:val="626"/>
        </w:trPr>
        <w:tc>
          <w:tcPr>
            <w:tcW w:w="1040" w:type="dxa"/>
            <w:vAlign w:val="bottom"/>
          </w:tcPr>
          <w:p>
            <w:pPr>
              <w:spacing w:after="0"/>
              <w:rPr>
                <w:sz w:val="24"/>
                <w:szCs w:val="24"/>
                <w:color w:val="auto"/>
              </w:rPr>
            </w:pPr>
          </w:p>
        </w:tc>
        <w:tc>
          <w:tcPr>
            <w:tcW w:w="3360" w:type="dxa"/>
            <w:vAlign w:val="bottom"/>
          </w:tcPr>
          <w:p>
            <w:pPr>
              <w:ind w:left="2860"/>
              <w:spacing w:after="0"/>
              <w:rPr>
                <w:sz w:val="20"/>
                <w:szCs w:val="20"/>
                <w:color w:val="auto"/>
              </w:rPr>
            </w:pPr>
            <w:r>
              <w:rPr>
                <w:rFonts w:ascii="Arial" w:cs="Arial" w:eastAsia="Arial" w:hAnsi="Arial"/>
                <w:sz w:val="22"/>
                <w:szCs w:val="22"/>
                <w:color w:val="auto"/>
              </w:rPr>
              <w:t>By:</w:t>
            </w:r>
          </w:p>
        </w:tc>
        <w:tc>
          <w:tcPr>
            <w:tcW w:w="3280" w:type="dxa"/>
            <w:vAlign w:val="bottom"/>
            <w:gridSpan w:val="3"/>
          </w:tcPr>
          <w:p>
            <w:pPr>
              <w:jc w:val="right"/>
              <w:ind w:right="20"/>
              <w:spacing w:after="0"/>
              <w:rPr>
                <w:sz w:val="20"/>
                <w:szCs w:val="20"/>
                <w:color w:val="auto"/>
              </w:rPr>
            </w:pPr>
            <w:r>
              <w:rPr>
                <w:rFonts w:ascii="Arial" w:cs="Arial" w:eastAsia="Arial" w:hAnsi="Arial"/>
                <w:sz w:val="22"/>
                <w:szCs w:val="22"/>
                <w:color w:val="auto"/>
                <w:w w:val="88"/>
              </w:rPr>
              <w:t>______________________________</w:t>
            </w:r>
          </w:p>
        </w:tc>
        <w:tc>
          <w:tcPr>
            <w:tcW w:w="358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6640" w:type="dxa"/>
            <w:vAlign w:val="bottom"/>
            <w:gridSpan w:val="4"/>
          </w:tcPr>
          <w:p>
            <w:pPr>
              <w:ind w:left="2860"/>
              <w:spacing w:after="0" w:line="216" w:lineRule="exact"/>
              <w:rPr>
                <w:sz w:val="20"/>
                <w:szCs w:val="20"/>
                <w:color w:val="auto"/>
              </w:rPr>
            </w:pPr>
            <w:r>
              <w:rPr>
                <w:rFonts w:ascii="Arial" w:cs="Arial" w:eastAsia="Arial" w:hAnsi="Arial"/>
                <w:sz w:val="22"/>
                <w:szCs w:val="22"/>
                <w:color w:val="auto"/>
              </w:rPr>
              <w:t>Name:  Willie Chiang</w:t>
            </w:r>
          </w:p>
        </w:tc>
        <w:tc>
          <w:tcPr>
            <w:tcW w:w="3580" w:type="dxa"/>
            <w:vAlign w:val="bottom"/>
          </w:tcPr>
          <w:p>
            <w:pPr>
              <w:spacing w:after="0"/>
              <w:rPr>
                <w:sz w:val="18"/>
                <w:szCs w:val="18"/>
                <w:color w:val="auto"/>
              </w:rPr>
            </w:pPr>
          </w:p>
        </w:tc>
      </w:tr>
      <w:tr>
        <w:trPr>
          <w:trHeight w:val="274"/>
        </w:trPr>
        <w:tc>
          <w:tcPr>
            <w:tcW w:w="1040" w:type="dxa"/>
            <w:vAlign w:val="bottom"/>
          </w:tcPr>
          <w:p>
            <w:pPr>
              <w:spacing w:after="0"/>
              <w:rPr>
                <w:sz w:val="23"/>
                <w:szCs w:val="23"/>
                <w:color w:val="auto"/>
              </w:rPr>
            </w:pPr>
          </w:p>
        </w:tc>
        <w:tc>
          <w:tcPr>
            <w:tcW w:w="3360" w:type="dxa"/>
            <w:vAlign w:val="bottom"/>
          </w:tcPr>
          <w:p>
            <w:pPr>
              <w:ind w:left="2860"/>
              <w:spacing w:after="0"/>
              <w:rPr>
                <w:sz w:val="20"/>
                <w:szCs w:val="20"/>
                <w:color w:val="auto"/>
              </w:rPr>
            </w:pPr>
            <w:r>
              <w:rPr>
                <w:rFonts w:ascii="Arial" w:cs="Arial" w:eastAsia="Arial" w:hAnsi="Arial"/>
                <w:sz w:val="22"/>
                <w:szCs w:val="22"/>
                <w:color w:val="auto"/>
              </w:rPr>
              <w:t>Title:</w:t>
            </w:r>
          </w:p>
        </w:tc>
        <w:tc>
          <w:tcPr>
            <w:tcW w:w="3280" w:type="dxa"/>
            <w:vAlign w:val="bottom"/>
            <w:gridSpan w:val="3"/>
          </w:tcPr>
          <w:p>
            <w:pPr>
              <w:jc w:val="right"/>
              <w:ind w:right="1040"/>
              <w:spacing w:after="0"/>
              <w:rPr>
                <w:sz w:val="20"/>
                <w:szCs w:val="20"/>
                <w:color w:val="auto"/>
              </w:rPr>
            </w:pPr>
            <w:r>
              <w:rPr>
                <w:rFonts w:ascii="Arial" w:cs="Arial" w:eastAsia="Arial" w:hAnsi="Arial"/>
                <w:sz w:val="22"/>
                <w:szCs w:val="22"/>
                <w:color w:val="auto"/>
                <w:w w:val="99"/>
              </w:rPr>
              <w:t>Chief Executive Officer</w:t>
            </w:r>
          </w:p>
        </w:tc>
        <w:tc>
          <w:tcPr>
            <w:tcW w:w="3580" w:type="dxa"/>
            <w:vAlign w:val="bottom"/>
          </w:tcPr>
          <w:p>
            <w:pPr>
              <w:spacing w:after="0"/>
              <w:rPr>
                <w:sz w:val="23"/>
                <w:szCs w:val="23"/>
                <w:color w:val="auto"/>
              </w:rPr>
            </w:pPr>
          </w:p>
        </w:tc>
      </w:tr>
      <w:tr>
        <w:trPr>
          <w:trHeight w:val="733"/>
        </w:trPr>
        <w:tc>
          <w:tcPr>
            <w:tcW w:w="10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00"/>
        </w:trPr>
        <w:tc>
          <w:tcPr>
            <w:tcW w:w="1040" w:type="dxa"/>
            <w:vAlign w:val="bottom"/>
          </w:tcPr>
          <w:p>
            <w:pPr>
              <w:ind w:left="20"/>
              <w:spacing w:after="0"/>
              <w:rPr>
                <w:sz w:val="20"/>
                <w:szCs w:val="20"/>
                <w:color w:val="auto"/>
              </w:rPr>
            </w:pPr>
            <w:r>
              <w:rPr>
                <w:rFonts w:ascii="Arial" w:cs="Arial" w:eastAsia="Arial" w:hAnsi="Arial"/>
                <w:sz w:val="22"/>
                <w:szCs w:val="22"/>
                <w:color w:val="auto"/>
              </w:rPr>
              <w:t>[Name]</w:t>
            </w:r>
          </w:p>
        </w:tc>
        <w:tc>
          <w:tcPr>
            <w:tcW w:w="3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743"/>
        </w:trPr>
        <w:tc>
          <w:tcPr>
            <w:tcW w:w="1040" w:type="dxa"/>
            <w:vAlign w:val="bottom"/>
          </w:tcPr>
          <w:p>
            <w:pPr>
              <w:ind w:left="20"/>
              <w:spacing w:after="0"/>
              <w:rPr>
                <w:sz w:val="20"/>
                <w:szCs w:val="20"/>
                <w:color w:val="auto"/>
              </w:rPr>
            </w:pPr>
            <w:r>
              <w:rPr>
                <w:rFonts w:ascii="Arial" w:cs="Arial" w:eastAsia="Arial" w:hAnsi="Arial"/>
                <w:sz w:val="22"/>
                <w:szCs w:val="22"/>
                <w:color w:val="auto"/>
              </w:rPr>
              <w:t>Units:</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22"/>
                <w:szCs w:val="22"/>
                <w:color w:val="auto"/>
              </w:rPr>
              <w:t>Dated:</w:t>
            </w:r>
          </w:p>
        </w:tc>
        <w:tc>
          <w:tcPr>
            <w:tcW w:w="3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0"/>
        </w:trPr>
        <w:tc>
          <w:tcPr>
            <w:tcW w:w="104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802"/>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Beneficiary Designation</w:t>
            </w:r>
          </w:p>
        </w:tc>
        <w:tc>
          <w:tcPr>
            <w:tcW w:w="9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338"/>
        </w:trPr>
        <w:tc>
          <w:tcPr>
            <w:tcW w:w="4400" w:type="dxa"/>
            <w:vAlign w:val="bottom"/>
            <w:tcBorders>
              <w:left w:val="single" w:sz="8" w:color="auto"/>
              <w:bottom w:val="single" w:sz="8" w:color="C0C0C0"/>
            </w:tcBorders>
            <w:gridSpan w:val="2"/>
            <w:shd w:val="clear" w:color="auto" w:fill="C0C0C0"/>
          </w:tcPr>
          <w:p>
            <w:pPr>
              <w:ind w:left="80"/>
              <w:spacing w:after="0"/>
              <w:rPr>
                <w:sz w:val="20"/>
                <w:szCs w:val="20"/>
                <w:color w:val="auto"/>
              </w:rPr>
            </w:pPr>
            <w:r>
              <w:rPr>
                <w:rFonts w:ascii="Arial" w:cs="Arial" w:eastAsia="Arial" w:hAnsi="Arial"/>
                <w:sz w:val="22"/>
                <w:szCs w:val="22"/>
                <w:color w:val="auto"/>
              </w:rPr>
              <w:t>Primary Beneficiary Name</w:t>
            </w:r>
          </w:p>
        </w:tc>
        <w:tc>
          <w:tcPr>
            <w:tcW w:w="960" w:type="dxa"/>
            <w:vAlign w:val="bottom"/>
            <w:tcBorders>
              <w:bottom w:val="single" w:sz="8" w:color="C0C0C0"/>
              <w:right w:val="single" w:sz="8" w:color="auto"/>
            </w:tcBorders>
            <w:shd w:val="clear" w:color="auto" w:fill="C0C0C0"/>
          </w:tcPr>
          <w:p>
            <w:pPr>
              <w:spacing w:after="0"/>
              <w:rPr>
                <w:sz w:val="24"/>
                <w:szCs w:val="24"/>
                <w:color w:val="auto"/>
              </w:rPr>
            </w:pPr>
          </w:p>
        </w:tc>
        <w:tc>
          <w:tcPr>
            <w:tcW w:w="2280" w:type="dxa"/>
            <w:vAlign w:val="bottom"/>
            <w:tcBorders>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40" w:type="dxa"/>
            <w:vAlign w:val="bottom"/>
            <w:tcBorders>
              <w:bottom w:val="single" w:sz="8" w:color="C0C0C0"/>
            </w:tcBorders>
            <w:shd w:val="clear" w:color="auto" w:fill="C0C0C0"/>
          </w:tcPr>
          <w:p>
            <w:pPr>
              <w:spacing w:after="0"/>
              <w:rPr>
                <w:sz w:val="24"/>
                <w:szCs w:val="24"/>
                <w:color w:val="auto"/>
              </w:rPr>
            </w:pPr>
          </w:p>
        </w:tc>
        <w:tc>
          <w:tcPr>
            <w:tcW w:w="358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37"/>
        </w:trPr>
        <w:tc>
          <w:tcPr>
            <w:tcW w:w="1040" w:type="dxa"/>
            <w:vAlign w:val="bottom"/>
            <w:tcBorders>
              <w:top w:val="single" w:sz="8" w:color="auto"/>
              <w:left w:val="single" w:sz="8" w:color="auto"/>
              <w:bottom w:val="single" w:sz="8" w:color="auto"/>
            </w:tcBorders>
          </w:tcPr>
          <w:p>
            <w:pPr>
              <w:spacing w:after="0"/>
              <w:rPr>
                <w:sz w:val="20"/>
                <w:szCs w:val="20"/>
                <w:color w:val="auto"/>
              </w:rPr>
            </w:pPr>
          </w:p>
        </w:tc>
        <w:tc>
          <w:tcPr>
            <w:tcW w:w="33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right w:val="single" w:sz="8" w:color="auto"/>
            </w:tcBorders>
          </w:tcPr>
          <w:p>
            <w:pPr>
              <w:spacing w:after="0"/>
              <w:rPr>
                <w:sz w:val="20"/>
                <w:szCs w:val="20"/>
                <w:color w:val="auto"/>
              </w:rPr>
            </w:pPr>
          </w:p>
        </w:tc>
        <w:tc>
          <w:tcPr>
            <w:tcW w:w="228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580" w:type="dxa"/>
            <w:vAlign w:val="bottom"/>
            <w:tcBorders>
              <w:top w:val="single" w:sz="8" w:color="auto"/>
              <w:bottom w:val="single" w:sz="8" w:color="auto"/>
              <w:right w:val="single" w:sz="8" w:color="auto"/>
            </w:tcBorders>
          </w:tcPr>
          <w:p>
            <w:pPr>
              <w:spacing w:after="0"/>
              <w:rPr>
                <w:sz w:val="20"/>
                <w:szCs w:val="20"/>
                <w:color w:val="auto"/>
              </w:rPr>
            </w:pPr>
          </w:p>
        </w:tc>
      </w:tr>
      <w:tr>
        <w:trPr>
          <w:trHeight w:val="236"/>
        </w:trPr>
        <w:tc>
          <w:tcPr>
            <w:tcW w:w="1040" w:type="dxa"/>
            <w:vAlign w:val="bottom"/>
            <w:tcBorders>
              <w:left w:val="single" w:sz="8" w:color="auto"/>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r>
        <w:trPr>
          <w:trHeight w:val="237"/>
        </w:trPr>
        <w:tc>
          <w:tcPr>
            <w:tcW w:w="1040" w:type="dxa"/>
            <w:vAlign w:val="bottom"/>
            <w:tcBorders>
              <w:left w:val="single" w:sz="8" w:color="auto"/>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r>
        <w:trPr>
          <w:trHeight w:val="336"/>
        </w:trPr>
        <w:tc>
          <w:tcPr>
            <w:tcW w:w="4400" w:type="dxa"/>
            <w:vAlign w:val="bottom"/>
            <w:tcBorders>
              <w:left w:val="single" w:sz="8" w:color="auto"/>
              <w:bottom w:val="single" w:sz="8" w:color="C0C0C0"/>
            </w:tcBorders>
            <w:gridSpan w:val="2"/>
            <w:shd w:val="clear" w:color="auto" w:fill="C0C0C0"/>
          </w:tcPr>
          <w:p>
            <w:pPr>
              <w:ind w:left="80"/>
              <w:spacing w:after="0"/>
              <w:rPr>
                <w:sz w:val="20"/>
                <w:szCs w:val="20"/>
                <w:color w:val="auto"/>
              </w:rPr>
            </w:pPr>
            <w:r>
              <w:rPr>
                <w:rFonts w:ascii="Arial" w:cs="Arial" w:eastAsia="Arial" w:hAnsi="Arial"/>
                <w:sz w:val="22"/>
                <w:szCs w:val="22"/>
                <w:color w:val="auto"/>
              </w:rPr>
              <w:t>Secondary Beneficiary Name</w:t>
            </w:r>
          </w:p>
        </w:tc>
        <w:tc>
          <w:tcPr>
            <w:tcW w:w="960" w:type="dxa"/>
            <w:vAlign w:val="bottom"/>
            <w:tcBorders>
              <w:bottom w:val="single" w:sz="8" w:color="C0C0C0"/>
              <w:right w:val="single" w:sz="8" w:color="auto"/>
            </w:tcBorders>
            <w:shd w:val="clear" w:color="auto" w:fill="C0C0C0"/>
          </w:tcPr>
          <w:p>
            <w:pPr>
              <w:spacing w:after="0"/>
              <w:rPr>
                <w:sz w:val="24"/>
                <w:szCs w:val="24"/>
                <w:color w:val="auto"/>
              </w:rPr>
            </w:pPr>
          </w:p>
        </w:tc>
        <w:tc>
          <w:tcPr>
            <w:tcW w:w="2280" w:type="dxa"/>
            <w:vAlign w:val="bottom"/>
            <w:tcBorders>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40" w:type="dxa"/>
            <w:vAlign w:val="bottom"/>
            <w:tcBorders>
              <w:bottom w:val="single" w:sz="8" w:color="C0C0C0"/>
            </w:tcBorders>
            <w:shd w:val="clear" w:color="auto" w:fill="C0C0C0"/>
          </w:tcPr>
          <w:p>
            <w:pPr>
              <w:spacing w:after="0"/>
              <w:rPr>
                <w:sz w:val="24"/>
                <w:szCs w:val="24"/>
                <w:color w:val="auto"/>
              </w:rPr>
            </w:pPr>
          </w:p>
        </w:tc>
        <w:tc>
          <w:tcPr>
            <w:tcW w:w="358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10"/>
        </w:trPr>
        <w:tc>
          <w:tcPr>
            <w:tcW w:w="1040" w:type="dxa"/>
            <w:vAlign w:val="bottom"/>
            <w:tcBorders>
              <w:top w:val="single" w:sz="8" w:color="auto"/>
              <w:left w:val="single" w:sz="8" w:color="auto"/>
              <w:bottom w:val="single" w:sz="8" w:color="auto"/>
            </w:tcBorders>
          </w:tcPr>
          <w:p>
            <w:pPr>
              <w:spacing w:after="0"/>
              <w:rPr>
                <w:sz w:val="18"/>
                <w:szCs w:val="18"/>
                <w:color w:val="auto"/>
              </w:rPr>
            </w:pPr>
          </w:p>
        </w:tc>
        <w:tc>
          <w:tcPr>
            <w:tcW w:w="3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right w:val="single" w:sz="8" w:color="auto"/>
            </w:tcBorders>
          </w:tcPr>
          <w:p>
            <w:pPr>
              <w:spacing w:after="0"/>
              <w:rPr>
                <w:sz w:val="18"/>
                <w:szCs w:val="18"/>
                <w:color w:val="auto"/>
              </w:rPr>
            </w:pPr>
          </w:p>
        </w:tc>
        <w:tc>
          <w:tcPr>
            <w:tcW w:w="2280" w:type="dxa"/>
            <w:vAlign w:val="bottom"/>
            <w:tcBorders>
              <w:top w:val="single" w:sz="8" w:color="auto"/>
              <w:bottom w:val="single" w:sz="8" w:color="auto"/>
              <w:right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580" w:type="dxa"/>
            <w:vAlign w:val="bottom"/>
            <w:tcBorders>
              <w:top w:val="single" w:sz="8" w:color="auto"/>
              <w:bottom w:val="single" w:sz="8" w:color="auto"/>
              <w:right w:val="single" w:sz="8" w:color="auto"/>
            </w:tcBorders>
          </w:tcPr>
          <w:p>
            <w:pPr>
              <w:spacing w:after="0"/>
              <w:rPr>
                <w:sz w:val="18"/>
                <w:szCs w:val="18"/>
                <w:color w:val="auto"/>
              </w:rPr>
            </w:pP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bl>
    <w:p>
      <w:pPr>
        <w:spacing w:after="0" w:line="303" w:lineRule="exact"/>
        <w:rPr>
          <w:sz w:val="20"/>
          <w:szCs w:val="20"/>
          <w:color w:val="auto"/>
        </w:rPr>
      </w:pPr>
    </w:p>
    <w:p>
      <w:pPr>
        <w:ind w:left="260" w:hanging="252"/>
        <w:spacing w:after="0"/>
        <w:tabs>
          <w:tab w:leader="none" w:pos="260" w:val="left"/>
        </w:tabs>
        <w:numPr>
          <w:ilvl w:val="0"/>
          <w:numId w:val="37"/>
        </w:numPr>
        <w:rPr>
          <w:rFonts w:ascii="MS PGothic" w:cs="MS PGothic" w:eastAsia="MS PGothic" w:hAnsi="MS PGothic"/>
          <w:sz w:val="22"/>
          <w:szCs w:val="22"/>
          <w:color w:val="auto"/>
        </w:rPr>
      </w:pPr>
      <w:r>
        <w:rPr>
          <w:rFonts w:ascii="Arial" w:cs="Arial" w:eastAsia="Arial" w:hAnsi="Arial"/>
          <w:sz w:val="22"/>
          <w:szCs w:val="22"/>
          <w:color w:val="auto"/>
        </w:rPr>
        <w:t>Check this box only if designation does not apply to prior grants</w:t>
      </w:r>
    </w:p>
    <w:p>
      <w:pPr>
        <w:sectPr>
          <w:pgSz w:w="11900" w:h="16838" w:orient="portrait"/>
          <w:cols w:equalWidth="0" w:num="1">
            <w:col w:w="11260"/>
          </w:cols>
          <w:pgMar w:left="320" w:top="86" w:right="319" w:bottom="1440" w:gutter="0" w:footer="0" w:header="0"/>
        </w:sectPr>
      </w:pPr>
    </w:p>
    <w:bookmarkStart w:id="62" w:name="page63"/>
    <w:bookmarkEnd w:id="62"/>
    <w:p>
      <w:pPr>
        <w:ind w:left="5180"/>
        <w:spacing w:after="0"/>
        <w:rPr>
          <w:sz w:val="20"/>
          <w:szCs w:val="20"/>
          <w:color w:val="auto"/>
        </w:rPr>
      </w:pPr>
      <w:r>
        <w:rPr>
          <w:rFonts w:ascii="Arial" w:cs="Arial" w:eastAsia="Arial" w:hAnsi="Arial"/>
          <w:sz w:val="22"/>
          <w:szCs w:val="22"/>
          <w:b w:val="1"/>
          <w:bCs w:val="1"/>
          <w:color w:val="auto"/>
        </w:rPr>
        <w:t>Exhibit A</w:t>
      </w:r>
    </w:p>
    <w:p>
      <w:pPr>
        <w:spacing w:after="0" w:line="5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Tranche B Vesting Terms</w:t>
      </w:r>
    </w:p>
    <w:p>
      <w:pPr>
        <w:jc w:val="center"/>
        <w:ind w:right="20"/>
        <w:spacing w:after="0"/>
        <w:rPr>
          <w:sz w:val="20"/>
          <w:szCs w:val="20"/>
          <w:color w:val="auto"/>
        </w:rPr>
      </w:pPr>
      <w:r>
        <w:rPr>
          <w:rFonts w:ascii="Arial" w:cs="Arial" w:eastAsia="Arial" w:hAnsi="Arial"/>
          <w:sz w:val="22"/>
          <w:szCs w:val="22"/>
          <w:b w:val="1"/>
          <w:bCs w:val="1"/>
          <w:color w:val="auto"/>
        </w:rPr>
        <w:t>(Total Shareholder Return)</w:t>
      </w:r>
    </w:p>
    <w:p>
      <w:pPr>
        <w:spacing w:after="0" w:line="195" w:lineRule="exact"/>
        <w:rPr>
          <w:sz w:val="20"/>
          <w:szCs w:val="20"/>
          <w:color w:val="auto"/>
        </w:rPr>
      </w:pPr>
    </w:p>
    <w:p>
      <w:pPr>
        <w:jc w:val="both"/>
        <w:ind w:left="660" w:right="20" w:hanging="328"/>
        <w:spacing w:after="0" w:line="259"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color w:val="auto"/>
        </w:rPr>
        <w:t>. Consistent with the Company’s pay for performance philosophy and in order to more closely align the interests of management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spacing w:after="0" w:line="38" w:lineRule="exact"/>
        <w:rPr>
          <w:rFonts w:ascii="Arial" w:cs="Arial" w:eastAsia="Arial" w:hAnsi="Arial"/>
          <w:sz w:val="16"/>
          <w:szCs w:val="16"/>
          <w:color w:val="auto"/>
        </w:rPr>
      </w:pPr>
    </w:p>
    <w:p>
      <w:pPr>
        <w:jc w:val="both"/>
        <w:ind w:left="660" w:right="20" w:hanging="328"/>
        <w:spacing w:after="0" w:line="222"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i w:val="1"/>
          <w:iCs w:val="1"/>
          <w:u w:val="single" w:color="auto"/>
          <w:color w:val="auto"/>
        </w:rPr>
        <w:t>Vesting and Payout</w:t>
      </w:r>
      <w:r>
        <w:rPr>
          <w:rFonts w:ascii="Arial" w:cs="Arial" w:eastAsia="Arial" w:hAnsi="Arial"/>
          <w:sz w:val="17"/>
          <w:szCs w:val="17"/>
          <w:color w:val="auto"/>
        </w:rPr>
        <w:t>. As soon as administratively feasible following the close of the period beginning on January 1, 2022 and ending on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2026 (the “Performance Period”), the Compensation Committee shall determine and certify the TSR Payout Percentage (as defined below). The Compensation Committee shall make such determination based on a scaled payout range of between 0% and 100% as provided in the table below (the specific payout percentage is referred to as the “TSR Payout Percentage”) based on PAA’s TSR ranking at the end of the Performance Period compared to the TSR ranking of the various companies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The number of Tranche B Phantom Units vesting will be determined by multiplying your target number of Tranche B Phantom Units by the TSR Payout Percentage as certified by the Compensation Committee. If the resulting amount includes a fraction, it will be rounded down to the nearest whole number.</w:t>
      </w:r>
    </w:p>
    <w:p>
      <w:pPr>
        <w:spacing w:after="0" w:line="333" w:lineRule="exact"/>
        <w:rPr>
          <w:sz w:val="20"/>
          <w:szCs w:val="20"/>
          <w:color w:val="auto"/>
        </w:rPr>
      </w:pPr>
    </w:p>
    <w:tbl>
      <w:tblPr>
        <w:tblLayout w:type="fixed"/>
        <w:tblInd w:w="1350" w:type="dxa"/>
        <w:tblCellMar>
          <w:top w:w="0" w:type="dxa"/>
          <w:left w:w="0" w:type="dxa"/>
          <w:bottom w:w="0" w:type="dxa"/>
          <w:right w:w="0" w:type="dxa"/>
        </w:tblCellMar>
      </w:tblPr>
      <w:tr>
        <w:trPr>
          <w:trHeight w:val="189"/>
        </w:trPr>
        <w:tc>
          <w:tcPr>
            <w:tcW w:w="338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w w:val="95"/>
              </w:rPr>
              <w:t>PAA TSR Ranking vs. PAA Peer Group</w:t>
            </w:r>
          </w:p>
        </w:tc>
        <w:tc>
          <w:tcPr>
            <w:tcW w:w="34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TSR Payout</w:t>
            </w:r>
          </w:p>
        </w:tc>
        <w:tc>
          <w:tcPr>
            <w:tcW w:w="0" w:type="dxa"/>
            <w:vAlign w:val="bottom"/>
          </w:tcPr>
          <w:p>
            <w:pPr>
              <w:spacing w:after="0"/>
              <w:rPr>
                <w:sz w:val="1"/>
                <w:szCs w:val="1"/>
                <w:color w:val="auto"/>
              </w:rPr>
            </w:pPr>
          </w:p>
        </w:tc>
      </w:tr>
      <w:tr>
        <w:trPr>
          <w:trHeight w:val="230"/>
        </w:trPr>
        <w:tc>
          <w:tcPr>
            <w:tcW w:w="33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87.5%</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75.0%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62.5%</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37.5%</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Illustrative Examples (based on an assumed target number of Tranche B Phantom Units of 1,000):</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100" w:type="dxa"/>
            <w:vAlign w:val="bottom"/>
            <w:tcBorders>
              <w:top w:val="single" w:sz="8" w:color="auto"/>
              <w:left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PAA TSR Ranking vs. PAA Peer Group</w:t>
            </w:r>
          </w:p>
        </w:tc>
        <w:tc>
          <w:tcPr>
            <w:tcW w:w="616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b w:val="1"/>
                <w:bCs w:val="1"/>
                <w:color w:val="auto"/>
              </w:rPr>
              <w:t>TSR Payout Percentage / Number of Units Vesting</w:t>
            </w:r>
          </w:p>
        </w:tc>
      </w:tr>
      <w:tr>
        <w:trPr>
          <w:trHeight w:val="27"/>
        </w:trPr>
        <w:tc>
          <w:tcPr>
            <w:tcW w:w="510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r>
      <w:tr>
        <w:trPr>
          <w:trHeight w:val="250"/>
        </w:trPr>
        <w:tc>
          <w:tcPr>
            <w:tcW w:w="5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 through #9</w:t>
            </w:r>
          </w:p>
        </w:tc>
        <w:tc>
          <w:tcPr>
            <w:tcW w:w="6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 1,000 units</w:t>
            </w:r>
          </w:p>
        </w:tc>
      </w:tr>
      <w:tr>
        <w:trPr>
          <w:trHeight w:val="27"/>
        </w:trPr>
        <w:tc>
          <w:tcPr>
            <w:tcW w:w="510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r>
      <w:tr>
        <w:trPr>
          <w:trHeight w:val="250"/>
        </w:trPr>
        <w:tc>
          <w:tcPr>
            <w:tcW w:w="5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6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50% / 500 units</w:t>
            </w:r>
          </w:p>
        </w:tc>
      </w:tr>
      <w:tr>
        <w:trPr>
          <w:trHeight w:val="27"/>
        </w:trPr>
        <w:tc>
          <w:tcPr>
            <w:tcW w:w="510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r>
      <w:tr>
        <w:trPr>
          <w:trHeight w:val="250"/>
        </w:trPr>
        <w:tc>
          <w:tcPr>
            <w:tcW w:w="5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#17</w:t>
            </w:r>
          </w:p>
        </w:tc>
        <w:tc>
          <w:tcPr>
            <w:tcW w:w="6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 / 0 units</w:t>
            </w:r>
          </w:p>
        </w:tc>
      </w:tr>
      <w:tr>
        <w:trPr>
          <w:trHeight w:val="27"/>
        </w:trPr>
        <w:tc>
          <w:tcPr>
            <w:tcW w:w="510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39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260"/>
          </w:cols>
          <w:pgMar w:left="320" w:top="1395" w:right="319" w:bottom="1440" w:gutter="0" w:footer="0" w:header="0"/>
          <w:type w:val="continuous"/>
        </w:sectPr>
      </w:pPr>
    </w:p>
    <w:bookmarkStart w:id="63" w:name="page64"/>
    <w:bookmarkEnd w:id="63"/>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u w:val="single" w:color="auto"/>
          <w:color w:val="auto"/>
        </w:rPr>
        <w:t>PAA Peer Group (2022-2026 Performance Period)</w:t>
      </w:r>
      <w:r>
        <w:rPr>
          <w:rFonts w:ascii="Arial" w:cs="Arial" w:eastAsia="Arial" w:hAnsi="Arial"/>
          <w:sz w:val="18"/>
          <w:szCs w:val="18"/>
          <w:color w:val="auto"/>
        </w:rPr>
        <w:t>:</w:t>
      </w:r>
    </w:p>
    <w:p>
      <w:pPr>
        <w:spacing w:after="0" w:line="354"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Company Name</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Ticker</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Products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EPD</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Kinder Morgan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KMI</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Williams Companies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WMB</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MPLX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MPLX</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Energy Transfer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ET</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ONEOK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OKE</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Magellan Midstream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MMP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Phillips 66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PSXP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Targa Resources Corp.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TRGP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DCP Midstream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DCP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Western Midstream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WES</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Holly Energy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HEP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NuStar Energy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NS</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EnLink Midstream LLC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ENLC</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Alerian Midstream Energy Index</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AMNA</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S&amp;P 500 Index</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SPX</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If any member of the PAA Peer Group is acquired by an unrelated entity before the end of the Performance Period, such member shall be removed from the PAA Peer Group for purposes of calculating the TSR Payout Percentage. The Compensation Committee shall have discretionary authority to replace such member for purposes of calculating the TSR Payout Percentage. In all other cases involving merger, reorganization or other material change in ownership, legal structure or business operations of any member of the PAA Peer Group, including acquisition by a related entity before the end of the Performance Period, the Compensation Committee shall have authority to retain, remove or replace such member for purposes of calculating the TSR Payout Percentage. In connection with any change to the PAA Peer Group, the Compensation Committee shall also have authority to make related adjustments to the rankings and TSR Payout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08"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2022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May 9, 2022</w:t>
      </w:r>
    </w:p>
    <w:p>
      <w:pPr>
        <w:sectPr>
          <w:pgSz w:w="11900" w:h="16838" w:orient="portrait"/>
          <w:cols w:equalWidth="0" w:num="1">
            <w:col w:w="11240"/>
          </w:cols>
          <w:pgMar w:left="320" w:top="89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2022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May 9,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lowerRoman"/>
      <w:start w:val="2"/>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lowerRoman"/>
      <w:start w:val="2"/>
    </w:lvl>
  </w:abstractNum>
  <w:abstractNum w:abstractNumId="32">
    <w:nsid w:val="153EA438"/>
    <w:multiLevelType w:val="hybridMultilevel"/>
    <w:lvl w:ilvl="0">
      <w:lvlJc w:val="left"/>
      <w:lvlText w:val="%1."/>
      <w:numFmt w:val="decimal"/>
      <w:start w:val="1"/>
    </w:lvl>
    <w:lvl w:ilvl="1">
      <w:lvlJc w:val="left"/>
      <w:lvlText w:val="%2."/>
      <w:numFmt w:val="lowerLetter"/>
      <w:start w:val="1"/>
    </w:lvl>
  </w:abstractNum>
  <w:abstractNum w:abstractNumId="33">
    <w:nsid w:val="3855585C"/>
    <w:multiLevelType w:val="hybridMultilevel"/>
    <w:lvl w:ilvl="0">
      <w:lvlJc w:val="left"/>
      <w:lvlText w:val="%1."/>
      <w:numFmt w:val="decimal"/>
      <w:start w:val="3"/>
    </w:lvl>
  </w:abstractNum>
  <w:abstractNum w:abstractNumId="34">
    <w:nsid w:val="70A64E2A"/>
    <w:multiLevelType w:val="hybridMultilevel"/>
    <w:lvl w:ilvl="0">
      <w:lvlJc w:val="left"/>
      <w:lvlText w:val="%1."/>
      <w:numFmt w:val="decimal"/>
      <w:start w:val="7"/>
    </w:lvl>
  </w:abstractNum>
  <w:abstractNum w:abstractNumId="35">
    <w:nsid w:val="6A2342EC"/>
    <w:multiLevelType w:val="hybridMultilevel"/>
    <w:lvl w:ilvl="0">
      <w:lvlJc w:val="left"/>
      <w:lvlText w:val="(%1)"/>
      <w:numFmt w:val="lowerRoman"/>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3"/>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5"/>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lowerRoman"/>
      <w:start w:val="1"/>
    </w:lvl>
  </w:abstractNum>
  <w:abstractNum w:abstractNumId="48">
    <w:nsid w:val="684A48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90"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jpe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75" Type="http://schemas.openxmlformats.org/officeDocument/2006/relationships/hyperlink" Target="http://www.sec.gov/Archives/edgar/data/1581990/000104746913007875/a2216069zex-3_1.htm" TargetMode="External"/><Relationship Id="rId76" Type="http://schemas.openxmlformats.org/officeDocument/2006/relationships/hyperlink" Target="http://www.sec.gov/Archives/edgar/data/1581990/000110465916158356/a16-21845_1ex3d2.htm" TargetMode="External"/><Relationship Id="rId77" Type="http://schemas.openxmlformats.org/officeDocument/2006/relationships/hyperlink" Target="http://www.sec.gov/Archives/edgar/data/1581990/000158199020000012/exhibit31.htm" TargetMode="External"/><Relationship Id="rId78" Type="http://schemas.openxmlformats.org/officeDocument/2006/relationships/hyperlink" Target="http://www.sec.gov/Archives/edgar/data/1581990/000104746913007875/a2216069zex-3_3.htm" TargetMode="External"/><Relationship Id="rId79" Type="http://schemas.openxmlformats.org/officeDocument/2006/relationships/hyperlink" Target="https://www.sec.gov/Archives/edgar/data/1581990/000158199022000006/pagp202110-kexhibit311a.htm" TargetMode="External"/><Relationship Id="rId80" Type="http://schemas.openxmlformats.org/officeDocument/2006/relationships/hyperlink" Target="http://www.sec.gov/Archives/edgar/data/1070423/000110465917061889/a17-22685_5ex3d1.htm" TargetMode="External"/><Relationship Id="rId81" Type="http://schemas.openxmlformats.org/officeDocument/2006/relationships/hyperlink" Target="http://www.sec.gov/Archives/edgar/data/1581990/000110465916158356/a16-21845_1ex3d3.htm" TargetMode="External"/><Relationship Id="rId82" Type="http://schemas.openxmlformats.org/officeDocument/2006/relationships/hyperlink" Target="http://www.sec.gov/Archives/edgar/data/1581990/000110465916158356/a16-21845_1ex3d4.htm" TargetMode="External"/><Relationship Id="rId83" Type="http://schemas.openxmlformats.org/officeDocument/2006/relationships/hyperlink" Target="http://www.sec.gov/Archives/edgar/data/1581990/000110465918060012/a18-36197_1ex3d1.htm" TargetMode="External"/><Relationship Id="rId84" Type="http://schemas.openxmlformats.org/officeDocument/2006/relationships/hyperlink" Target="http://www.sec.gov/Archives/edgar/data/1581990/000110465919032813/a19-10857_1ex3d1.htm" TargetMode="External"/><Relationship Id="rId85" Type="http://schemas.openxmlformats.org/officeDocument/2006/relationships/hyperlink" Target="http://www.sec.gov/Archives/edgar/data/1070423/000095012908000071/h52770exv3w3.htm" TargetMode="External"/><Relationship Id="rId86" Type="http://schemas.openxmlformats.org/officeDocument/2006/relationships/hyperlink" Target="http://www.sec.gov/Archives/edgar/data/1070423/000089924302002834/dex41.txt" TargetMode="External"/><Relationship Id="rId87" Type="http://schemas.openxmlformats.org/officeDocument/2006/relationships/hyperlink" Target="http://www.sec.gov/Archives/edgar/data/1070423/000110465906034368/a06-11663_1ex4d1.htm" TargetMode="External"/><Relationship Id="rId88" Type="http://schemas.openxmlformats.org/officeDocument/2006/relationships/hyperlink" Target="http://www.sec.gov/Archives/edgar/data/1070423/000095012906009235/h40667exv4w2.htm" TargetMode="External"/><Relationship Id="rId89" Type="http://schemas.openxmlformats.org/officeDocument/2006/relationships/hyperlink" Target="http://www.sec.gov/Archives/edgar/data/1070423/000119312512132295/d321017dex43.htm" TargetMode="External"/><Relationship Id="rId91" Type="http://schemas.openxmlformats.org/officeDocument/2006/relationships/hyperlink" Target="http://www.sec.gov/Archives/edgar/data/1070423/000119312512499932/d453762dex41.htm" TargetMode="External"/><Relationship Id="rId92" Type="http://schemas.openxmlformats.org/officeDocument/2006/relationships/hyperlink" Target="http://www.sec.gov/Archives/edgar/data/1070423/000119312512499932/d453762dex43.htm" TargetMode="External"/><Relationship Id="rId93" Type="http://schemas.openxmlformats.org/officeDocument/2006/relationships/hyperlink" Target="http://www.sec.gov/Archives/edgar/data/1070423/000119312513336066/d581734dex41.htm" TargetMode="External"/><Relationship Id="rId94" Type="http://schemas.openxmlformats.org/officeDocument/2006/relationships/hyperlink" Target="http://www.sec.gov/Archives/edgar/data/1581990/000119312514164185/d717953dex41.htm" TargetMode="External"/><Relationship Id="rId95" Type="http://schemas.openxmlformats.org/officeDocument/2006/relationships/hyperlink" Target="http://www.sec.gov/Archives/edgar/data/1581990/000119312514338295/d787197dex41.htm" TargetMode="External"/><Relationship Id="rId96" Type="http://schemas.openxmlformats.org/officeDocument/2006/relationships/hyperlink" Target="http://www.sec.gov/Archives/edgar/data/1581990/000119312514440012/d835488dex43.htm" TargetMode="External"/><Relationship Id="rId97" Type="http://schemas.openxmlformats.org/officeDocument/2006/relationships/hyperlink" Target="http://www.sec.gov/Archives/edgar/data/1070423/000119312515302829/d45393dex41.htm" TargetMode="External"/><Relationship Id="rId98" Type="http://schemas.openxmlformats.org/officeDocument/2006/relationships/hyperlink" Target="http://www.sec.gov/Archives/edgar/data/1070423/000110465916159593/a16-22232_1ex4d1.htm" TargetMode="External"/><Relationship Id="rId99" Type="http://schemas.openxmlformats.org/officeDocument/2006/relationships/hyperlink" Target="http://www.sec.gov/Archives/edgar/data/1070423/000141057819001281/tv529555_ex4-1.htm" TargetMode="External"/><Relationship Id="rId100" Type="http://schemas.openxmlformats.org/officeDocument/2006/relationships/hyperlink" Target="http://www.sec.gov/Archives/edgar/data/1070423/000110465920072270/tm2022235d1_ex4-1.htm" TargetMode="External"/><Relationship Id="rId101" Type="http://schemas.openxmlformats.org/officeDocument/2006/relationships/hyperlink" Target="http://www.sec.gov/Archives/edgar/data/1581990/000110465913078057/a13-22338_2ex4d1.htm" TargetMode="External"/><Relationship Id="rId102" Type="http://schemas.openxmlformats.org/officeDocument/2006/relationships/hyperlink" Target="https://www.sec.gov/Archives/edgar/data/1581990/000158199022000006/pagp202110-kexhibit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2022-05-10T05:24:43Z</dcterms:created>
  <dcterms:modified xsi:type="dcterms:W3CDTF">2022-05-10T05:24:43Z</dcterms:modified>
</cp:coreProperties>
</file>