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10"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5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10"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7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8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00" w:lineRule="exact"/>
        <w:rPr>
          <w:sz w:val="24"/>
          <w:szCs w:val="24"/>
          <w:color w:val="auto"/>
        </w:rPr>
      </w:pPr>
    </w:p>
    <w:p>
      <w:pPr>
        <w:sectPr>
          <w:pgSz w:w="11900" w:h="16838" w:orient="portrait"/>
          <w:cols w:equalWidth="0" w:num="2">
            <w:col w:w="6620" w:space="720"/>
            <w:col w:w="3840"/>
          </w:cols>
          <w:pgMar w:left="320" w:top="233" w:right="399" w:bottom="1440" w:gutter="0" w:footer="0" w:header="0"/>
          <w:type w:val="continuous"/>
        </w:sectPr>
      </w:pPr>
    </w:p>
    <w:p>
      <w:pPr>
        <w:spacing w:after="0" w:line="6"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May 1, 2023, there were 194,407,642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35"/>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5"/>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6"/>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rPr>
              <w:t>Condensed Consolidated Balance Sheets: As of March 31, 2023 and December 31,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w w:val="99"/>
              </w:rPr>
              <w:t>Condensed Consolidated Statements of Comprehensive Income/(Loss): For the three months ended March 31,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w w:val="90"/>
              </w:rPr>
              <w:t>Condensed Consolidated Statements of Changes in Accumulated Other Comprehensive Income/(Loss): For the three months ended March</w:t>
            </w:r>
          </w:p>
        </w:tc>
        <w:tc>
          <w:tcPr>
            <w:tcW w:w="10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31, 2023 and 2022</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Arial" w:cs="Arial" w:eastAsia="Arial" w:hAnsi="Arial"/>
                <w:sz w:val="18"/>
                <w:szCs w:val="18"/>
                <w:color w:val="0000FF"/>
              </w:rPr>
              <w:t>Condensed Consolidated Statements of Changes in Partners’ Capital: For the three months ended March 31, 2023 and 2022</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88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118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1.</w:t>
            </w:r>
          </w:p>
        </w:tc>
        <w:tc>
          <w:tcPr>
            <w:tcW w:w="4200" w:type="dxa"/>
            <w:vAlign w:val="bottom"/>
            <w:gridSpan w:val="20"/>
          </w:tcPr>
          <w:p>
            <w:pPr>
              <w:ind w:left="20"/>
              <w:spacing w:after="0"/>
              <w:rPr>
                <w:sz w:val="20"/>
                <w:szCs w:val="20"/>
                <w:color w:val="auto"/>
              </w:rPr>
            </w:pPr>
            <w:r>
              <w:rPr>
                <w:rFonts w:ascii="Arial" w:cs="Arial" w:eastAsia="Arial" w:hAnsi="Arial"/>
                <w:sz w:val="18"/>
                <w:szCs w:val="18"/>
                <w:color w:val="0000FF"/>
                <w:w w:val="90"/>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2.</w:t>
            </w:r>
          </w:p>
        </w:tc>
        <w:tc>
          <w:tcPr>
            <w:tcW w:w="4200" w:type="dxa"/>
            <w:vAlign w:val="bottom"/>
            <w:gridSpan w:val="20"/>
          </w:tcPr>
          <w:p>
            <w:pPr>
              <w:ind w:left="20"/>
              <w:spacing w:after="0"/>
              <w:rPr>
                <w:sz w:val="20"/>
                <w:szCs w:val="20"/>
                <w:color w:val="auto"/>
              </w:rPr>
            </w:pPr>
            <w:r>
              <w:rPr>
                <w:rFonts w:ascii="Arial" w:cs="Arial" w:eastAsia="Arial" w:hAnsi="Arial"/>
                <w:sz w:val="18"/>
                <w:szCs w:val="18"/>
                <w:color w:val="0000FF"/>
              </w:rPr>
              <w:t>Revenues and Accounts Receivable</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79"/>
              </w:rPr>
              <w:t>3.</w:t>
            </w:r>
          </w:p>
        </w:tc>
        <w:tc>
          <w:tcPr>
            <w:tcW w:w="222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88"/>
              </w:rPr>
              <w:t>Net Income Per Class A Share</w:t>
            </w:r>
          </w:p>
        </w:tc>
        <w:tc>
          <w:tcPr>
            <w:tcW w:w="38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4.</w:t>
            </w:r>
          </w:p>
        </w:tc>
        <w:tc>
          <w:tcPr>
            <w:tcW w:w="322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4"/>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5.</w:t>
            </w:r>
          </w:p>
        </w:tc>
        <w:tc>
          <w:tcPr>
            <w:tcW w:w="3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9"/>
              </w:rPr>
              <w:t>Debt</w:t>
            </w:r>
          </w:p>
        </w:tc>
        <w:tc>
          <w:tcPr>
            <w:tcW w:w="9340" w:type="dxa"/>
            <w:vAlign w:val="bottom"/>
            <w:gridSpan w:val="3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6.</w:t>
            </w:r>
          </w:p>
        </w:tc>
        <w:tc>
          <w:tcPr>
            <w:tcW w:w="258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2"/>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7.</w:t>
            </w:r>
          </w:p>
        </w:tc>
        <w:tc>
          <w:tcPr>
            <w:tcW w:w="3280" w:type="dxa"/>
            <w:vAlign w:val="bottom"/>
            <w:tcBorders>
              <w:bottom w:val="single" w:sz="8" w:color="0000FF"/>
            </w:tcBorders>
            <w:gridSpan w:val="18"/>
          </w:tcPr>
          <w:p>
            <w:pPr>
              <w:ind w:left="20"/>
              <w:spacing w:after="0"/>
              <w:rPr>
                <w:sz w:val="20"/>
                <w:szCs w:val="20"/>
                <w:color w:val="auto"/>
              </w:rPr>
            </w:pPr>
            <w:r>
              <w:rPr>
                <w:rFonts w:ascii="Arial" w:cs="Arial" w:eastAsia="Arial" w:hAnsi="Arial"/>
                <w:sz w:val="18"/>
                <w:szCs w:val="18"/>
                <w:color w:val="0000FF"/>
                <w:w w:val="92"/>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8.</w:t>
            </w:r>
          </w:p>
        </w:tc>
        <w:tc>
          <w:tcPr>
            <w:tcW w:w="9720" w:type="dxa"/>
            <w:vAlign w:val="bottom"/>
            <w:gridSpan w:val="31"/>
          </w:tcPr>
          <w:p>
            <w:pPr>
              <w:ind w:left="20"/>
              <w:spacing w:after="0"/>
              <w:rPr>
                <w:sz w:val="20"/>
                <w:szCs w:val="20"/>
                <w:color w:val="auto"/>
              </w:rPr>
            </w:pPr>
            <w:r>
              <w:rPr>
                <w:rFonts w:ascii="Arial" w:cs="Arial" w:eastAsia="Arial" w:hAnsi="Arial"/>
                <w:sz w:val="18"/>
                <w:szCs w:val="18"/>
                <w:color w:val="0000FF"/>
              </w:rPr>
              <w:t>Related Party Transactions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9.</w:t>
            </w:r>
          </w:p>
        </w:tc>
        <w:tc>
          <w:tcPr>
            <w:tcW w:w="9720" w:type="dxa"/>
            <w:vAlign w:val="bottom"/>
            <w:gridSpan w:val="31"/>
          </w:tcPr>
          <w:p>
            <w:pPr>
              <w:ind w:left="20"/>
              <w:spacing w:after="0"/>
              <w:rPr>
                <w:sz w:val="20"/>
                <w:szCs w:val="20"/>
                <w:color w:val="auto"/>
              </w:rPr>
            </w:pPr>
            <w:r>
              <w:rPr>
                <w:rFonts w:ascii="Arial" w:cs="Arial" w:eastAsia="Arial" w:hAnsi="Arial"/>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90"/>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2"/>
          </w:tcPr>
          <w:p>
            <w:pPr>
              <w:ind w:left="20"/>
              <w:spacing w:after="0"/>
              <w:rPr>
                <w:sz w:val="20"/>
                <w:szCs w:val="20"/>
                <w:color w:val="auto"/>
              </w:rPr>
            </w:pPr>
            <w:r>
              <w:rPr>
                <w:rFonts w:ascii="Arial" w:cs="Arial" w:eastAsia="Arial" w:hAnsi="Arial"/>
                <w:sz w:val="18"/>
                <w:szCs w:val="18"/>
                <w:color w:val="0000FF"/>
              </w:rPr>
              <w:t>11. Divestitures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6"/>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7"/>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3"/>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5"/>
          </w:tcPr>
          <w:p>
            <w:pPr>
              <w:spacing w:after="0"/>
              <w:rPr>
                <w:sz w:val="20"/>
                <w:szCs w:val="20"/>
                <w:color w:val="auto"/>
              </w:rPr>
            </w:pPr>
            <w:r>
              <w:rPr>
                <w:rFonts w:ascii="Arial" w:cs="Arial" w:eastAsia="Arial" w:hAnsi="Arial"/>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4"/>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4"/>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Arial" w:cs="Arial" w:eastAsia="Arial" w:hAnsi="Arial"/>
                <w:sz w:val="18"/>
                <w:szCs w:val="18"/>
                <w:color w:val="0000FF"/>
              </w:rPr>
              <w:t>Item 5. OTHER INFORMATION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SIGNATURES</w:t>
            </w:r>
          </w:p>
        </w:tc>
        <w:tc>
          <w:tcPr>
            <w:tcW w:w="8820" w:type="dxa"/>
            <w:vAlign w:val="bottom"/>
            <w:gridSpan w:val="2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3,907</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729</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5,358</w:t>
            </w:r>
          </w:p>
        </w:tc>
      </w:tr>
      <w:tr>
        <w:trPr>
          <w:trHeight w:val="94"/>
        </w:trPr>
        <w:tc>
          <w:tcPr>
            <w:tcW w:w="8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20,055</w:t>
            </w: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(4,802)</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15,253</w:t>
            </w:r>
          </w:p>
        </w:tc>
      </w:tr>
      <w:tr>
        <w:trPr>
          <w:trHeight w:val="94"/>
        </w:trPr>
        <w:tc>
          <w:tcPr>
            <w:tcW w:w="8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2,145</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Linefill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961</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28,739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4,045</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1,159</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w:t>
            </w:r>
          </w:p>
        </w:tc>
      </w:tr>
      <w:tr>
        <w:trPr>
          <w:trHeight w:val="95"/>
        </w:trPr>
        <w:tc>
          <w:tcPr>
            <w:tcW w:w="8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8,676</w:t>
            </w:r>
          </w:p>
        </w:tc>
      </w:tr>
      <w:tr>
        <w:trPr>
          <w:trHeight w:val="95"/>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(194,407,642 and 194,407,642 shares outstanding, respectively)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1,524</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13,114</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14,638</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5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194"/>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r>
      <w:tr>
        <w:trPr>
          <w:trHeight w:val="23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13,381</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13,694</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13,403</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$2 and $1,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42"/>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PAGP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162"/>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Class A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26"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194"/>
        </w:trPr>
        <w:tc>
          <w:tcPr>
            <w:tcW w:w="8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6"/>
                <w:szCs w:val="16"/>
                <w:color w:val="auto"/>
              </w:rPr>
            </w:pPr>
          </w:p>
        </w:tc>
      </w:tr>
      <w:tr>
        <w:trPr>
          <w:trHeight w:val="23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PAGP</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period activity</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2022</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7)</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purchases of linefill</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 under PAA commercial paper program (Note 5)</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Repayments of PAA senior notes (Note 5)</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units by a subsidiary</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Class A shareholders (Note 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noncontrolling interests (Note 6)</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196"/>
        </w:trPr>
        <w:tc>
          <w:tcPr>
            <w:tcW w:w="8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paid/(received) for: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units by a subsidiary</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March 31, 2023,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March 31, 2023, we owned an approximate 81% limited partner interest in Plains AAP L.P. (“AAP”) through our ownership of approximately 194.4 million Class A units of AAP (“AAP Units”). We also own a 100% managing member interest in Plains All American GP LLC (“GP LLC”), a Delaware limited liability company that holds the non-economic general partner interest in AAP. AAP is a Delaware limited partnership that, as of March 31, 2023, directly owned a limited partner interest in PAA through its ownership of approximately 240.8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spacing w:after="0" w:line="21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2022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months ended March 31,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0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the exception of a deferred tax asset of $1.278 billion and $1.309 billion as of March 31, 2023 and December 31,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assets and liabilities presented on PAGP’s Condensed Consolidated Balance Sheets are those of PAA. Only the assets of each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 can be used to settle the obligations of that individual VIE, and the creditors of each/either of those VIEs do not have recourse against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of PAGP. PAGP did not provide any financial support to PAA or AAP during the three months ended March 31, 2023 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See Note 17 to our Consolidated Financial Statements included in Part IV of our 2022 Annual Report on Form 10-K for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Omnibus Agreement entered into by the Plains Entities on November 15,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discussed in our 2022 Annual Report on Form 10-K, there have been no new accounting pronouncements that have become effective or have been issued during the three months ended March 31, 2023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2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12,857</w:t>
            </w:r>
          </w:p>
        </w:tc>
      </w:tr>
      <w:tr>
        <w:trPr>
          <w:trHeight w:val="229"/>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60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2023</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500" w:type="dxa"/>
            <w:vAlign w:val="bottom"/>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13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6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changes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6"/>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2023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6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2028 and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1"/>
        </w:trPr>
        <w:tc>
          <w:tcPr>
            <w:tcW w:w="43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7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4,141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88"/>
              </w:rPr>
              <w:t>4,141</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Arial" w:cs="Arial" w:eastAsia="Arial" w:hAnsi="Arial"/>
                <w:sz w:val="18"/>
                <w:szCs w:val="18"/>
                <w:color w:val="auto"/>
                <w:w w:val="88"/>
              </w:rPr>
              <w:t>6,912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Arial" w:cs="Arial" w:eastAsia="Arial" w:hAnsi="Arial"/>
                <w:sz w:val="18"/>
                <w:szCs w:val="18"/>
                <w:color w:val="auto"/>
                <w:w w:val="88"/>
              </w:rPr>
              <w:t>7,216</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4"/>
              </w:rPr>
              <w:t>(7,085)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color w:val="auto"/>
                <w:w w:val="94"/>
              </w:rPr>
              <w:t>(7,450)</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536"/>
              <w:spacing w:after="0"/>
              <w:rPr>
                <w:sz w:val="20"/>
                <w:szCs w:val="20"/>
                <w:color w:val="auto"/>
              </w:rPr>
            </w:pPr>
            <w:r>
              <w:rPr>
                <w:rFonts w:ascii="Arial" w:cs="Arial" w:eastAsia="Arial" w:hAnsi="Arial"/>
                <w:sz w:val="18"/>
                <w:szCs w:val="18"/>
                <w:color w:val="auto"/>
                <w:w w:val="88"/>
              </w:rPr>
              <w:t>3,968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576"/>
              <w:spacing w:after="0"/>
              <w:rPr>
                <w:sz w:val="20"/>
                <w:szCs w:val="20"/>
                <w:color w:val="auto"/>
              </w:rPr>
            </w:pPr>
            <w:r>
              <w:rPr>
                <w:rFonts w:ascii="Arial" w:cs="Arial" w:eastAsia="Arial" w:hAnsi="Arial"/>
                <w:sz w:val="18"/>
                <w:szCs w:val="18"/>
                <w:color w:val="auto"/>
                <w:w w:val="88"/>
              </w:rPr>
              <w:t>3,907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9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2022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2022 Annual Report on Form 10-K for information regarding PAGP LTIP awards.</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 weighted-average basis, for each of the three months ended March 31, 2023 and 2022, the possible exchange of 47 million AAP units would not have had a dilutive effect on basic net income per Class A share. For each of the three months ended March 31, 2023 and 2022, our PAGP LTIP awards were dilutive; however, this did not change the presentation of diluted weighted average Class A shares outstanding or diluted net income per Class A share.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28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85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540" w:type="dxa"/>
            <w:vAlign w:val="bottom"/>
          </w:tcPr>
          <w:p>
            <w:pPr>
              <w:ind w:left="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8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60"/>
              <w:spacing w:after="0" w:line="130"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30"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80"/>
              <w:spacing w:after="0" w:line="130"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30"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30"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1"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5,373</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15,459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58.67</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6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15"/>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PAA senior notes: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2.85% senior notes due January 2023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3.85% senior notes due October 2023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40"/>
              <w:spacing w:after="0"/>
              <w:rPr>
                <w:sz w:val="20"/>
                <w:szCs w:val="20"/>
                <w:color w:val="auto"/>
              </w:rPr>
            </w:pPr>
            <w:r>
              <w:rPr>
                <w:rFonts w:ascii="Arial" w:cs="Arial" w:eastAsia="Arial" w:hAnsi="Arial"/>
                <w:sz w:val="18"/>
                <w:szCs w:val="18"/>
                <w:color w:val="auto"/>
                <w:w w:val="90"/>
              </w:rPr>
              <w:t>Total short-term debt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senior notes, net of unamortized discounts and debt issuance costs of $45 and $46, respectively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80"/>
              <w:spacing w:after="0"/>
              <w:rPr>
                <w:sz w:val="20"/>
                <w:szCs w:val="20"/>
                <w:color w:val="auto"/>
              </w:rPr>
            </w:pPr>
            <w:r>
              <w:rPr>
                <w:rFonts w:ascii="Arial" w:cs="Arial" w:eastAsia="Arial" w:hAnsi="Arial"/>
                <w:sz w:val="18"/>
                <w:szCs w:val="18"/>
                <w:color w:val="auto"/>
                <w:w w:val="91"/>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2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redeemed on January 31, 2023.</w:t>
      </w:r>
    </w:p>
    <w:p>
      <w:pPr>
        <w:spacing w:after="0" w:line="117" w:lineRule="exact"/>
        <w:rPr>
          <w:sz w:val="20"/>
          <w:szCs w:val="20"/>
          <w:color w:val="auto"/>
        </w:rPr>
      </w:pPr>
    </w:p>
    <w:p>
      <w:pPr>
        <w:ind w:left="20" w:hanging="11"/>
        <w:spacing w:after="0" w:line="275" w:lineRule="auto"/>
        <w:rPr>
          <w:sz w:val="20"/>
          <w:szCs w:val="20"/>
          <w:color w:val="auto"/>
        </w:rPr>
      </w:pPr>
      <w:r>
        <w:rPr>
          <w:rFonts w:ascii="Arial" w:cs="Arial" w:eastAsia="Arial" w:hAnsi="Arial"/>
          <w:sz w:val="17"/>
          <w:szCs w:val="17"/>
          <w:color w:val="auto"/>
        </w:rPr>
        <w:t>PAA’s fixed-rate senior notes had a face value of approximately $8.0 billion and $8.4 billion as of March 31, 2023 and December 31, 2022, respectively. We estimated the aggregate fair value of these notes as of March 31, 2023 and December 31, 2022 to be approximately $7.3 billion and $7.6 billion, respectively. PAA’s fixed-rate senior notes are traded among institutions, and these trades are routinely published by a reporting service. Our determination of fair value is based on reported trading activity near the end of the reporting period. The fair value estimate for PAA’s senior notes is based upon observable market data and is classified in Level 2 of the fair value hierarchy.</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three months ended March 31, 2023 and 2022 were approximately $1.5 billion and $5.6 billion, respectively. Total repayments under the PAA credit facilities and commercial paper program were approximately $1.5 billion and $5.2 billion for the three months ended March 31, 2023 and 2022,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31, 2023, PAA redeemed its 2.85%, $400 million senior notes due January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2023 and December 31, 2022, we had outstanding letters of credit of $144 million and $102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194,407,642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46,205,947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528,442,538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 (2)</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388,839</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35,508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194,407,642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46,412,870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528,659,962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194,192,777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46,645,514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534,596,831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205,024</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Repurchase and cancellation of common units by a subsidiary under the Common Equity</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left="20" w:right="320" w:hanging="11"/>
        <w:spacing w:after="0" w:line="277" w:lineRule="auto"/>
        <w:rPr>
          <w:sz w:val="20"/>
          <w:szCs w:val="20"/>
          <w:color w:val="auto"/>
        </w:rPr>
      </w:pPr>
      <w:r>
        <w:rPr>
          <w:rFonts w:ascii="Arial" w:cs="Arial" w:eastAsia="Arial" w:hAnsi="Arial"/>
          <w:sz w:val="18"/>
          <w:szCs w:val="18"/>
          <w:color w:val="auto"/>
        </w:rPr>
        <w:t>See Note 12 to our Consolidated Financial Statements included in Part IV of our 2022 Annual Report on Form 10-K for information regarding conversions of AAP Management Units, Exchange Rights and Redemption Rights.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Following this conversion, no AAP Management Units remain outstanding.</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three months of 2023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9"/>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jc w:val="right"/>
              <w:ind w:right="63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140" w:type="dxa"/>
            <w:vAlign w:val="bottom"/>
            <w:gridSpan w:val="2"/>
            <w:vMerge w:val="continue"/>
          </w:tcPr>
          <w:p>
            <w:pPr>
              <w:spacing w:after="0"/>
              <w:rPr>
                <w:sz w:val="16"/>
                <w:szCs w:val="16"/>
                <w:color w:val="auto"/>
              </w:rPr>
            </w:pPr>
          </w:p>
        </w:tc>
        <w:tc>
          <w:tcPr>
            <w:tcW w:w="2060" w:type="dxa"/>
            <w:vAlign w:val="bottom"/>
          </w:tcPr>
          <w:p>
            <w:pPr>
              <w:jc w:val="right"/>
              <w:ind w:right="99"/>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5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9"/>
        </w:trPr>
        <w:tc>
          <w:tcPr>
            <w:tcW w:w="60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May 15,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February 14, 2023</w:t>
            </w:r>
          </w:p>
        </w:tc>
        <w:tc>
          <w:tcPr>
            <w:tcW w:w="2060" w:type="dxa"/>
            <w:vAlign w:val="bottom"/>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8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Payable to shareholders of record at the close of business on May 1, 2023 for the period from January 1, 2023 through March 31,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2023,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Plains Oryx Permian Basin LLC (the “Permian JV”), (iv) a 30% interest in Cactus II Pipeline LLC (“Cactus II”) and (v) a 33% interest in Red River Pipeline Company LLC (“Red River”).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PAA Series A Preferred Unit Distributions</w:t>
      </w:r>
      <w:r>
        <w:rPr>
          <w:rFonts w:ascii="Arial" w:cs="Arial" w:eastAsia="Arial" w:hAnsi="Arial"/>
          <w:sz w:val="17"/>
          <w:szCs w:val="17"/>
          <w:color w:val="auto"/>
        </w:rPr>
        <w:t>. After the fifth anniversary of the January 28, 2016 issuance date of PAA’s Series A preferred units,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to be paid in May 2023 will reflect a pro-rated amount of approximately $0.585 per unit. The following table details distributions to PAA’s Series A preferred unitholders paid during or pertaining to the first three months of 2023 (in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Arial" w:cs="Arial" w:eastAsia="Arial" w:hAnsi="Arial"/>
                <w:sz w:val="14"/>
                <w:szCs w:val="14"/>
                <w:b w:val="1"/>
                <w:bCs w:val="1"/>
                <w:color w:val="auto"/>
              </w:rPr>
              <w:t>Series A Preferred Unitholders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May 15,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February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40" w:hanging="652"/>
        <w:spacing w:after="0" w:line="267"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May 1, 2023 for the period from January 1, 2023 through March 31, 2023. At March 31, 2023,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accumulate and are payable quarterly in arrears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15th day of February, May, August and November. The following table details distributions paid or to be paid to PAA’s Series B preferred unitholders (in millions, except per unit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Arial" w:cs="Arial" w:eastAsia="Arial" w:hAnsi="Arial"/>
                <w:sz w:val="14"/>
                <w:szCs w:val="14"/>
                <w:b w:val="1"/>
                <w:bCs w:val="1"/>
                <w:color w:val="auto"/>
              </w:rPr>
              <w:t>Series B Preferred Unitholders</w:t>
            </w:r>
          </w:p>
        </w:tc>
        <w:tc>
          <w:tcPr>
            <w:tcW w:w="0" w:type="dxa"/>
            <w:vAlign w:val="bottom"/>
          </w:tcPr>
          <w:p>
            <w:pPr>
              <w:spacing w:after="0"/>
              <w:rPr>
                <w:sz w:val="1"/>
                <w:szCs w:val="1"/>
                <w:color w:val="auto"/>
              </w:rPr>
            </w:pPr>
          </w:p>
        </w:tc>
      </w:tr>
      <w:tr>
        <w:trPr>
          <w:trHeight w:val="26"/>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30" w:lineRule="exact"/>
              <w:rPr>
                <w:sz w:val="20"/>
                <w:szCs w:val="20"/>
                <w:color w:val="auto"/>
              </w:rPr>
            </w:pPr>
            <w:r>
              <w:rPr>
                <w:rFonts w:ascii="Arial" w:cs="Arial" w:eastAsia="Arial" w:hAnsi="Arial"/>
                <w:sz w:val="18"/>
                <w:szCs w:val="18"/>
                <w:color w:val="auto"/>
              </w:rPr>
              <w:t xml:space="preserve">May 15, 2023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February 15,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2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2023 for the period from February 15, 2023 through May 14, 2023. At</w:t>
      </w:r>
    </w:p>
    <w:p>
      <w:pPr>
        <w:spacing w:after="0" w:line="1" w:lineRule="exact"/>
        <w:rPr>
          <w:rFonts w:ascii="Arial" w:cs="Arial" w:eastAsia="Arial" w:hAnsi="Arial"/>
          <w:sz w:val="22"/>
          <w:szCs w:val="22"/>
          <w:color w:val="auto"/>
          <w:vertAlign w:val="superscript"/>
        </w:rPr>
      </w:pPr>
    </w:p>
    <w:p>
      <w:pPr>
        <w:ind w:left="660" w:right="20"/>
        <w:spacing w:after="0" w:line="258" w:lineRule="auto"/>
        <w:rPr>
          <w:rFonts w:ascii="Arial" w:cs="Arial" w:eastAsia="Arial" w:hAnsi="Arial"/>
          <w:sz w:val="22"/>
          <w:szCs w:val="22"/>
          <w:color w:val="auto"/>
          <w:vertAlign w:val="superscript"/>
        </w:rPr>
      </w:pPr>
      <w:r>
        <w:rPr>
          <w:rFonts w:ascii="Arial" w:cs="Arial" w:eastAsia="Arial" w:hAnsi="Arial"/>
          <w:sz w:val="18"/>
          <w:szCs w:val="18"/>
          <w:color w:val="auto"/>
        </w:rPr>
        <w:t>March 31, 2023, approximately $9 million of accrued distributions payable to PAA’s Series B preferred unitholders was included in “Other current liabilities” on our Condensed Consolidated Balance Sheet.</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2023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Cash Distribution per</w:t>
            </w:r>
          </w:p>
        </w:tc>
      </w:tr>
      <w:tr>
        <w:trPr>
          <w:trHeight w:val="196"/>
        </w:trPr>
        <w:tc>
          <w:tcPr>
            <w:tcW w:w="4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080" w:type="dxa"/>
            <w:vAlign w:val="bottom"/>
          </w:tcPr>
          <w:p>
            <w:pPr>
              <w:jc w:val="right"/>
              <w:ind w:right="39"/>
              <w:spacing w:after="0"/>
              <w:rPr>
                <w:sz w:val="20"/>
                <w:szCs w:val="20"/>
                <w:color w:val="auto"/>
              </w:rPr>
            </w:pPr>
            <w:r>
              <w:rPr>
                <w:rFonts w:ascii="Arial" w:cs="Arial" w:eastAsia="Arial" w:hAnsi="Arial"/>
                <w:sz w:val="14"/>
                <w:szCs w:val="14"/>
                <w:b w:val="1"/>
                <w:bCs w:val="1"/>
                <w:color w:val="auto"/>
              </w:rPr>
              <w:t>Public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4"/>
                <w:szCs w:val="14"/>
                <w:b w:val="1"/>
                <w:bCs w:val="1"/>
                <w:color w:val="auto"/>
              </w:rPr>
              <w:t>Common Unit</w:t>
            </w:r>
          </w:p>
        </w:tc>
      </w:tr>
      <w:tr>
        <w:trPr>
          <w:trHeight w:val="229"/>
        </w:trPr>
        <w:tc>
          <w:tcPr>
            <w:tcW w:w="40" w:type="dxa"/>
            <w:vAlign w:val="bottom"/>
          </w:tcPr>
          <w:p>
            <w:pPr>
              <w:spacing w:after="0"/>
              <w:rPr>
                <w:sz w:val="19"/>
                <w:szCs w:val="19"/>
                <w:color w:val="auto"/>
              </w:rPr>
            </w:pPr>
          </w:p>
        </w:tc>
        <w:tc>
          <w:tcPr>
            <w:tcW w:w="4400" w:type="dxa"/>
            <w:vAlign w:val="bottom"/>
            <w:tcBorders>
              <w:top w:val="single" w:sz="8" w:color="auto"/>
            </w:tcBorders>
            <w:gridSpan w:val="2"/>
            <w:shd w:val="clear" w:color="auto" w:fill="CCEEFF"/>
          </w:tcPr>
          <w:p>
            <w:pPr>
              <w:spacing w:after="0" w:line="229" w:lineRule="exact"/>
              <w:rPr>
                <w:sz w:val="20"/>
                <w:szCs w:val="20"/>
                <w:color w:val="auto"/>
              </w:rPr>
            </w:pPr>
            <w:r>
              <w:rPr>
                <w:rFonts w:ascii="Arial" w:cs="Arial" w:eastAsia="Arial" w:hAnsi="Arial"/>
                <w:sz w:val="18"/>
                <w:szCs w:val="18"/>
                <w:color w:val="auto"/>
              </w:rPr>
              <w:t xml:space="preserve">May 15, 2023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0.2675</w:t>
            </w:r>
          </w:p>
        </w:tc>
      </w:tr>
      <w:tr>
        <w:trPr>
          <w:trHeight w:val="229"/>
        </w:trPr>
        <w:tc>
          <w:tcPr>
            <w:tcW w:w="4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February 14, 2023</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0.2675</w:t>
            </w:r>
          </w:p>
        </w:tc>
      </w:tr>
      <w:tr>
        <w:trPr>
          <w:trHeight w:val="176"/>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2023 for the period from January 1, 2023 through March 31, 2023.</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three months of 2023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6"/>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7"/>
                <w:szCs w:val="17"/>
                <w:color w:val="auto"/>
              </w:rPr>
            </w:pPr>
          </w:p>
        </w:tc>
        <w:tc>
          <w:tcPr>
            <w:tcW w:w="172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Noncontrolling Interests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7"/>
                <w:szCs w:val="17"/>
                <w:color w:val="auto"/>
              </w:rPr>
            </w:pPr>
          </w:p>
        </w:tc>
        <w:tc>
          <w:tcPr>
            <w:tcW w:w="17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9"/>
        </w:trPr>
        <w:tc>
          <w:tcPr>
            <w:tcW w:w="5240" w:type="dxa"/>
            <w:vAlign w:val="bottom"/>
            <w:tcBorders>
              <w:top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May 15, 2023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February 14,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2023 for the period from January 1, 2023 through March 31, 2023.</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Consolidated Joint Venture Distributions. </w:t>
      </w:r>
      <w:r>
        <w:rPr>
          <w:rFonts w:ascii="Arial" w:cs="Arial" w:eastAsia="Arial" w:hAnsi="Arial"/>
          <w:sz w:val="18"/>
          <w:szCs w:val="18"/>
          <w:color w:val="auto"/>
        </w:rPr>
        <w:t>The following table details distributions paid to noncontrolling interests of consolidated joint ventures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periods presented (in millions):</w:t>
      </w:r>
    </w:p>
    <w:p>
      <w:pPr>
        <w:spacing w:after="0" w:line="229"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Permian JV</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Cactus II </w:t>
            </w:r>
            <w:r>
              <w:rPr>
                <w:rFonts w:ascii="Arial" w:cs="Arial" w:eastAsia="Arial" w:hAnsi="Arial"/>
                <w:sz w:val="23"/>
                <w:szCs w:val="23"/>
                <w:color w:val="auto"/>
                <w:vertAlign w:val="superscript"/>
              </w:rPr>
              <w:t>(1)</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River</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8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3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175" w:lineRule="exact"/>
        <w:rPr>
          <w:sz w:val="20"/>
          <w:szCs w:val="20"/>
          <w:color w:val="auto"/>
        </w:rPr>
      </w:pPr>
    </w:p>
    <w:p>
      <w:pPr>
        <w:ind w:left="660" w:right="160" w:hanging="652"/>
        <w:spacing w:after="0" w:line="269"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the normal course of our operations, we purchase and sell commodities. We use derivatives to manage the associated risks and to optimize profits. As of March 31, 2023, net derivative positions related to these activities included:</w:t>
      </w:r>
    </w:p>
    <w:p>
      <w:pPr>
        <w:spacing w:after="0" w:line="170" w:lineRule="exact"/>
        <w:rPr>
          <w:sz w:val="20"/>
          <w:szCs w:val="20"/>
          <w:color w:val="auto"/>
        </w:rPr>
      </w:pPr>
    </w:p>
    <w:p>
      <w:pPr>
        <w:ind w:left="980" w:right="3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4.8 million barrels associated with our crude oil purchases, which was unwound ratably during April 2023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5.3 million barrels, which hedges a portion of our anticipated crude oil lease gathering purchases through December 2024.</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crude oil basis spread position of 5.1 million barrels at multiple locations through December 2024.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position of 14.3 million barrels through June 2024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6"/>
        </w:trPr>
        <w:tc>
          <w:tcPr>
            <w:tcW w:w="67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56.0 Bcf</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(10.6)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(1.0)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(0.7)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5.7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2024</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2.0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9"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71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25"/>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from commodity derivative activity</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20" w:type="dxa"/>
        <w:tblCellMar>
          <w:top w:w="0" w:type="dxa"/>
          <w:left w:w="0" w:type="dxa"/>
          <w:bottom w:w="0" w:type="dxa"/>
          <w:right w:w="0" w:type="dxa"/>
        </w:tblCellMar>
      </w:tblP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10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83"/>
        </w:trPr>
        <w:tc>
          <w:tcPr>
            <w:tcW w:w="8580" w:type="dxa"/>
            <w:vAlign w:val="bottom"/>
          </w:tcPr>
          <w:p>
            <w:pPr>
              <w:ind w:left="20"/>
              <w:spacing w:after="0"/>
              <w:rPr>
                <w:sz w:val="20"/>
                <w:szCs w:val="20"/>
                <w:color w:val="auto"/>
              </w:rPr>
            </w:pPr>
            <w:r>
              <w:rPr>
                <w:rFonts w:ascii="Arial" w:cs="Arial" w:eastAsia="Arial" w:hAnsi="Arial"/>
                <w:sz w:val="18"/>
                <w:szCs w:val="18"/>
                <w:color w:val="auto"/>
              </w:rPr>
              <w:t>Variation margin returned</w:t>
            </w:r>
          </w:p>
        </w:tc>
        <w:tc>
          <w:tcPr>
            <w:tcW w:w="200" w:type="dxa"/>
            <w:vAlign w:val="bottom"/>
          </w:tcPr>
          <w:p>
            <w:pPr>
              <w:spacing w:after="0"/>
              <w:rPr>
                <w:sz w:val="24"/>
                <w:szCs w:val="24"/>
                <w:color w:val="auto"/>
              </w:rPr>
            </w:pPr>
          </w:p>
        </w:tc>
        <w:tc>
          <w:tcPr>
            <w:tcW w:w="1060" w:type="dxa"/>
            <w:vAlign w:val="bottom"/>
          </w:tcPr>
          <w:p>
            <w:pPr>
              <w:jc w:val="center"/>
              <w:ind w:left="636"/>
              <w:spacing w:after="0"/>
              <w:rPr>
                <w:sz w:val="20"/>
                <w:szCs w:val="20"/>
                <w:color w:val="auto"/>
              </w:rPr>
            </w:pPr>
            <w:r>
              <w:rPr>
                <w:rFonts w:ascii="Arial" w:cs="Arial" w:eastAsia="Arial" w:hAnsi="Arial"/>
                <w:sz w:val="18"/>
                <w:szCs w:val="18"/>
                <w:color w:val="auto"/>
                <w:w w:val="93"/>
              </w:rPr>
              <w:t>(85)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93"/>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636"/>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5" w:lineRule="exact"/>
              <w:rPr>
                <w:sz w:val="20"/>
                <w:szCs w:val="20"/>
                <w:color w:val="auto"/>
              </w:rPr>
            </w:pPr>
            <w:r>
              <w:rPr>
                <w:rFonts w:ascii="Arial" w:cs="Arial" w:eastAsia="Arial" w:hAnsi="Arial"/>
                <w:sz w:val="14"/>
                <w:szCs w:val="14"/>
                <w:b w:val="1"/>
                <w:bCs w:val="1"/>
                <w:color w:val="auto"/>
                <w:w w:val="91"/>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417"/>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3"/>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2023 (notional amounts in millions):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Derivatives Employed</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Termination Date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5"/>
        </w:trPr>
        <w:tc>
          <w:tcPr>
            <w:tcW w:w="274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4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0.74 %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March 31, 2023, there was a net loss of $110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March 31, 2023;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71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6" w:lineRule="exact"/>
        <w:rPr>
          <w:sz w:val="20"/>
          <w:szCs w:val="20"/>
          <w:color w:val="auto"/>
        </w:rPr>
      </w:pPr>
    </w:p>
    <w:p>
      <w:pPr>
        <w:ind w:left="9080"/>
        <w:spacing w:after="0"/>
        <w:tabs>
          <w:tab w:leader="none" w:pos="104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50" w:lineRule="exact"/>
        <w:rPr>
          <w:sz w:val="20"/>
          <w:szCs w:val="20"/>
          <w:color w:val="auto"/>
        </w:rPr>
      </w:pPr>
    </w:p>
    <w:p>
      <w:pPr>
        <w:ind w:left="40"/>
        <w:spacing w:after="0"/>
        <w:tabs>
          <w:tab w:leader="none" w:pos="8600" w:val="left"/>
          <w:tab w:leader="none" w:pos="9600" w:val="left"/>
          <w:tab w:leader="none" w:pos="1096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  $</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At March 31, 2023, the net fair value of our interest rate hedges, which were included in “Other current assets” and “Other long-term assets, net” on our Condensed Consolidated Balance Sheet, totaled $71 million and $44 million, respectively. At December 31, 2022, the net fair value of these hedges totaled $75 million and $45 million, which were included in “Other current assets” and “Other long-term assets, net,”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March 31, 2023, we recognized a gain of $58 million and for the three months ended March 31, 2022, we recognized a loss of $44 million. See Note 6 for additional information regarding the Preferred Distribution Rate Reset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20" w:type="dxa"/>
            <w:vAlign w:val="bottom"/>
          </w:tcPr>
          <w:p>
            <w:pPr>
              <w:spacing w:after="0"/>
              <w:rPr>
                <w:sz w:val="16"/>
                <w:szCs w:val="16"/>
                <w:color w:val="auto"/>
              </w:rPr>
            </w:pPr>
          </w:p>
        </w:tc>
        <w:tc>
          <w:tcPr>
            <w:tcW w:w="2540" w:type="dxa"/>
            <w:vAlign w:val="bottom"/>
            <w:gridSpan w:val="9"/>
          </w:tcPr>
          <w:p>
            <w:pPr>
              <w:jc w:val="right"/>
              <w:spacing w:after="0"/>
              <w:rPr>
                <w:sz w:val="20"/>
                <w:szCs w:val="20"/>
                <w:color w:val="auto"/>
              </w:rPr>
            </w:pPr>
            <w:r>
              <w:rPr>
                <w:rFonts w:ascii="Arial" w:cs="Arial" w:eastAsia="Arial" w:hAnsi="Arial"/>
                <w:sz w:val="14"/>
                <w:szCs w:val="14"/>
                <w:b w:val="1"/>
                <w:bCs w:val="1"/>
                <w:color w:val="auto"/>
              </w:rPr>
              <w:t>Fair Value as of March 31, 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9"/>
          </w:tcPr>
          <w:p>
            <w:pPr>
              <w:ind w:left="420"/>
              <w:spacing w:after="0"/>
              <w:rPr>
                <w:sz w:val="20"/>
                <w:szCs w:val="20"/>
                <w:color w:val="auto"/>
              </w:rPr>
            </w:pPr>
            <w:r>
              <w:rPr>
                <w:rFonts w:ascii="Arial" w:cs="Arial" w:eastAsia="Arial" w:hAnsi="Arial"/>
                <w:sz w:val="14"/>
                <w:szCs w:val="14"/>
                <w:b w:val="1"/>
                <w:bCs w:val="1"/>
                <w:color w:val="auto"/>
                <w:w w:val="91"/>
              </w:rPr>
              <w:t>Fair Value as of December 31, 2022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44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86"/>
              </w:rPr>
              <w:t>222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center"/>
              <w:ind w:left="34"/>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Distribution Rate Reset Option</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(189)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center"/>
              <w:ind w:left="34"/>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170"/>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4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96" w:lineRule="auto"/>
        <w:rPr>
          <w:sz w:val="20"/>
          <w:szCs w:val="20"/>
          <w:color w:val="auto"/>
        </w:rPr>
      </w:pPr>
      <w:r>
        <w:rPr>
          <w:rFonts w:ascii="Arial" w:cs="Arial" w:eastAsia="Arial" w:hAnsi="Arial"/>
          <w:sz w:val="16"/>
          <w:szCs w:val="16"/>
          <w:color w:val="auto"/>
        </w:rPr>
        <w:t>Level 3 of the fair value hierarchy includes the Preferred Distribution Rate Reset Option contained in PAA’s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29"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5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58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6"/>
        </w:trPr>
        <w:tc>
          <w:tcPr>
            <w:tcW w:w="8580" w:type="dxa"/>
            <w:vAlign w:val="bottom"/>
          </w:tcPr>
          <w:p>
            <w:pPr>
              <w:ind w:left="20"/>
              <w:spacing w:after="0" w:line="176" w:lineRule="exact"/>
              <w:rPr>
                <w:sz w:val="20"/>
                <w:szCs w:val="20"/>
                <w:color w:val="auto"/>
              </w:rPr>
            </w:pPr>
            <w:r>
              <w:rPr>
                <w:rFonts w:ascii="Arial" w:cs="Arial" w:eastAsia="Arial" w:hAnsi="Arial"/>
                <w:sz w:val="18"/>
                <w:szCs w:val="18"/>
                <w:color w:val="auto"/>
                <w:w w:val="95"/>
              </w:rPr>
              <w:t>Change in unrealized gains/(losses) included in earnings relating to Level 3 derivatives still held at the end of the</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period</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2022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During the three months ended March 31, 2023 and 2022,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8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176"/>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both March 31, 2023 and December 31, 2022, our estimated undiscounted reserve for environmental liabilities (excluding liabilities related to the Line 901 incident, as discussed further below) totaled $55 million, of which $10 million was classified as short-term and $45 million was classified as long-term for each period. Such short-term liabilities are reflected in “Other current liabilities” and long-term liabilities are reflected in “Other long-term liabilities and deferred credits” on our Condensed Consolidated Balance Sheets. At March 31, 2023 and December 31, 2022, we had recorded receivables (excluding receivables related to the Line 901 incident) totaling $6 million and $4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1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In the first proceeding, the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joined this proceeding as a co-defendant with respect to its interest in such acquired pipelines.</w:t>
      </w:r>
    </w:p>
    <w:p>
      <w:pPr>
        <w:spacing w:after="0" w:line="1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2022, in order to fully and finally resolve all claims and litigation for both classes, we reached an agreement to settle this case in exchange for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 of $230 million (the “Class Action Settlement”). The Class Action Settlement was formally approved by the trial court on September 20, 2022,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we made the $230 million settlement payment on October 27, 2022. Plains formally submitted claims for reimbursement of the Class Action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Settlement to our insurance carriers on November 7, 2022. To date, we have received payment of approximately $3.6 million from one insurer, which</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final payment obligation of such insurer and brings the total amount collected from all insurers under such program to $275 million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$500 million policy limits as of March 31, 2023. Insurers responsible for $185 million of the remaining $225 million of coverage formally communicated 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denial of coverage for the Class Action Settlement generally alleging that some or all damages encompassed by the Class Action Settlement are not</w:t>
      </w:r>
    </w:p>
    <w:p>
      <w:pPr>
        <w:spacing w:after="0"/>
        <w:rPr>
          <w:sz w:val="20"/>
          <w:szCs w:val="20"/>
          <w:color w:val="auto"/>
        </w:rPr>
      </w:pPr>
      <w:r>
        <w:rPr>
          <w:rFonts w:ascii="Arial" w:cs="Arial" w:eastAsia="Arial" w:hAnsi="Arial"/>
          <w:sz w:val="16"/>
          <w:szCs w:val="16"/>
          <w:color w:val="auto"/>
        </w:rPr>
        <w:t>covered by their policies and that all or some portion of the $275 million for which Plains has already received insurance reimbursement does not properly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exhaust the underlying policies that paid those sums. The insurer responsible for the final $40 million of coverage under such insurance program has not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yet responded to our reimbursement demand. We have initiated arbitration proceedings against the insurers responsible for $175 million of coverage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intend to vigorously pursue recovery from our insurers of all amounts for which we have claimed reimbursement. We believe that our claim for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reimbursement from our insurers of the Class Action Settlement payment is strong and that our ultimate recovery of such amounts is probable. Our belief 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based on: (i) our analysis of the terms of the underlying insurance policies as applied to the facts and circumstances that comprise our claim for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reimbursement, (ii) our experience with the cost submissions and timely collection of claims for the $275 million collected to date for this incident under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same insurance program as the denied claims, including from some of the same insurers who are now denying claims, (iii) our extensive legal review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assessment of the insurer’s claimed basis for denial of coverage, which review and assessment includes the advice of external legal counsel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experienced in these type of matters and solidly supports our belief that our insurers are required to provide coverage based on the terms of the policies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nature of our claims, and (iv) the financial strength of the insurance carriers as determined by an independent credit ratings agency. Various factors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could impact the timing and amount of recovery of our insurance receivable, including future developments that adversely impact our assessment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strength of our coverage claims, the outcome of any dispute resolution proceedings with respect to our coverage claims and the extent to which insurers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may become insolvent in the future. An unfavorable resolution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March 31,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During the three months ended March 31, 2022, we recognized costs, net of amounts probable of recovery from insurance carriers, of $85 million. We did not recognize any such costs during the three months ended March 31, 2023. As of March 31, 2023, we had a remaining undiscounted gross liability of approximately $100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March 31, 2023, our incurred costs for the Line 901 incident have exceeded our insurance coverage limit of $500 million related to our 2015 insurance program applicable to the Line 901 incident by $240 million. Through March 31,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March 31,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10—Segment Information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spacing w:after="0" w:line="21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13,381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5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20" w:type="dxa"/>
            <w:vAlign w:val="bottom"/>
          </w:tcPr>
          <w:p>
            <w:pPr>
              <w:spacing w:after="0"/>
              <w:rPr>
                <w:sz w:val="19"/>
                <w:szCs w:val="19"/>
                <w:color w:val="auto"/>
              </w:rPr>
            </w:pPr>
          </w:p>
        </w:tc>
        <w:tc>
          <w:tcPr>
            <w:tcW w:w="8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tcPr>
          <w:p>
            <w:pPr>
              <w:spacing w:after="0"/>
              <w:rPr>
                <w:sz w:val="19"/>
                <w:szCs w:val="19"/>
                <w:color w:val="auto"/>
              </w:rPr>
            </w:pPr>
          </w:p>
        </w:tc>
        <w:tc>
          <w:tcPr>
            <w:tcW w:w="8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Derivative activities and inventory valuation adjustments </w:t>
            </w:r>
            <w:r>
              <w:rPr>
                <w:rFonts w:ascii="Arial" w:cs="Arial" w:eastAsia="Arial" w:hAnsi="Arial"/>
                <w:sz w:val="23"/>
                <w:szCs w:val="23"/>
                <w:color w:val="auto"/>
                <w:vertAlign w:val="superscript"/>
              </w:rPr>
              <w:t>(3)</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20" w:type="dxa"/>
            <w:vAlign w:val="bottom"/>
          </w:tcPr>
          <w:p>
            <w:pPr>
              <w:spacing w:after="0"/>
              <w:rPr>
                <w:sz w:val="19"/>
                <w:szCs w:val="19"/>
                <w:color w:val="auto"/>
              </w:rPr>
            </w:pPr>
          </w:p>
        </w:tc>
        <w:tc>
          <w:tcPr>
            <w:tcW w:w="85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19"/>
                <w:szCs w:val="19"/>
                <w:color w:val="auto"/>
              </w:rPr>
            </w:pPr>
          </w:p>
        </w:tc>
        <w:tc>
          <w:tcPr>
            <w:tcW w:w="8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85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8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(7)</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20" w:type="dxa"/>
            <w:vAlign w:val="bottom"/>
          </w:tcPr>
          <w:p>
            <w:pPr>
              <w:spacing w:after="0"/>
              <w:rPr>
                <w:sz w:val="19"/>
                <w:szCs w:val="19"/>
                <w:color w:val="auto"/>
              </w:rPr>
            </w:pPr>
          </w:p>
        </w:tc>
        <w:tc>
          <w:tcPr>
            <w:tcW w:w="8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in consolidated joint ventures </w:t>
            </w:r>
            <w:r>
              <w:rPr>
                <w:rFonts w:ascii="Arial" w:cs="Arial" w:eastAsia="Arial" w:hAnsi="Arial"/>
                <w:sz w:val="23"/>
                <w:szCs w:val="23"/>
                <w:color w:val="auto"/>
                <w:vertAlign w:val="superscript"/>
              </w:rPr>
              <w:t>(9)</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(10)</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2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2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Income before tax</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2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88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and impairments) of unconsolidated entities.</w:t>
      </w:r>
    </w:p>
    <w:p>
      <w:pPr>
        <w:spacing w:after="0" w:line="62"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2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87" w:lineRule="auto"/>
        <w:rPr>
          <w:sz w:val="20"/>
          <w:szCs w:val="20"/>
          <w:color w:val="auto"/>
        </w:rPr>
      </w:pPr>
      <w:r>
        <w:rPr>
          <w:rFonts w:ascii="Arial" w:cs="Arial" w:eastAsia="Arial" w:hAnsi="Arial"/>
          <w:sz w:val="16"/>
          <w:szCs w:val="16"/>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2022 Annual Report on Form 10-K for a discussion regarding our equity-indexed compensation plans.</w:t>
      </w:r>
    </w:p>
    <w:p>
      <w:pPr>
        <w:spacing w:after="0" w:line="87"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9 for additional information regarding the Line 901 incident.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117" w:lineRule="exact"/>
        <w:rPr>
          <w:sz w:val="20"/>
          <w:szCs w:val="20"/>
          <w:color w:val="auto"/>
        </w:rPr>
      </w:pPr>
    </w:p>
    <w:p>
      <w:pPr>
        <w:ind w:left="20" w:right="320" w:hanging="7"/>
        <w:spacing w:after="0" w:line="277" w:lineRule="auto"/>
        <w:rPr>
          <w:sz w:val="20"/>
          <w:szCs w:val="20"/>
          <w:color w:val="auto"/>
        </w:rPr>
      </w:pPr>
      <w:r>
        <w:rPr>
          <w:rFonts w:ascii="Arial" w:cs="Arial" w:eastAsia="Arial" w:hAnsi="Arial"/>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ectPr>
          <w:pgSz w:w="11900" w:h="16838" w:orient="portrait"/>
          <w:cols w:equalWidth="0" w:num="2">
            <w:col w:w="200" w:space="440"/>
            <w:col w:w="10600"/>
          </w:cols>
          <w:pgMar w:left="320" w:top="125" w:right="3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11—Divestitures</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Keyera Fort Saskatchewan Divestiture. </w:t>
      </w:r>
      <w:r>
        <w:rPr>
          <w:rFonts w:ascii="Arial" w:cs="Arial" w:eastAsia="Arial" w:hAnsi="Arial"/>
          <w:sz w:val="18"/>
          <w:szCs w:val="18"/>
          <w:color w:val="auto"/>
        </w:rPr>
        <w:t>In February 2023, we sold our 21% non-operated/undivided joint interest in the Keyera Fort Saskatchewan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are a Delaware limited partnership that has elected to be taxed as a corporation for United States federal income tax purposes. As of March 31, 2023, our sole cash-generating assets consisted of an approximate 81% limited partner interest in AAP. We also own a 100% managing member interest in GP LLC, which holds the non-economic general partner interest in AAP. As of March 31, 2023, AAP directly owned a limited partner interest in PAA through its ownership of approximately 240.8 million PAA common units (approximately 31% of PAA’s total outstanding common units and Series A preferred units combined). AAP is the sole member of PAA GP, which holds the non-economic general partner interest in PAA.</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and transportation corridors and at major market hubs in the United States and Canada. PAA’s assets and the services it provides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During the first three months of 2023, we recognized net income of $443 million compared to $209 million during the first three months of 2022. The increase in operating results for the first three months of 2023 over the comparable 2022 period was driven primarily by more favorable margins in our NGL segment, increased earnings from our crude oil pipelines and more favorable crude oil market-based opportunities. In addition, the 2022 comparative period was impacted by an increase in the accrual for estimated costs associated with the Line 901 incident.</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Additionally, net income for the first quarter of 2023 compared to the first quarter 2022 includes more favorable impacts from gains on asset sales and the mark-to-market adjustment of the Preferred Distribution Rate Reset Option, partially offset by less favorable impacts of long-term inventory costing adjustments.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Services revenues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Other income/(expense),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PAGP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 per Class A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 and Purchases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majority of our sales and purchases are indexed to WTI. The following table presents the range of NYMEX WTI benchmark prices of crude oil (in dollars per barrel):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5"/>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7"/>
                <w:szCs w:val="17"/>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Average</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March 31, 2022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32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Product sales revenues and purchases decreased for the three months ended March 31, 2023 compared to the same period in 2022 primarily due to lower prices in the 2023 period, partially offset by higher volumes in the 2023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Revenues from services increased for the three months ended March 31, 2023 compared to the same period in 2022 primarily due to higher volumes and tariff escalations in the 2023 period, as well as the impact of the consolidation of Cactus II resulting from our acquisition of an additional interest in November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further discussion of our net revenues (revenues less purchases and related costs) in the “—Analysis of Operating Segments” section below.</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increase in general and administrative expenses for the three months ended March 31, 2023 compared to the same period in 2022 was primarily due to (i) higher information systems costs due to ongoing systems integration work and (ii) higher employee-related costs, including an increase in equity-indexed compensation expense on equity-classified awards (which is excluded in the calculation of Adjusted EBITDA and Segment Adjusted EBITDA), partially offset by (iii) lower transition costs associated with the formation of the Permian JV.</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net gains on asset sales and asset impairments during the first quarter of 2023 primarily included a gain of approximately $140 million related to the sale of our Keyera Fort Saskatchewan facility. See Note 11 to our Condensed Consolidated Financial Statements for additional discussion of this transaction.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increase in depreciation and amortization expense for the three months ended March 31, 2023 compared to the same period in 2022 was largely driven by our acquisition of an additional interest in Cactus II, for which our ownership interest is now consolidated. See Note 7 to our Consolidated Financial Statements included in Part IV of our 2022 Annual Report on Form 10-K for additional information.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decrease in interest expense for the three months ended March 31, 2023 compared to the three months ended March 31, 2022 was primarily due to a lower weighted average debt balance during the 2023 period largely driven by the repayment of $750 million of senior notes in March 2022 and $400 million of senior notes in January 2023.</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8"/>
              </w:rPr>
              <w:t>Gain/(loss) on mark-to-market adjustment of Preferred Distribution Rate Reset Option embedded derivative</w:t>
            </w:r>
            <w:r>
              <w:rPr>
                <w:rFonts w:ascii="Arial" w:cs="Arial" w:eastAsia="Arial" w:hAnsi="Arial"/>
                <w:sz w:val="23"/>
                <w:szCs w:val="23"/>
                <w:color w:val="auto"/>
                <w:w w:val="98"/>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tcPr>
          <w:p>
            <w:pPr>
              <w:spacing w:after="0"/>
              <w:rPr>
                <w:sz w:val="19"/>
                <w:szCs w:val="19"/>
                <w:color w:val="auto"/>
              </w:rPr>
            </w:pPr>
          </w:p>
        </w:tc>
        <w:tc>
          <w:tcPr>
            <w:tcW w:w="8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7 to our Condensed Consolidated Financial Statements for additional information.</w:t>
      </w:r>
    </w:p>
    <w:p>
      <w:pPr>
        <w:spacing w:after="0" w:line="63"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USD to CAD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net unfavorable income tax variance for the three months ended March 31, 2023 compared to the same period in 2022 was primarily due to the impact of higher earnings, including activity within our Canadian operations and the tax impact of the Keyera Fort Saskatchewan divestiture.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which excludes the portion of Adjusted EBITDA attributable to noncontrolling interests in consolidated joint venture entities.</w:t>
      </w:r>
    </w:p>
    <w:p>
      <w:pPr>
        <w:spacing w:after="0" w:line="21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w:t>
      </w:r>
    </w:p>
    <w:p>
      <w:pPr>
        <w:spacing w:after="0" w:line="17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Adjusted EBITDA attributable to PAA to Net Income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Selected Items Impacting Comparability:</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activities and inventory valuation adjustments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Long-term inventory costing adjustments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Deficiencies under minimum volume commitments,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Equity-indexed compensation expense</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revaluation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Line 901 incident</w:t>
            </w: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(3)</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Mark-to-market adjustment of Preferred Distribution Rate Reset Option</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ind w:left="320"/>
              <w:spacing w:after="0" w:line="243" w:lineRule="exact"/>
              <w:rPr>
                <w:sz w:val="20"/>
                <w:szCs w:val="20"/>
                <w:color w:val="auto"/>
              </w:rPr>
            </w:pPr>
            <w:r>
              <w:rPr>
                <w:rFonts w:ascii="Arial" w:cs="Arial" w:eastAsia="Arial" w:hAnsi="Arial"/>
                <w:sz w:val="18"/>
                <w:szCs w:val="18"/>
                <w:color w:val="auto"/>
              </w:rPr>
              <w:t xml:space="preserve">embedded derivative </w:t>
            </w:r>
            <w:r>
              <w:rPr>
                <w:rFonts w:ascii="Arial" w:cs="Arial" w:eastAsia="Arial" w:hAnsi="Arial"/>
                <w:sz w:val="23"/>
                <w:szCs w:val="23"/>
                <w:color w:val="auto"/>
                <w:vertAlign w:val="superscript"/>
              </w:rPr>
              <w:t>(4)</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Foreign currency revaluation </w:t>
            </w:r>
            <w:r>
              <w:rPr>
                <w:rFonts w:ascii="Arial" w:cs="Arial" w:eastAsia="Arial" w:hAnsi="Arial"/>
                <w:sz w:val="23"/>
                <w:szCs w:val="23"/>
                <w:color w:val="auto"/>
                <w:vertAlign w:val="superscript"/>
              </w:rPr>
              <w:t>(5)</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(6)</w:t>
            </w:r>
          </w:p>
        </w:tc>
        <w:tc>
          <w:tcPr>
            <w:tcW w:w="8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gridSpan w:val="2"/>
          </w:tcPr>
          <w:p>
            <w:pPr>
              <w:ind w:left="100"/>
              <w:spacing w:after="0" w:line="15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Borders>
              <w:bottom w:val="single" w:sz="8" w:color="CCEEFF"/>
            </w:tcBorders>
            <w:gridSpan w:val="2"/>
          </w:tcPr>
          <w:p>
            <w:pPr>
              <w:ind w:left="260"/>
              <w:spacing w:after="0" w:line="243"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(7)</w:t>
            </w: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PAA</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640" w:hanging="652"/>
        <w:spacing w:after="0" w:line="230" w:lineRule="auto"/>
        <w:tabs>
          <w:tab w:leader="none" w:pos="64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94" w:lineRule="exact"/>
        <w:rPr>
          <w:rFonts w:ascii="Arial" w:cs="Arial" w:eastAsia="Arial" w:hAnsi="Arial"/>
          <w:sz w:val="22"/>
          <w:szCs w:val="22"/>
          <w:color w:val="auto"/>
          <w:vertAlign w:val="superscript"/>
        </w:rPr>
      </w:pPr>
    </w:p>
    <w:p>
      <w:pPr>
        <w:ind w:left="660" w:right="300" w:hanging="652"/>
        <w:spacing w:after="0" w:line="238" w:lineRule="auto"/>
        <w:tabs>
          <w:tab w:leader="none" w:pos="64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5" w:lineRule="exact"/>
        <w:rPr>
          <w:rFonts w:ascii="Arial" w:cs="Arial" w:eastAsia="Arial" w:hAnsi="Arial"/>
          <w:sz w:val="22"/>
          <w:szCs w:val="22"/>
          <w:color w:val="auto"/>
          <w:vertAlign w:val="superscript"/>
        </w:rPr>
      </w:pPr>
    </w:p>
    <w:p>
      <w:pPr>
        <w:ind w:left="660" w:hanging="652"/>
        <w:spacing w:after="0" w:line="227"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94" w:lineRule="exact"/>
        <w:rPr>
          <w:rFonts w:ascii="Arial" w:cs="Arial" w:eastAsia="Arial" w:hAnsi="Arial"/>
          <w:sz w:val="23"/>
          <w:szCs w:val="23"/>
          <w:color w:val="auto"/>
          <w:vertAlign w:val="superscript"/>
        </w:rPr>
      </w:pPr>
    </w:p>
    <w:p>
      <w:pPr>
        <w:ind w:left="660" w:right="80" w:hanging="652"/>
        <w:spacing w:after="0" w:line="238"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spacing w:after="0" w:line="93" w:lineRule="exact"/>
        <w:rPr>
          <w:rFonts w:ascii="Arial" w:cs="Arial" w:eastAsia="Arial" w:hAnsi="Arial"/>
          <w:sz w:val="23"/>
          <w:szCs w:val="23"/>
          <w:color w:val="auto"/>
          <w:vertAlign w:val="superscript"/>
        </w:rPr>
      </w:pPr>
    </w:p>
    <w:p>
      <w:pPr>
        <w:ind w:left="660" w:hanging="652"/>
        <w:spacing w:after="0" w:line="269"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500" w:hanging="11"/>
        <w:spacing w:after="0" w:line="342" w:lineRule="auto"/>
        <w:rPr>
          <w:sz w:val="20"/>
          <w:szCs w:val="20"/>
          <w:color w:val="auto"/>
        </w:rPr>
      </w:pPr>
      <w:r>
        <w:rPr>
          <w:rFonts w:ascii="Arial" w:cs="Arial" w:eastAsia="Arial" w:hAnsi="Arial"/>
          <w:sz w:val="16"/>
          <w:szCs w:val="16"/>
          <w:color w:val="auto"/>
        </w:rPr>
        <w:t>Other income/(expense), net on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20 to our Consolidated Financial Statements included in Part IV of our 2022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80" w:type="dxa"/>
            <w:vAlign w:val="bottom"/>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7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 of unconsolidated entities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Derivative activities and inventory valuation adjustments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3"/>
          </w:tcPr>
          <w:p>
            <w:pPr>
              <w:ind w:left="120"/>
              <w:spacing w:after="0"/>
              <w:rPr>
                <w:sz w:val="20"/>
                <w:szCs w:val="20"/>
                <w:color w:val="auto"/>
              </w:rPr>
            </w:pPr>
            <w:r>
              <w:rPr>
                <w:rFonts w:ascii="Arial" w:cs="Arial" w:eastAsia="Arial" w:hAnsi="Arial"/>
                <w:sz w:val="18"/>
                <w:szCs w:val="18"/>
                <w:color w:val="auto"/>
              </w:rPr>
              <w:t>Long-term inventory costing adjustments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tcPr>
          <w:p>
            <w:pPr>
              <w:ind w:left="12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revaluation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tcPr>
          <w:p>
            <w:pPr>
              <w:ind w:left="180"/>
              <w:spacing w:after="0"/>
              <w:rPr>
                <w:sz w:val="20"/>
                <w:szCs w:val="20"/>
                <w:color w:val="auto"/>
              </w:rPr>
            </w:pPr>
            <w:r>
              <w:rPr>
                <w:rFonts w:ascii="Arial" w:cs="Arial" w:eastAsia="Arial" w:hAnsi="Arial"/>
                <w:sz w:val="18"/>
                <w:szCs w:val="18"/>
                <w:color w:val="auto"/>
              </w:rPr>
              <w:t>Line 901 incident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joint ventures</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Volumes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700" w:type="dxa"/>
            <w:vAlign w:val="bottom"/>
            <w:tcBorders>
              <w:top w:val="single" w:sz="8" w:color="auto"/>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pipeline tariff (by region) </w:t>
            </w:r>
            <w:r>
              <w:rPr>
                <w:rFonts w:ascii="Arial" w:cs="Arial" w:eastAsia="Arial" w:hAnsi="Arial"/>
                <w:sz w:val="23"/>
                <w:szCs w:val="23"/>
                <w:color w:val="auto"/>
                <w:vertAlign w:val="superscript"/>
              </w:rPr>
              <w:t>(4)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5780" w:type="dxa"/>
            <w:vAlign w:val="bottom"/>
            <w:gridSpan w:val="3"/>
          </w:tcPr>
          <w:p>
            <w:pPr>
              <w:ind w:left="120"/>
              <w:spacing w:after="0"/>
              <w:rPr>
                <w:sz w:val="20"/>
                <w:szCs w:val="20"/>
                <w:color w:val="auto"/>
              </w:rPr>
            </w:pPr>
            <w:r>
              <w:rPr>
                <w:rFonts w:ascii="Arial" w:cs="Arial" w:eastAsia="Arial" w:hAnsi="Arial"/>
                <w:sz w:val="18"/>
                <w:szCs w:val="18"/>
                <w:color w:val="auto"/>
              </w:rPr>
              <w:t>Total crude oil pipeline tariff</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62"/>
        </w:trPr>
        <w:tc>
          <w:tcPr>
            <w:tcW w:w="57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2"/>
        </w:trPr>
        <w:tc>
          <w:tcPr>
            <w:tcW w:w="57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459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8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93" w:lineRule="exact"/>
        <w:rPr>
          <w:rFonts w:ascii="Arial" w:cs="Arial" w:eastAsia="Arial" w:hAnsi="Arial"/>
          <w:sz w:val="23"/>
          <w:szCs w:val="23"/>
          <w:color w:val="auto"/>
          <w:vertAlign w:val="superscript"/>
        </w:rPr>
      </w:pPr>
    </w:p>
    <w:p>
      <w:pPr>
        <w:ind w:left="660" w:right="80" w:hanging="652"/>
        <w:spacing w:after="0" w:line="267"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220"/>
          </w:cols>
          <w:pgMar w:left="320" w:top="125" w:right="35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62" w:lineRule="exact"/>
        <w:rPr>
          <w:sz w:val="20"/>
          <w:szCs w:val="20"/>
          <w:color w:val="auto"/>
        </w:rPr>
      </w:pPr>
    </w:p>
    <w:p>
      <w:pPr>
        <w:jc w:val="both"/>
        <w:ind w:right="180" w:hanging="11"/>
        <w:spacing w:after="0" w:line="311" w:lineRule="auto"/>
        <w:rPr>
          <w:sz w:val="20"/>
          <w:szCs w:val="20"/>
          <w:color w:val="auto"/>
        </w:rPr>
      </w:pPr>
      <w:r>
        <w:rPr>
          <w:rFonts w:ascii="Arial" w:cs="Arial" w:eastAsia="Arial" w:hAnsi="Arial"/>
          <w:sz w:val="16"/>
          <w:szCs w:val="16"/>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calculated as total volumes for the period divided by the number of months in the period.</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Crude Oil Segment Adjusted EBITDA was favorably impacted for the three months ended March 31, 2023 compared to the same period in 2022 by higher volumes on our pipeline systems, particularly on our Permian Basin and Capline assets, tariff escalations and favorable Canadian market-based opportunities. These items were partially offset by the impact of increased operating expenses and minimum volume commitment deficiency payments received in the first quarter of 2022.</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three months ended March 31, 2023 compared to the same period in 2022.</w:t>
      </w:r>
    </w:p>
    <w:p>
      <w:pPr>
        <w:spacing w:after="0" w:line="197" w:lineRule="exact"/>
        <w:rPr>
          <w:sz w:val="20"/>
          <w:szCs w:val="20"/>
          <w:color w:val="auto"/>
        </w:rPr>
      </w:pPr>
    </w:p>
    <w:p>
      <w:pPr>
        <w:ind w:left="980" w:right="660" w:hanging="324"/>
        <w:spacing w:after="0" w:line="277" w:lineRule="auto"/>
        <w:tabs>
          <w:tab w:leader="none" w:pos="97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Market Opportunities. </w:t>
      </w:r>
      <w:r>
        <w:rPr>
          <w:rFonts w:ascii="Arial" w:cs="Arial" w:eastAsia="Arial" w:hAnsi="Arial"/>
          <w:sz w:val="18"/>
          <w:szCs w:val="18"/>
          <w:color w:val="auto"/>
        </w:rPr>
        <w:t>Our results for the three months ended March 31, 2023 include the impact of Canadian crude oil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due to more favorable differentials as compared to the three months ended March 31, 2022.</w:t>
      </w:r>
    </w:p>
    <w:p>
      <w:pPr>
        <w:spacing w:after="0" w:line="197" w:lineRule="exact"/>
        <w:rPr>
          <w:rFonts w:ascii="Arial" w:cs="Arial" w:eastAsia="Arial" w:hAnsi="Arial"/>
          <w:sz w:val="18"/>
          <w:szCs w:val="18"/>
          <w:i w:val="1"/>
          <w:iCs w:val="1"/>
          <w:color w:val="auto"/>
        </w:rPr>
      </w:pPr>
    </w:p>
    <w:p>
      <w:pPr>
        <w:ind w:left="980" w:right="100" w:hanging="324"/>
        <w:spacing w:after="0" w:line="277" w:lineRule="auto"/>
        <w:tabs>
          <w:tab w:leader="none" w:pos="97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Volumes. </w:t>
      </w:r>
      <w:r>
        <w:rPr>
          <w:rFonts w:ascii="Arial" w:cs="Arial" w:eastAsia="Arial" w:hAnsi="Arial"/>
          <w:sz w:val="18"/>
          <w:szCs w:val="18"/>
          <w:color w:val="auto"/>
        </w:rPr>
        <w:t>Our Permian Basin gathering pipelines were favorably impacted by higher volumes, which were underpinned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new well connections, and tariff escalations in the 2023 period.</w:t>
      </w:r>
    </w:p>
    <w:p>
      <w:pPr>
        <w:spacing w:after="0" w:line="197" w:lineRule="exact"/>
        <w:rPr>
          <w:rFonts w:ascii="Arial" w:cs="Arial" w:eastAsia="Arial" w:hAnsi="Arial"/>
          <w:sz w:val="18"/>
          <w:szCs w:val="18"/>
          <w:i w:val="1"/>
          <w:iCs w:val="1"/>
          <w:color w:val="auto"/>
        </w:rPr>
      </w:pPr>
    </w:p>
    <w:p>
      <w:pPr>
        <w:ind w:left="98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Our long-haul pipelines were also favorably impacted by higher volumes in the 2023 period, particularly on our Permian Basin and Capline pipelines. The favorable impact of higher volumes on our Permian Basin pipelines, including the benefit from our acquisition of an additional interest in Cactus II in November 2022, was partially offset by the impact of minimum volume commitment deficiency payments received in the first quarter of 2022.</w:t>
      </w:r>
    </w:p>
    <w:p>
      <w:pPr>
        <w:spacing w:after="0" w:line="213" w:lineRule="exact"/>
        <w:rPr>
          <w:rFonts w:ascii="Arial" w:cs="Arial" w:eastAsia="Arial" w:hAnsi="Arial"/>
          <w:sz w:val="18"/>
          <w:szCs w:val="18"/>
          <w:i w:val="1"/>
          <w:iCs w:val="1"/>
          <w:color w:val="auto"/>
        </w:rPr>
      </w:pPr>
    </w:p>
    <w:p>
      <w:pPr>
        <w:ind w:left="980" w:right="22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A majority of our Permian Basin gathering and intra-basin pipelines are owned by the Permian JV, a consolidated entity in which we own a 65% interest, and our Permian Basin long-haul pipelines include Cactus II, in which we own a 70% interest. We deduct the portion of the financial results attributable to noncontrolling interests in the Permian JV and Cactus II in determining Segment Adjusted EBITDA.</w:t>
      </w:r>
    </w:p>
    <w:p>
      <w:pPr>
        <w:spacing w:after="0" w:line="175" w:lineRule="exact"/>
        <w:rPr>
          <w:rFonts w:ascii="Arial" w:cs="Arial" w:eastAsia="Arial" w:hAnsi="Arial"/>
          <w:sz w:val="18"/>
          <w:szCs w:val="18"/>
          <w:i w:val="1"/>
          <w:iCs w:val="1"/>
          <w:color w:val="auto"/>
        </w:rPr>
      </w:pPr>
    </w:p>
    <w:p>
      <w:pPr>
        <w:ind w:left="980" w:hanging="324"/>
        <w:spacing w:after="0" w:line="291"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three months ended March 31, 2023 compared to the same period in 2022</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the recognition of additional estimated costs associated with the Line 901 incident in the 2022 period (which impact field operating costs but are excluded from Segment Adjusted EBITDA and thus are reflected as an “Adjustment” in the table above). This decrease was partially offset by (i) increased utilities costs due to a combinations of higher volumes and prices, (ii) incremental consolidated operating costs in connection with our acquisition of an additional interest in Cactus II, (iii) increased employee-related costs primarily resulting from higher average headcount and salaries and (iv) an increase in unrealized mark-to-market losses on power hedges (which impact our field operating costs but are excluded from Segment Adjusted EBITDA and thus are reflected as an “Adjustment” in the table above).</w:t>
      </w:r>
    </w:p>
    <w:p>
      <w:pPr>
        <w:spacing w:after="0" w:line="19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three months ended March 31, 2023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was primarily due to ongoing station upgrades, truck lease buyouts, integrity projects and tank maintenance, partially offset by lower costs due to the completion of certain projects.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spacing w:after="0" w:line="211"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56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gridSpan w:val="3"/>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Derivative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ind w:left="80"/>
              <w:spacing w:after="0"/>
              <w:rPr>
                <w:sz w:val="20"/>
                <w:szCs w:val="20"/>
                <w:color w:val="auto"/>
              </w:rPr>
            </w:pPr>
            <w:r>
              <w:rPr>
                <w:rFonts w:ascii="Arial" w:cs="Arial" w:eastAsia="Arial" w:hAnsi="Arial"/>
                <w:sz w:val="18"/>
                <w:szCs w:val="18"/>
                <w:color w:val="auto"/>
              </w:rPr>
              <w:t>Long-term inventory costing adjustments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revaluation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tcPr>
          <w:p>
            <w:pPr>
              <w:ind w:left="2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56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800" w:type="dxa"/>
            <w:vAlign w:val="bottom"/>
            <w:gridSpan w:val="3"/>
          </w:tcPr>
          <w:p>
            <w:pPr>
              <w:spacing w:after="0" w:line="122" w:lineRule="exact"/>
              <w:rPr>
                <w:sz w:val="20"/>
                <w:szCs w:val="20"/>
                <w:color w:val="auto"/>
              </w:rPr>
            </w:pPr>
            <w:r>
              <w:rPr>
                <w:rFonts w:ascii="Arial" w:cs="Arial" w:eastAsia="Arial" w:hAnsi="Arial"/>
                <w:sz w:val="14"/>
                <w:szCs w:val="14"/>
                <w:b w:val="1"/>
                <w:bCs w:val="1"/>
                <w:color w:val="auto"/>
              </w:rPr>
              <w:t>Average Volumes</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3"/>
          </w:tcPr>
          <w:p>
            <w:pPr>
              <w:spacing w:after="0" w:line="243" w:lineRule="exact"/>
              <w:rPr>
                <w:sz w:val="20"/>
                <w:szCs w:val="20"/>
                <w:color w:val="auto"/>
              </w:rPr>
            </w:pPr>
            <w:r>
              <w:rPr>
                <w:rFonts w:ascii="Arial" w:cs="Arial" w:eastAsia="Arial" w:hAnsi="Arial"/>
                <w:sz w:val="14"/>
                <w:szCs w:val="14"/>
                <w:b w:val="1"/>
                <w:bCs w:val="1"/>
                <w:color w:val="auto"/>
              </w:rPr>
              <w:t>(in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300" w:type="dxa"/>
            <w:vAlign w:val="bottom"/>
          </w:tcPr>
          <w:p>
            <w:pPr>
              <w:spacing w:after="0"/>
              <w:rPr>
                <w:sz w:val="21"/>
                <w:szCs w:val="21"/>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4"/>
          </w:tcPr>
          <w:p>
            <w:pPr>
              <w:ind w:left="12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jc w:val="right"/>
              <w:ind w:right="5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NGL fractionation</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9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NGL pipeline tariff</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9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50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total volumes (attributable to our interest for assets owned through undivided joint interests)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line="238"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NGL Segment Adjusted EBITDA increased for the three months ended March 31, 2023 compared to the same period in 2022 primarily due to the favorable impact of higher sales volumes at higher realized margins. These items were partially offset by the impact of increased utilities-related costs, primarily due to higher prices, and asset sales.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 includes the impact of derivative activities and long-term inventory costing adjustments, which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Adjusted EBITDA and thus are reflected as an “Adjustment” in the table above. Excluding such impacts, net revenues from our NGL sales activities increased for the three months ended March 31, 2023 compared to the same period in 2022 primarily due to (i) higher butane sales volumes as a result of higher production and increased third-party demand, (ii) favorable propane basis differentials, and (iii) higher realized frac spreads. In addition, there were higher processing revenues at our Empress straddle plants resulting from a commercial agreement executed in conjunction with the increase in our Empress ownership in the fourth quarter of 2022. These items were partially offset by the impact of the sale of our Keyera Fort Saskatchewan facility in the first quarter of 2023.</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months ended March 31, 2023 compared to the same period in 2022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utilities-related costs largely as a result of higher prices, as well as our increased ownership in the Empress straddle plants effective in the fourth quarter of 2022 and an increase in unrealized mark-to-market losses on power hedges (which impact our field operating costs but are excluded from Segment Adjusted EBITDA and thus are reflected as an “Adjustment” in the table above). The increase in utilities-related costs was partially offset by the benefit to net revenues of operating cost recoveries realized through commercial agreements.</w:t>
      </w:r>
    </w:p>
    <w:p>
      <w:pPr>
        <w:spacing w:after="0" w:line="2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three months ended March 31, 2023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was primarily due to equipment repairs and replacement projects at certain of our fractionation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2" w:lineRule="exact"/>
        <w:rPr>
          <w:sz w:val="20"/>
          <w:szCs w:val="20"/>
          <w:color w:val="auto"/>
        </w:rPr>
      </w:pPr>
    </w:p>
    <w:p>
      <w:pPr>
        <w:jc w:val="both"/>
        <w:ind w:right="180" w:firstLine="8"/>
        <w:spacing w:after="0" w:line="295"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of March 31, 2023, although we had a working capital deficit of $243 million, we had approximately $3.1 billion of liquidity available to meet our ongoing operating, investing and financing needs, subject to continued covenant compliance, as noted below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2023</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29"/>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20" w:right="6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credit facilities.</w:t>
      </w:r>
    </w:p>
    <w:p>
      <w:pPr>
        <w:spacing w:after="0" w:line="62"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$78 million and $66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Excludes restricted cash of $13 million.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March 31, 2023.</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2022 Annual Report on Form 10-K for further discussion regarding risks that may impact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provided by operating activities for the first three months of 2023 and 2022 was $742 million and $339 million, respectively, and primarily resulted from earnings from our operations. In addition, the 2023 period was favorably impacted by net positive changes in working capital items, largely associated with reducing inventory levels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w:t>
      </w:r>
    </w:p>
    <w:p>
      <w:pPr>
        <w:spacing w:after="0" w:line="24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2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 (3)</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ind w:right="120" w:hanging="11"/>
        <w:spacing w:after="0" w:line="308" w:lineRule="auto"/>
        <w:rPr>
          <w:sz w:val="20"/>
          <w:szCs w:val="20"/>
          <w:color w:val="auto"/>
        </w:rPr>
      </w:pPr>
      <w:r>
        <w:rPr>
          <w:rFonts w:ascii="Arial" w:cs="Arial" w:eastAsia="Arial" w:hAnsi="Arial"/>
          <w:sz w:val="17"/>
          <w:szCs w:val="17"/>
          <w:color w:val="auto"/>
        </w:rPr>
        <w:t>Investment capital and maintenance capital, net to our interest, was approximately $58 million and $45 million, respectively, for the three months ended March 31, 2023, and approximately $94 million and $26 million, respectively, for the three months ended March 31, 2022.</w:t>
      </w:r>
    </w:p>
    <w:p>
      <w:pPr>
        <w:spacing w:after="0" w:line="173"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2023 Investment and Maintenance Capital. </w:t>
      </w:r>
      <w:r>
        <w:rPr>
          <w:rFonts w:ascii="Arial" w:cs="Arial" w:eastAsia="Arial" w:hAnsi="Arial"/>
          <w:sz w:val="18"/>
          <w:szCs w:val="18"/>
          <w:color w:val="auto"/>
        </w:rPr>
        <w:t>Total investment capital for the year ending December 31, 2023 is projected to be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$420 million ($325 million net to our interest). Approximately half of our projected investment capital expenditures are expected to be invested in the Permian JV assets. Additionally, maintenance capital for 2023 is projected to be $205 million ($195 million net to our interest). We expect to fund our 2023 investment and maintenance capital expenditures primarily with retained cash flow.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three months of 2023 and 2022 from sales of assets (in millions):</w:t>
      </w:r>
    </w:p>
    <w:p>
      <w:pPr>
        <w:spacing w:after="0" w:line="22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60" w:val="left"/>
          <w:tab w:leader="none" w:pos="934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w:t>
        <w:tab/>
        <w: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9" w:lineRule="exact"/>
        <w:rPr>
          <w:sz w:val="20"/>
          <w:szCs w:val="20"/>
          <w:color w:val="auto"/>
        </w:rPr>
      </w:pPr>
    </w:p>
    <w:p>
      <w:pPr>
        <w:ind w:left="660" w:right="60" w:hanging="652"/>
        <w:spacing w:after="0" w:line="249" w:lineRule="auto"/>
        <w:tabs>
          <w:tab w:leader="none" w:pos="64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Represents proceeds, including working capital adjustments, net of transaction costs. The proceeds from divestitures for the three months ended March 31, 2023 are primarily from the sale of our 21% non-operated/undivided joint interest in the Keyera Fort Saskatchewan facility in February 2023. See Note 11 to our Condensed Consolidated Financial Statements for additional discussion of this transaction.</w:t>
      </w:r>
    </w:p>
    <w:p>
      <w:pPr>
        <w:spacing w:after="0" w:line="272"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2022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Agreements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net borrowings or repayments under the PAA credit facilities or commercial paper program during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During the three months ended March 31, 2022, we had net borrowings on the PAA credit facilities and commercial paper program of $382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January 31, 2023, PAA redeemed its 2.85%, $400 million senior notes. PAA utilized a combination of cash on hand and borrowings under its commercial paper program to repay these senior notes. PAA also intends to utilize a combination of cash flow from operating activities, proceeds from asset sales and borrowings under its commercial paper program to repay its 3.85%, $700 million senior notes due October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 repurchased 2.4 million common units under the Common Equity Repurchase Program (the “Program”) during the three months ended March 31, 2022 for a total purchase price of $25 million, including commissions and fees. There were no repurchases under the Program during the three months ended March 31, 2023. The remaining available capacity under the Program as of March 31, 2023 was $198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PAGP Registration Statements. </w:t>
      </w:r>
      <w:r>
        <w:rPr>
          <w:rFonts w:ascii="Arial" w:cs="Arial" w:eastAsia="Arial" w:hAnsi="Arial"/>
          <w:sz w:val="18"/>
          <w:szCs w:val="18"/>
          <w:color w:val="auto"/>
        </w:rPr>
        <w:t>We have filed with the SEC a shelf registration statement that, subject to effectiveness at the time of use,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issue up to a specified amount of equity securities (“PAGP Traditional Shelf”). At March 31, 2023,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three months ended March 31, 2023.</w:t>
      </w:r>
    </w:p>
    <w:p>
      <w:pPr>
        <w:spacing w:after="0" w:line="21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March 31, 2023.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the PAA WKSI Shelf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15, 2023, we will pay a quarterly cash distribution of $0.2675 per Class A share ($1.07 per Class A share on an annualized basis) to shareholders of record at the close of business on May 1, 2023 for the period from January 1, 2023 through March 31, 2023, which is unchanged from the distribution per share paid in February of 2023. See Note 6 to our Condensed Consolidated Financial Statements for details of distributions paid during the first three months of 2023.</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March 31, 2023,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(iv) a 30% interest in Cactus II and (v) a 33% interest in Red River.</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May 15, 2023, PAA will pay a quarterly cash distribution of approximately $0.585 per unit to its Series A preferred unitholders of record at the close of business on May 1, 2023 for the period from January 1, 2023 through March 31, 2023.</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May 15, 2023, PAA will pay a quarterly cash distribution of approximately $22.18 per unit to its Series B preferred unitholders of record at the close of business on May 1, 2023 for the period from February 15, 2023 through May 14, 2023.</w:t>
      </w:r>
    </w:p>
    <w:p>
      <w:pPr>
        <w:spacing w:after="0" w:line="19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On May 15, 2023, PAA will pay a quarterly cash distribution of $0.2675 per common unit ($1.07 per unit on an annualized basis) to common unitholders of record at the close of business on May 1, 2023 for the period from January 1, 2023 through March 31, 2023, which is unchanged from the distribution per unit paid in February of 2023.</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6 to our Condensed Consolidated Financial Statements for details of distributions paid to noncontrolling interests during the first three months of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9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our best estimate of the amount and timing of these payments as of March 31, 2023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2028 and</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20,425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18,859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17,489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43,605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133,240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49" w:lineRule="auto"/>
        <w:tabs>
          <w:tab w:leader="none" w:pos="64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our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to 70 days and are terminated upon completion of each transaction. Additionally, we issue letters of credit to support insurance programs, derivative transactions, including hedging-related margin obligations, and construction activities. At March 31, 2023 and December 31, 2022, we had outstanding letters of credit of approximately $144 million and $102 million,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340" w:hanging="324"/>
        <w:spacing w:after="0" w:line="261" w:lineRule="auto"/>
        <w:tabs>
          <w:tab w:leader="none" w:pos="975"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our expected receipt of, and amounts of, distributions from Plains AAP, LP, and the effect thereof on our ability to pay distributions to our Class A shareholders;</w:t>
      </w:r>
    </w:p>
    <w:p>
      <w:pPr>
        <w:spacing w:after="0" w:line="76" w:lineRule="exact"/>
        <w:rPr>
          <w:rFonts w:ascii="Arial" w:cs="Arial" w:eastAsia="Arial" w:hAnsi="Arial"/>
          <w:sz w:val="18"/>
          <w:szCs w:val="18"/>
          <w:i w:val="1"/>
          <w:iCs w:val="1"/>
          <w:color w:val="auto"/>
        </w:rPr>
      </w:pPr>
    </w:p>
    <w:p>
      <w:pPr>
        <w:ind w:left="980" w:right="260" w:hanging="324"/>
        <w:spacing w:after="0" w:line="301"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40" w:hanging="324"/>
        <w:spacing w:after="0" w:line="254"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86"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3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9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1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1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7 to our Condensed Consolidated Financial Statements for further discussion regarding our hedging strategies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2023 that would be expected from a 10% price increase or decrease is shown in the table below (in millions):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March 31, 2023. The average interest rate on variable rate debt that was outstanding during the three months ended March 31, 2023 was 5.1%, based upon rates in effect during such period. The fair value of our interest rate derivatives was a net asset of $115 million as of March 31, 2023. A 10% increase in the forward LIBOR curve as of March 31, 2023 would have resulted in an increase of $18 million to the fair value of our interest rate derivatives. A 10% decrease in the forward LIBOR curve as of March 31, 2023 would have resulted in a decrease of $18 million to the fair value of our interest rate derivatives. See Note 7 to our Condensed Consolidated Financial Statements for a discussion of our interest rate risk hedging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2023,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2023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9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6"/>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76">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Holdings, L.P. (incorporated by reference to Exhibit 3.1 to our Current Report on Form 8-K filed April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22"/>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Fourth Amended and Restated Limited Liability Company Agreement of PAA GP Holdings LLC dated effective as of August</w:t>
              </w:r>
            </w:hyperlink>
          </w:p>
        </w:tc>
        <w:tc>
          <w:tcPr>
            <w:tcW w:w="280" w:type="dxa"/>
            <w:vAlign w:val="bottom"/>
            <w:gridSpan w:val="7"/>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19, 2021 (incorporated by reference to Exhibit 3.11 to our Annual Report on Form 10-K for the year ended December 31, 2021).</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AAP, L.P. (incorporated by reference to Exhibit 3.1 to our Current Report on Form 8-K filed October 2, 2018).</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87">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7"/>
              </w:rPr>
            </w:pPr>
            <w:hyperlink r:id="rId87">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87">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American Pipeline, L.P., PAA Finance Corp., the Subsidiary Guarantors named therein and Wachovia Bank, National</w:t>
              </w:r>
            </w:hyperlink>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5"/>
          </w:tcPr>
          <w:p>
            <w:pPr>
              <w:jc w:val="right"/>
              <w:spacing w:after="0" w:line="169" w:lineRule="exact"/>
              <w:rPr>
                <w:rFonts w:ascii="Arial" w:cs="Arial" w:eastAsia="Arial" w:hAnsi="Arial"/>
                <w:sz w:val="18"/>
                <w:szCs w:val="18"/>
                <w:color w:val="0000FF"/>
                <w:w w:val="86"/>
              </w:rPr>
            </w:pPr>
            <w:hyperlink r:id="rId88">
              <w:r>
                <w:rPr>
                  <w:rFonts w:ascii="Arial" w:cs="Arial" w:eastAsia="Arial" w:hAnsi="Arial"/>
                  <w:sz w:val="18"/>
                  <w:szCs w:val="18"/>
                  <w:color w:val="0000FF"/>
                  <w:w w:val="86"/>
                </w:rPr>
                <w:t>2006).</w:t>
              </w:r>
            </w:hyperlink>
          </w:p>
        </w:tc>
        <w:tc>
          <w:tcPr>
            <w:tcW w:w="10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Tenth Supplemental Indenture (Series A and Series B 6.650% Senior Notes due 2037) dated October 30,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trustee (incorporated by reference to Exhibit 4.2 to PAA’s Current Report on Form 8-K filed October 30, 2006).</w:t>
              </w:r>
            </w:hyperlink>
          </w:p>
        </w:tc>
        <w:tc>
          <w:tcPr>
            <w:tcW w:w="1080" w:type="dxa"/>
            <w:vAlign w:val="bottom"/>
            <w:tcBorders>
              <w:top w:val="single" w:sz="8" w:color="0000FF"/>
            </w:tcBorders>
            <w:gridSpan w:val="16"/>
          </w:tcPr>
          <w:p>
            <w:pPr>
              <w:spacing w:after="0"/>
              <w:rPr>
                <w:sz w:val="14"/>
                <w:szCs w:val="14"/>
                <w:color w:val="auto"/>
              </w:rPr>
            </w:pPr>
          </w:p>
        </w:tc>
        <w:tc>
          <w:tcPr>
            <w:tcW w:w="200" w:type="dxa"/>
            <w:vAlign w:val="bottom"/>
            <w:gridSpan w:val="3"/>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8"/>
              </w:rPr>
            </w:pPr>
            <w:hyperlink r:id="rId90">
              <w:r>
                <w:rPr>
                  <w:rFonts w:ascii="Arial" w:cs="Arial" w:eastAsia="Arial" w:hAnsi="Arial"/>
                  <w:sz w:val="18"/>
                  <w:szCs w:val="18"/>
                  <w:color w:val="0000FF"/>
                  <w:w w:val="98"/>
                </w:rPr>
                <w:t>Twenty-First Supplemental Indenture (5.15% Senior Notes due 2042) dated March 22, 2012 among Plains All American</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12"/>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Pipeline, L.P., PAA Finance Corp and U.S. Bank National Association, as trustee (incorporated by reference to Exhibit 4.3 to</w:t>
              </w:r>
            </w:hyperlink>
          </w:p>
        </w:tc>
        <w:tc>
          <w:tcPr>
            <w:tcW w:w="340" w:type="dxa"/>
            <w:vAlign w:val="bottom"/>
            <w:gridSpan w:val="10"/>
          </w:tcPr>
          <w:p>
            <w:pPr>
              <w:spacing w:after="0"/>
              <w:rPr>
                <w:sz w:val="13"/>
                <w:szCs w:val="13"/>
                <w:color w:val="auto"/>
              </w:rPr>
            </w:pPr>
          </w:p>
        </w:tc>
      </w:tr>
    </w:tbl>
    <w:p>
      <w:pPr>
        <w:ind w:left="186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PAA’s Current Report on Form 8-K filed March 26, 2012).</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4.5</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Twenty-Third Supplemental Indenture (4.30% Senior Notes due 2043) dated December 10, 2012, by and among Plains All</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American Pipeline, L.P., PAA Finance Corp. and U.S. Bank National Association, as trustee (incorporated by reference to</w:t>
              </w:r>
            </w:hyperlink>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7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92">
              <w:r>
                <w:rPr>
                  <w:rFonts w:ascii="Arial" w:cs="Arial" w:eastAsia="Arial" w:hAnsi="Arial"/>
                  <w:sz w:val="18"/>
                  <w:szCs w:val="18"/>
                  <w:color w:val="0000FF"/>
                </w:rPr>
                <w:t>Exhibit 4.3 to PAA’s Current Report on Form 8-K filed December 12,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4.6</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Twenty-Fourth Supplemental Indenture (3.85% Senior Notes due 2023) dated August 15, 2013, by and among Plains All</w:t>
              </w:r>
            </w:hyperlink>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80" w:type="dxa"/>
            <w:vAlign w:val="bottom"/>
            <w:gridSpan w:val="28"/>
          </w:tcPr>
          <w:p>
            <w:pPr>
              <w:spacing w:after="0" w:line="156"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American Pipeline, L.P., PAA Finance Corp. and U.S. Bank National Association, as trustee (incorporated by reference to</w:t>
              </w:r>
            </w:hyperlink>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7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Exhibit 4.1 to PAA’s Current Report on Form 8-K filed August 15, 2013).</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4.7</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5"/>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Twenty-Fifth Supplemental Indenture (4.70% Senior Notes due 2044) dated April 23, 2014, by and among Plains All American</w:t>
              </w:r>
            </w:hyperlink>
          </w:p>
        </w:tc>
        <w:tc>
          <w:tcPr>
            <w:tcW w:w="160" w:type="dxa"/>
            <w:vAlign w:val="bottom"/>
            <w:gridSpan w:val="3"/>
          </w:tcPr>
          <w:p>
            <w:pPr>
              <w:spacing w:after="0"/>
              <w:rPr>
                <w:sz w:val="24"/>
                <w:szCs w:val="24"/>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80" w:type="dxa"/>
            <w:vAlign w:val="bottom"/>
            <w:gridSpan w:val="28"/>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5"/>
          </w:tcPr>
          <w:p>
            <w:pPr>
              <w:spacing w:after="0"/>
              <w:rPr>
                <w:sz w:val="14"/>
                <w:szCs w:val="14"/>
                <w:color w:val="auto"/>
              </w:rPr>
            </w:pPr>
          </w:p>
        </w:tc>
        <w:tc>
          <w:tcPr>
            <w:tcW w:w="60" w:type="dxa"/>
            <w:vAlign w:val="bottom"/>
          </w:tcPr>
          <w:p>
            <w:pPr>
              <w:spacing w:after="0"/>
              <w:rPr>
                <w:sz w:val="14"/>
                <w:szCs w:val="14"/>
                <w:color w:val="auto"/>
              </w:rPr>
            </w:pPr>
          </w:p>
        </w:tc>
      </w:tr>
      <w:tr>
        <w:trPr>
          <w:trHeight w:val="317"/>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4.8</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Twenty-Sixth Supplemental Indenture (3.60% Senior Notes due 2024) dated September 9, 2014, by and among Plains All</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7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95">
              <w:r>
                <w:rPr>
                  <w:rFonts w:ascii="Arial" w:cs="Arial" w:eastAsia="Arial" w:hAnsi="Arial"/>
                  <w:sz w:val="18"/>
                  <w:szCs w:val="18"/>
                  <w:color w:val="0000FF"/>
                </w:rPr>
                <w:t>Exhibit 4.1 to our Current Report on Form 8-K filed September 11,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4.9</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Twenty-Eighth Supplemental Indenture (4.90% Senior Notes due 2045) dated December 9, 2014, by and among Plains All</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4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9"/>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4.10</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8"/>
              </w:rPr>
            </w:pPr>
            <w:hyperlink r:id="rId97">
              <w:r>
                <w:rPr>
                  <w:rFonts w:ascii="Arial" w:cs="Arial" w:eastAsia="Arial" w:hAnsi="Arial"/>
                  <w:sz w:val="18"/>
                  <w:szCs w:val="18"/>
                  <w:color w:val="0000FF"/>
                  <w:w w:val="98"/>
                </w:rPr>
                <w:t>Twenty-Ninth Supplemental Indenture (4.65% Senior Notes due 2025) dated August 24, 2015, by and among Plains All</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American Pipeline, L.P., PAA Finance Corp., and U.S. Bank National Association, as trustee (incorporated by reference</w:t>
              </w:r>
            </w:hyperlink>
          </w:p>
        </w:tc>
        <w:tc>
          <w:tcPr>
            <w:tcW w:w="680" w:type="dxa"/>
            <w:vAlign w:val="bottom"/>
            <w:gridSpan w:val="15"/>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to</w:t>
              </w:r>
            </w:hyperlink>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97">
              <w:r>
                <w:rPr>
                  <w:rFonts w:ascii="Arial" w:cs="Arial" w:eastAsia="Arial" w:hAnsi="Arial"/>
                  <w:sz w:val="18"/>
                  <w:szCs w:val="18"/>
                  <w:color w:val="0000FF"/>
                </w:rPr>
                <w:t>Exhibit 4.1 to PAA’s Current Report on Form 8-K filed August 26, 2015).</w:t>
              </w:r>
            </w:hyperlink>
          </w:p>
        </w:tc>
        <w:tc>
          <w:tcPr>
            <w:tcW w:w="2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4.11</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6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2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19"/>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4.12</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7"/>
              </w:rPr>
            </w:pPr>
            <w:hyperlink r:id="rId99">
              <w:r>
                <w:rPr>
                  <w:rFonts w:ascii="Arial" w:cs="Arial" w:eastAsia="Arial" w:hAnsi="Arial"/>
                  <w:sz w:val="18"/>
                  <w:szCs w:val="18"/>
                  <w:color w:val="0000FF"/>
                  <w:w w:val="97"/>
                </w:rPr>
                <w:t>Thirty-First Supplemental Indenture (3.55% Senior Notes due 2029) dated September 16, 2019, by and among Plains All</w:t>
              </w:r>
            </w:hyperlink>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80" w:type="dxa"/>
            <w:vAlign w:val="bottom"/>
            <w:gridSpan w:val="28"/>
          </w:tcPr>
          <w:p>
            <w:pPr>
              <w:spacing w:after="0" w:line="156" w:lineRule="exact"/>
              <w:rPr>
                <w:rFonts w:ascii="Arial" w:cs="Arial" w:eastAsia="Arial" w:hAnsi="Arial"/>
                <w:sz w:val="18"/>
                <w:szCs w:val="18"/>
                <w:color w:val="0000FF"/>
                <w:w w:val="96"/>
              </w:rPr>
            </w:pPr>
            <w:hyperlink r:id="rId99">
              <w:r>
                <w:rPr>
                  <w:rFonts w:ascii="Arial" w:cs="Arial" w:eastAsia="Arial" w:hAnsi="Arial"/>
                  <w:sz w:val="18"/>
                  <w:szCs w:val="18"/>
                  <w:color w:val="0000FF"/>
                  <w:w w:val="96"/>
                </w:rPr>
                <w:t>American Pipeline, L.P., PAA Finance Corp. and U.S. Bank National Association, as trustee (incorporated by reference to</w:t>
              </w:r>
            </w:hyperlink>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Exhibit 4.1 to PAA’s Current Report on Form 8-K filed September 17, 2019).</w:t>
              </w:r>
            </w:hyperlink>
          </w:p>
        </w:tc>
        <w:tc>
          <w:tcPr>
            <w:tcW w:w="3220" w:type="dxa"/>
            <w:vAlign w:val="bottom"/>
            <w:tcBorders>
              <w:top w:val="single" w:sz="8" w:color="0000FF"/>
            </w:tcBorders>
            <w:gridSpan w:val="6"/>
          </w:tcPr>
          <w:p>
            <w:pPr>
              <w:spacing w:after="0"/>
              <w:rPr>
                <w:sz w:val="14"/>
                <w:szCs w:val="14"/>
                <w:color w:val="auto"/>
              </w:rPr>
            </w:pPr>
          </w:p>
        </w:tc>
        <w:tc>
          <w:tcPr>
            <w:tcW w:w="2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4.13</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Thirty-Second Supplemental Indenture (3.80% Senior Notes due 2030) dated June 11, 2020, by and among Plains All American</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00">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Shareholder and Registration Rights Agreement dated October 21, 2013 by and among Plains GP Holdings, L.P. and the other</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331"/>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4.15</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Description of Our Securities (incorporated by reference to Exhibit 4.16 to our Annual Report on Form 10-K for the year ended</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December 31, 2022).</w:t>
              </w:r>
            </w:hyperlink>
          </w:p>
        </w:tc>
        <w:tc>
          <w:tcPr>
            <w:tcW w:w="180" w:type="dxa"/>
            <w:vAlign w:val="bottom"/>
            <w:gridSpan w:val="4"/>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6"/>
          </w:tcPr>
          <w:p>
            <w:pPr>
              <w:spacing w:after="0" w:line="20" w:lineRule="exact"/>
              <w:rPr>
                <w:sz w:val="1"/>
                <w:szCs w:val="1"/>
                <w:color w:val="auto"/>
              </w:rPr>
            </w:pPr>
          </w:p>
        </w:tc>
      </w:tr>
      <w:tr>
        <w:trPr>
          <w:trHeight w:val="331"/>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2040" w:type="dxa"/>
            <w:vAlign w:val="bottom"/>
            <w:gridSpan w:val="16"/>
          </w:tcPr>
          <w:p>
            <w:pPr>
              <w:spacing w:after="0"/>
              <w:rPr>
                <w:sz w:val="24"/>
                <w:szCs w:val="24"/>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pursuant to Exchange Act Rules 13a-14(a) and 15d-14(a).</w:t>
            </w:r>
          </w:p>
        </w:tc>
      </w:tr>
      <w:tr>
        <w:trPr>
          <w:trHeight w:val="317"/>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Certification of Principal Executive Officer pursuant to 18 U.S.C. 1350.</w:t>
            </w:r>
          </w:p>
        </w:tc>
        <w:tc>
          <w:tcPr>
            <w:tcW w:w="2100" w:type="dxa"/>
            <w:vAlign w:val="bottom"/>
            <w:gridSpan w:val="17"/>
          </w:tcPr>
          <w:p>
            <w:pPr>
              <w:spacing w:after="0"/>
              <w:rPr>
                <w:sz w:val="24"/>
                <w:szCs w:val="24"/>
                <w:color w:val="auto"/>
              </w:rPr>
            </w:pPr>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Principal Financial Officer pursuant to 18 U.S.C. 1350.</w:t>
            </w:r>
          </w:p>
        </w:tc>
        <w:tc>
          <w:tcPr>
            <w:tcW w:w="40" w:type="dxa"/>
            <w:vAlign w:val="bottom"/>
            <w:tcBorders>
              <w:top w:val="single" w:sz="8" w:color="0000FF"/>
            </w:tcBorders>
          </w:tcPr>
          <w:p>
            <w:pPr>
              <w:spacing w:after="0"/>
              <w:rPr>
                <w:sz w:val="24"/>
                <w:szCs w:val="24"/>
                <w:color w:val="auto"/>
              </w:rPr>
            </w:pPr>
          </w:p>
        </w:tc>
        <w:tc>
          <w:tcPr>
            <w:tcW w:w="4200" w:type="dxa"/>
            <w:vAlign w:val="bottom"/>
            <w:gridSpan w:val="22"/>
          </w:tcPr>
          <w:p>
            <w:pPr>
              <w:spacing w:after="0"/>
              <w:rPr>
                <w:sz w:val="24"/>
                <w:szCs w:val="24"/>
                <w:color w:val="auto"/>
              </w:rPr>
            </w:pPr>
          </w:p>
        </w:tc>
      </w:tr>
      <w:tr>
        <w:trPr>
          <w:trHeight w:val="304"/>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93"/>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gridSpan w:val="2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0"/>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4"/>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8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904"/>
        </w:trPr>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gridSpan w:val="3"/>
          </w:tcPr>
          <w:p>
            <w:pPr>
              <w:ind w:left="368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101.DEF†</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101.PRE†</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104†</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r>
        <w:trPr>
          <w:trHeight w:val="175"/>
        </w:trPr>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20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w w:val="92"/>
              </w:rPr>
              <w:t>Furnished herewith.</w:t>
            </w:r>
          </w:p>
        </w:tc>
        <w:tc>
          <w:tcPr>
            <w:tcW w:w="20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May 9, 2023</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9, 2023</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9, 2023</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2023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2023</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2023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decimal"/>
      <w:start w:val="5"/>
    </w:lvl>
  </w:abstractNum>
  <w:abstractNum w:abstractNumId="27">
    <w:nsid w:val="5072367"/>
    <w:multiLevelType w:val="hybridMultilevel"/>
    <w:lvl w:ilvl="0">
      <w:lvlJc w:val="left"/>
      <w:lvlText w:val="(%1)"/>
      <w:numFmt w:val="lowerRoman"/>
      <w:start w:val="5"/>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1"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76" Type="http://schemas.openxmlformats.org/officeDocument/2006/relationships/hyperlink" Target="http://www.sec.gov/Archives/edgar/data/1581990/000104746913007875/a2216069zex-3_1.htm" TargetMode="External"/><Relationship Id="rId77" Type="http://schemas.openxmlformats.org/officeDocument/2006/relationships/hyperlink" Target="http://www.sec.gov/Archives/edgar/data/1581990/000110465916158356/a16-21845_1ex3d2.htm" TargetMode="External"/><Relationship Id="rId78" Type="http://schemas.openxmlformats.org/officeDocument/2006/relationships/hyperlink" Target="http://www.sec.gov/Archives/edgar/data/1581990/000158199020000012/exhibit31.htm" TargetMode="External"/><Relationship Id="rId79" Type="http://schemas.openxmlformats.org/officeDocument/2006/relationships/hyperlink" Target="http://www.sec.gov/Archives/edgar/data/1581990/000104746913007875/a2216069zex-3_3.htm" TargetMode="External"/><Relationship Id="rId80" Type="http://schemas.openxmlformats.org/officeDocument/2006/relationships/hyperlink" Target="https://www.sec.gov/Archives/edgar/data/1581990/000158199022000006/pagp202110-kexhibit311a.htm" TargetMode="External"/><Relationship Id="rId81" Type="http://schemas.openxmlformats.org/officeDocument/2006/relationships/hyperlink" Target="http://www.sec.gov/Archives/edgar/data/1070423/000110465917061889/a17-22685_5ex3d1.htm" TargetMode="External"/><Relationship Id="rId82" Type="http://schemas.openxmlformats.org/officeDocument/2006/relationships/hyperlink" Target="http://www.sec.gov/Archives/edgar/data/1581990/000110465916158356/a16-21845_1ex3d3.htm" TargetMode="External"/><Relationship Id="rId83" Type="http://schemas.openxmlformats.org/officeDocument/2006/relationships/hyperlink" Target="http://www.sec.gov/Archives/edgar/data/1581990/000110465916158356/a16-21845_1ex3d4.htm" TargetMode="External"/><Relationship Id="rId84" Type="http://schemas.openxmlformats.org/officeDocument/2006/relationships/hyperlink" Target="http://www.sec.gov/Archives/edgar/data/1581990/000110465918060012/a18-36197_1ex3d1.htm" TargetMode="External"/><Relationship Id="rId85" Type="http://schemas.openxmlformats.org/officeDocument/2006/relationships/hyperlink" Target="http://www.sec.gov/Archives/edgar/data/1581990/000110465919032813/a19-10857_1ex3d1.htm" TargetMode="External"/><Relationship Id="rId86" Type="http://schemas.openxmlformats.org/officeDocument/2006/relationships/hyperlink" Target="http://www.sec.gov/Archives/edgar/data/1070423/000095012908000071/h52770exv3w3.htm" TargetMode="External"/><Relationship Id="rId87" Type="http://schemas.openxmlformats.org/officeDocument/2006/relationships/hyperlink" Target="http://www.sec.gov/Archives/edgar/data/1070423/000089924302002834/dex41.txt" TargetMode="External"/><Relationship Id="rId88" Type="http://schemas.openxmlformats.org/officeDocument/2006/relationships/hyperlink" Target="http://www.sec.gov/Archives/edgar/data/1070423/000110465906034368/a06-11663_1ex4d1.htm" TargetMode="External"/><Relationship Id="rId89" Type="http://schemas.openxmlformats.org/officeDocument/2006/relationships/hyperlink" Target="http://www.sec.gov/Archives/edgar/data/1070423/000095012906009235/h40667exv4w2.htm" TargetMode="External"/><Relationship Id="rId90" Type="http://schemas.openxmlformats.org/officeDocument/2006/relationships/hyperlink" Target="http://www.sec.gov/Archives/edgar/data/1070423/000119312512132295/d321017dex43.htm" TargetMode="External"/><Relationship Id="rId92" Type="http://schemas.openxmlformats.org/officeDocument/2006/relationships/hyperlink" Target="http://www.sec.gov/Archives/edgar/data/1070423/000119312512499932/d453762dex43.htm" TargetMode="External"/><Relationship Id="rId93" Type="http://schemas.openxmlformats.org/officeDocument/2006/relationships/hyperlink" Target="http://www.sec.gov/Archives/edgar/data/1070423/000119312513336066/d581734dex41.htm" TargetMode="External"/><Relationship Id="rId94" Type="http://schemas.openxmlformats.org/officeDocument/2006/relationships/hyperlink" Target="http://www.sec.gov/Archives/edgar/data/1581990/000119312514164185/d717953dex41.htm" TargetMode="External"/><Relationship Id="rId95" Type="http://schemas.openxmlformats.org/officeDocument/2006/relationships/hyperlink" Target="http://www.sec.gov/Archives/edgar/data/1581990/000119312514338295/d787197dex41.htm" TargetMode="External"/><Relationship Id="rId96" Type="http://schemas.openxmlformats.org/officeDocument/2006/relationships/hyperlink" Target="http://www.sec.gov/Archives/edgar/data/1581990/000119312514440012/d835488dex43.htm" TargetMode="External"/><Relationship Id="rId97" Type="http://schemas.openxmlformats.org/officeDocument/2006/relationships/hyperlink" Target="http://www.sec.gov/Archives/edgar/data/1070423/000119312515302829/d45393dex41.htm" TargetMode="External"/><Relationship Id="rId98" Type="http://schemas.openxmlformats.org/officeDocument/2006/relationships/hyperlink" Target="http://www.sec.gov/Archives/edgar/data/1070423/000110465916159593/a16-22232_1ex4d1.htm" TargetMode="External"/><Relationship Id="rId99" Type="http://schemas.openxmlformats.org/officeDocument/2006/relationships/hyperlink" Target="http://www.sec.gov/Archives/edgar/data/1070423/000141057819001281/tv529555_ex4-1.htm" TargetMode="External"/><Relationship Id="rId100" Type="http://schemas.openxmlformats.org/officeDocument/2006/relationships/hyperlink" Target="http://www.sec.gov/Archives/edgar/data/1070423/000110465920072270/tm2022235d1_ex4-1.htm" TargetMode="External"/><Relationship Id="rId101" Type="http://schemas.openxmlformats.org/officeDocument/2006/relationships/hyperlink" Target="http://www.sec.gov/Archives/edgar/data/1581990/000110465913078057/a13-22338_2ex4d1.htm" TargetMode="External"/><Relationship Id="rId102" Type="http://schemas.openxmlformats.org/officeDocument/2006/relationships/hyperlink" Target="https://www.sec.gov/Archives/edgar/data/1581990/000158199023000005/pagp202210-kexhibit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2023-05-10T05:22:36Z</dcterms:created>
  <dcterms:modified xsi:type="dcterms:W3CDTF">2023-05-10T05:22:36Z</dcterms:modified>
</cp:coreProperties>
</file>