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900-2_424b5.htm"/>
        <w:bookmarkStart w:id="1" w:name="kstm2624900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50" w:before="557" w:after="437"/>
        <w:ind w:left="540" w:right="0" w:hanging="0"/>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5"/>
        </w:rPr>
        <w:t>Filed pursuant to Rule 424(b)(5)</w:t>
      </w:r>
      <w:r>
        <w:rPr>
          <w:rFonts w:ascii="Times New Roman;Times;serif" w:hAnsi="Times New Roman;Times;serif"/>
          <w:b/>
          <w:i w:val="false"/>
          <w:caps w:val="false"/>
          <w:smallCaps w:val="false"/>
          <w:color w:val="000000"/>
          <w:sz w:val="15"/>
        </w:rPr>
        <w:t>​</w:t>
      </w:r>
    </w:p>
    <w:p>
      <w:pPr>
        <w:pStyle w:val="TextBody"/>
        <w:bidi w:val="0"/>
        <w:spacing w:lineRule="atLeast" w:line="150" w:before="557" w:after="437"/>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5"/>
        </w:rPr>
        <w:t>Registration No. 333-281967</w:t>
      </w:r>
      <w:r>
        <w:rPr>
          <w:rFonts w:ascii="Times New Roman;Times;serif" w:hAnsi="Times New Roman;Times;serif"/>
          <w:b/>
          <w:i w:val="false"/>
          <w:caps w:val="false"/>
          <w:smallCaps w:val="false"/>
          <w:color w:val="000000"/>
          <w:sz w:val="15"/>
        </w:rPr>
        <w:t>​</w:t>
      </w:r>
    </w:p>
    <w:p>
      <w:pPr>
        <w:pStyle w:val="TextBody"/>
        <w:bidi w:val="0"/>
        <w:spacing w:lineRule="atLeast" w:line="150" w:before="36" w:after="283"/>
        <w:jc w:val="left"/>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 xml:space="preserve">Prospectus supplement </w:t>
      </w:r>
      <w:r>
        <w:rPr>
          <w:rFonts w:ascii="Times New Roman;Times;serif" w:hAnsi="Times New Roman;Times;serif"/>
          <w:b/>
          <w:i w:val="false"/>
          <w:caps w:val="false"/>
          <w:smallCaps w:val="false"/>
          <w:color w:val="000000"/>
          <w:sz w:val="15"/>
        </w:rPr>
        <w:br/>
      </w:r>
      <w:r>
        <w:rPr>
          <w:rFonts w:ascii="Times New Roman;Times;serif" w:hAnsi="Times New Roman;Times;serif"/>
          <w:b/>
          <w:i w:val="false"/>
          <w:caps w:val="false"/>
          <w:smallCaps w:val="false"/>
          <w:color w:val="000000"/>
          <w:spacing w:val="-3"/>
          <w:sz w:val="15"/>
        </w:rPr>
        <w:t>(To prospectus dated September 6, 2024)</w:t>
      </w:r>
      <w:r>
        <w:rPr>
          <w:rFonts w:ascii="Times New Roman;Times;serif" w:hAnsi="Times New Roman;Times;serif"/>
          <w:b/>
          <w:i w:val="false"/>
          <w:caps w:val="false"/>
          <w:smallCaps w:val="false"/>
          <w:color w:val="000000"/>
          <w:spacing w:val="3"/>
          <w:sz w:val="15"/>
        </w:rPr>
        <w:t xml:space="preserve"> </w:t>
      </w:r>
    </w:p>
    <w:p>
      <w:pPr>
        <w:pStyle w:val="TextBody"/>
        <w:bidi w:val="0"/>
        <w:spacing w:lineRule="atLeast" w:line="280" w:before="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$1,500,000,000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18288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9144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9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Plains All American Pipeline, L.P.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7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$700,000,000 6.750% Series A Junior Subordinated Notes due 2056</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$800,000,000 7.000% Series B Junior Subordinated Notes due 2056</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50" w:before="116"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Plains All American Pipeline, L.P. is offering $1.5 billion aggregate principal amount of fixed-to-fixed reset rate junior subordinated notes, consisting of $700 million aggregate principal amount of 6.750% Series A Junior Subordinated Notes due 2056 (the “Series A Notes”) and $800 million aggregate principal amount of 7.000% Series B Junior Subordinated Notes due 2056 (the “Series B Notes,” and together with the Series A Notes, the “Notes”).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Series A Notes will bear interest (i) from and including the original issue date (as defined herein) to, but excluding, December 15, 2031 at the rate of 6.750% per annum and (ii) from and including December 15, 2031, during each Reset Period (as defined herein) at a rate per annum equal to the Five-year U.S. Treasury Rate (as defined herein) as of the most recent Reset Interest Determination Date (as defined herein) plus a spread of 2.141%, to be reset on each Reset Date (as defined herein); provided that the interest rate during any Reset Period will not reset below 6.750% per annum (which equals the initial interest rate on the Series A Notes). The Series A Notes will mature on December 15, 2056.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Series B Notes will bear interest (i) from and including the original issue date to, but excluding, December 15, 2036 at the rate of 7.000% per annum and (ii) from and including December 15, 2036, during each Reset Period (as defined herein) at a rate per annum equal to the Five-year U.S. Treasury Rate as of the most recent Reset Interest Determination Date plus a spread of 2.167%, to be reset on each Reset Date; provided that the interest rate during any Reset Period will not reset below 7.000% per annum (which equals the initial interest rate on the Series B Notes). The Series B Notes will mature on December 15, 2056.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Interest on the Notes will accrue from and including September 14, 2026 and will be payable semi-annually in arrears on June 15 and December 15 of each year, beginning on June 15, 2027.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terms of each series of Notes will provide that so long as no event of default (as defined herein) with respect to the Notes of such series has occurred and is continuing, we may, at our option, defer interest payments on such series of Notes, from time to time, for one or more deferral periods of up to 20 consecutive semi-annual Interest Payment Periods (as defined herein) applicable to such series of Notes. During any deferral period applicable to either series of Notes, interest on such series of Notes will continue to accrue at the then-applicable interest rate on the Notes of such series (as reset from time to time on any Reset Date occurring during such deferral period in accordance with the terms of the Notes of such series) and, in addition, interest on deferred interest will accrue at the then-applicable interest rate on the Notes with respect to the Notes of either series (as reset from time to time on any Reset Date occurring during such deferral period in accordance with the terms of the Notes of such series), compounded semi-annually, to the extent permitted by applicable law. See “Description of the notes — Option to Defer Interest Payments.”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terms of each series of Notes will provide that at our option, we may redeem Notes of such series at the times and at the applicable redemption prices described in this prospectus supplement. The Notes will be our unsecured obligations and will rank junior and subordinate in right of payment to our existing and future Senior Indebtedness (as defined herein). The Notes will rank equally in right of payment with any future unsecured indebtedness that we may incur from time to time if the terms of such indebtedness provide that it ranks equally with the Notes in right of payment. None of our subsidiaries will guarantee the Notes.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w:t>
      </w:r>
    </w:p>
    <w:p>
      <w:pPr>
        <w:pStyle w:val="TextBody"/>
        <w:bidi w:val="0"/>
        <w:spacing w:lineRule="atLeast" w:line="160" w:before="80" w:after="283"/>
        <w:ind w:left="940" w:right="0" w:hanging="0"/>
        <w:jc w:val="left"/>
        <w:rPr/>
      </w:pPr>
      <w:r>
        <w:rPr>
          <w:rFonts w:ascii="Times New Roman;Times;serif" w:hAnsi="Times New Roman;Times;serif"/>
          <w:b w:val="false"/>
          <w:i w:val="false"/>
          <w:caps w:val="false"/>
          <w:smallCaps w:val="false"/>
          <w:color w:val="000000"/>
          <w:spacing w:val="3"/>
          <w:sz w:val="15"/>
        </w:rPr>
        <w:t xml:space="preserve">Investing in the Notes involves risks. See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3"/>
          <w:sz w:val="15"/>
        </w:rPr>
        <w:t xml:space="preserve"> of this prospectus supplement. </w:t>
      </w:r>
    </w:p>
    <w:p>
      <w:pPr>
        <w:pStyle w:val="TextBody"/>
        <w:bidi w:val="0"/>
        <w:spacing w:lineRule="atLeast" w:line="150" w:before="80" w:after="283"/>
        <w:ind w:left="540" w:right="0" w:firstLine="400"/>
        <w:jc w:val="left"/>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r>
        <w:rPr>
          <w:rFonts w:ascii="Times New Roman;Times;serif" w:hAnsi="Times New Roman;Times;serif"/>
          <w:b/>
          <w:i w:val="false"/>
          <w:caps w:val="false"/>
          <w:smallCaps w:val="false"/>
          <w:color w:val="000000"/>
          <w:spacing w:val="3"/>
          <w:sz w:val="15"/>
        </w:rPr>
        <w:t xml:space="preserve"> </w:t>
      </w:r>
    </w:p>
    <w:tbl>
      <w:tblPr>
        <w:tblW w:w="9665" w:type="dxa"/>
        <w:jc w:val="left"/>
        <w:tblInd w:w="540" w:type="dxa"/>
        <w:tblLayout w:type="fixed"/>
        <w:tblCellMar>
          <w:top w:w="0" w:type="dxa"/>
          <w:left w:w="0" w:type="dxa"/>
          <w:bottom w:w="28" w:type="dxa"/>
          <w:right w:w="0" w:type="dxa"/>
        </w:tblCellMar>
      </w:tblPr>
      <w:tblGrid>
        <w:gridCol w:w="2085"/>
        <w:gridCol w:w="109"/>
        <w:gridCol w:w="109"/>
        <w:gridCol w:w="119"/>
        <w:gridCol w:w="119"/>
        <w:gridCol w:w="1057"/>
        <w:gridCol w:w="119"/>
        <w:gridCol w:w="109"/>
        <w:gridCol w:w="109"/>
        <w:gridCol w:w="114"/>
        <w:gridCol w:w="237"/>
        <w:gridCol w:w="1397"/>
        <w:gridCol w:w="114"/>
        <w:gridCol w:w="109"/>
        <w:gridCol w:w="109"/>
        <w:gridCol w:w="119"/>
        <w:gridCol w:w="119"/>
        <w:gridCol w:w="1053"/>
        <w:gridCol w:w="119"/>
        <w:gridCol w:w="109"/>
        <w:gridCol w:w="109"/>
        <w:gridCol w:w="114"/>
        <w:gridCol w:w="237"/>
        <w:gridCol w:w="1393"/>
        <w:gridCol w:w="114"/>
        <w:gridCol w:w="164"/>
      </w:tblGrid>
      <w:tr>
        <w:trPr/>
        <w:tc>
          <w:tcPr>
            <w:tcW w:w="20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4" w:type="dxa"/>
            <w:gridSpan w:val="4"/>
            <w:tcBorders>
              <w:bottom w:val="single" w:sz="2" w:space="0" w:color="000000"/>
            </w:tcBorders>
            <w:vAlign w:val="center"/>
          </w:tcPr>
          <w:p>
            <w:pPr>
              <w:pStyle w:val="TableContents"/>
              <w:bidi w:val="0"/>
              <w:spacing w:lineRule="atLeast" w:line="169" w:before="0" w:after="0"/>
              <w:jc w:val="center"/>
              <w:rPr/>
            </w:pPr>
            <w:r>
              <w:rPr>
                <w:spacing w:val="-3"/>
              </w:rPr>
              <w:t>Per Series A Note</w:t>
            </w:r>
            <w:r>
              <w:rPr/>
              <w:t xml:space="preserve"> </w:t>
              <w:br/>
            </w:r>
            <w:r>
              <w:rPr>
                <w:spacing w:val="-3"/>
              </w:rPr>
              <w:t xml:space="preserve">offered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2" w:type="dxa"/>
            <w:gridSpan w:val="4"/>
            <w:tcBorders>
              <w:bottom w:val="single" w:sz="2" w:space="0" w:color="000000"/>
            </w:tcBorders>
            <w:vAlign w:val="center"/>
          </w:tcPr>
          <w:p>
            <w:pPr>
              <w:pStyle w:val="TableContents"/>
              <w:bidi w:val="0"/>
              <w:spacing w:lineRule="atLeast" w:line="169" w:before="0" w:after="0"/>
              <w:jc w:val="center"/>
              <w:rPr/>
            </w:pPr>
            <w:r>
              <w:rPr>
                <w:spacing w:val="-3"/>
              </w:rPr>
              <w:t>Total Series A Notes</w:t>
            </w:r>
            <w:r>
              <w:rPr/>
              <w:t xml:space="preserve"> </w:t>
              <w:br/>
            </w:r>
            <w:r>
              <w:rPr>
                <w:spacing w:val="-3"/>
              </w:rPr>
              <w:t xml:space="preserve">offered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0" w:type="dxa"/>
            <w:gridSpan w:val="4"/>
            <w:tcBorders>
              <w:bottom w:val="single" w:sz="2" w:space="0" w:color="000000"/>
            </w:tcBorders>
            <w:vAlign w:val="center"/>
          </w:tcPr>
          <w:p>
            <w:pPr>
              <w:pStyle w:val="TableContents"/>
              <w:bidi w:val="0"/>
              <w:spacing w:lineRule="atLeast" w:line="169" w:before="0" w:after="0"/>
              <w:jc w:val="center"/>
              <w:rPr/>
            </w:pPr>
            <w:r>
              <w:rPr>
                <w:spacing w:val="-3"/>
              </w:rPr>
              <w:t>Per Series B Note</w:t>
            </w:r>
            <w:r>
              <w:rPr/>
              <w:t xml:space="preserve"> </w:t>
              <w:br/>
            </w:r>
            <w:r>
              <w:rPr>
                <w:spacing w:val="-3"/>
              </w:rPr>
              <w:t xml:space="preserve">offered hereby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58" w:type="dxa"/>
            <w:gridSpan w:val="4"/>
            <w:tcBorders>
              <w:bottom w:val="single" w:sz="2" w:space="0" w:color="000000"/>
            </w:tcBorders>
            <w:vAlign w:val="center"/>
          </w:tcPr>
          <w:p>
            <w:pPr>
              <w:pStyle w:val="TableContents"/>
              <w:bidi w:val="0"/>
              <w:spacing w:lineRule="atLeast" w:line="169" w:before="0" w:after="0"/>
              <w:jc w:val="center"/>
              <w:rPr/>
            </w:pPr>
            <w:r>
              <w:rPr>
                <w:spacing w:val="-3"/>
              </w:rPr>
              <w:t>Total Series B Notes</w:t>
            </w:r>
            <w:r>
              <w:rPr/>
              <w:t xml:space="preserve"> </w:t>
              <w:br/>
            </w:r>
            <w:r>
              <w:rPr>
                <w:spacing w:val="-3"/>
              </w:rPr>
              <w:t xml:space="preserve">offered hereby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2085"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100.000%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1397" w:type="dxa"/>
            <w:tcBorders/>
            <w:shd w:fill="CCEEFF" w:val="clear"/>
            <w:tcMar>
              <w:bottom w:w="0" w:type="dxa"/>
            </w:tcMar>
            <w:vAlign w:val="center"/>
          </w:tcPr>
          <w:p>
            <w:pPr>
              <w:pStyle w:val="TableContents"/>
              <w:bidi w:val="0"/>
              <w:spacing w:before="0" w:after="283"/>
              <w:jc w:val="right"/>
              <w:rPr/>
            </w:pPr>
            <w:r>
              <w:rPr/>
              <w:t xml:space="preserve">700,000,000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1053" w:type="dxa"/>
            <w:tcBorders/>
            <w:shd w:fill="CCEEFF" w:val="clear"/>
            <w:tcMar>
              <w:bottom w:w="0" w:type="dxa"/>
            </w:tcMar>
            <w:vAlign w:val="center"/>
          </w:tcPr>
          <w:p>
            <w:pPr>
              <w:pStyle w:val="TableContents"/>
              <w:bidi w:val="0"/>
              <w:spacing w:before="0" w:after="283"/>
              <w:jc w:val="right"/>
              <w:rPr/>
            </w:pPr>
            <w:r>
              <w:rPr/>
              <w:t>100.000%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1393" w:type="dxa"/>
            <w:tcBorders/>
            <w:shd w:fill="CCEEFF" w:val="clear"/>
            <w:tcMar>
              <w:bottom w:w="0" w:type="dxa"/>
            </w:tcMar>
            <w:vAlign w:val="center"/>
          </w:tcPr>
          <w:p>
            <w:pPr>
              <w:pStyle w:val="TableContents"/>
              <w:bidi w:val="0"/>
              <w:spacing w:before="0" w:after="283"/>
              <w:jc w:val="right"/>
              <w:rPr/>
            </w:pPr>
            <w:r>
              <w:rPr/>
              <w:t xml:space="preserve">800,000,000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2085" w:type="dxa"/>
            <w:tcBorders/>
            <w:tcMar>
              <w:bottom w:w="0" w:type="dxa"/>
            </w:tcMar>
            <w:vAlign w:val="center"/>
          </w:tcPr>
          <w:p>
            <w:pPr>
              <w:pStyle w:val="TableContents"/>
              <w:bidi w:val="0"/>
              <w:spacing w:before="0" w:after="0"/>
              <w:jc w:val="left"/>
              <w:rPr>
                <w:spacing w:val="3"/>
              </w:rPr>
            </w:pPr>
            <w:r>
              <w:rPr>
                <w:spacing w:val="3"/>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1.000%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1397" w:type="dxa"/>
            <w:tcBorders/>
            <w:tcMar>
              <w:bottom w:w="0" w:type="dxa"/>
            </w:tcMar>
            <w:vAlign w:val="center"/>
          </w:tcPr>
          <w:p>
            <w:pPr>
              <w:pStyle w:val="TableContents"/>
              <w:bidi w:val="0"/>
              <w:spacing w:before="0" w:after="283"/>
              <w:jc w:val="right"/>
              <w:rPr/>
            </w:pPr>
            <w:r>
              <w:rPr/>
              <w:t xml:space="preserve">7,000,000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1053" w:type="dxa"/>
            <w:tcBorders/>
            <w:tcMar>
              <w:bottom w:w="0" w:type="dxa"/>
            </w:tcMar>
            <w:vAlign w:val="center"/>
          </w:tcPr>
          <w:p>
            <w:pPr>
              <w:pStyle w:val="TableContents"/>
              <w:bidi w:val="0"/>
              <w:spacing w:before="0" w:after="283"/>
              <w:jc w:val="right"/>
              <w:rPr/>
            </w:pPr>
            <w:r>
              <w:rPr/>
              <w:t>1.000%</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1393" w:type="dxa"/>
            <w:tcBorders/>
            <w:tcMar>
              <w:bottom w:w="0" w:type="dxa"/>
            </w:tcMar>
            <w:vAlign w:val="center"/>
          </w:tcPr>
          <w:p>
            <w:pPr>
              <w:pStyle w:val="TableContents"/>
              <w:bidi w:val="0"/>
              <w:spacing w:before="0" w:after="283"/>
              <w:jc w:val="right"/>
              <w:rPr/>
            </w:pPr>
            <w:r>
              <w:rPr/>
              <w:t xml:space="preserve">8,000,000 </w:t>
            </w:r>
          </w:p>
        </w:tc>
        <w:tc>
          <w:tcPr>
            <w:tcW w:w="11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2085" w:type="dxa"/>
            <w:tcBorders/>
            <w:shd w:fill="CCEEFF" w:val="clear"/>
            <w:tcMar>
              <w:bottom w:w="0" w:type="dxa"/>
            </w:tcMar>
            <w:vAlign w:val="center"/>
          </w:tcPr>
          <w:p>
            <w:pPr>
              <w:pStyle w:val="TableContents"/>
              <w:bidi w:val="0"/>
              <w:spacing w:before="0" w:after="0"/>
              <w:jc w:val="left"/>
              <w:rPr>
                <w:spacing w:val="3"/>
              </w:rPr>
            </w:pPr>
            <w:r>
              <w:rPr>
                <w:spacing w:val="3"/>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99.000%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1397" w:type="dxa"/>
            <w:tcBorders/>
            <w:shd w:fill="CCEEFF" w:val="clear"/>
            <w:tcMar>
              <w:bottom w:w="0" w:type="dxa"/>
            </w:tcMar>
            <w:vAlign w:val="center"/>
          </w:tcPr>
          <w:p>
            <w:pPr>
              <w:pStyle w:val="TableContents"/>
              <w:bidi w:val="0"/>
              <w:spacing w:before="0" w:after="283"/>
              <w:jc w:val="right"/>
              <w:rPr/>
            </w:pPr>
            <w:r>
              <w:rPr/>
              <w:t xml:space="preserve">693,000,000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1053" w:type="dxa"/>
            <w:tcBorders/>
            <w:shd w:fill="CCEEFF" w:val="clear"/>
            <w:tcMar>
              <w:bottom w:w="0" w:type="dxa"/>
            </w:tcMar>
            <w:vAlign w:val="center"/>
          </w:tcPr>
          <w:p>
            <w:pPr>
              <w:pStyle w:val="TableContents"/>
              <w:bidi w:val="0"/>
              <w:spacing w:before="0" w:after="283"/>
              <w:jc w:val="right"/>
              <w:rPr/>
            </w:pPr>
            <w:r>
              <w:rPr/>
              <w:t>99.000%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1393" w:type="dxa"/>
            <w:tcBorders/>
            <w:shd w:fill="CCEEFF" w:val="clear"/>
            <w:tcMar>
              <w:bottom w:w="0" w:type="dxa"/>
            </w:tcMar>
            <w:vAlign w:val="center"/>
          </w:tcPr>
          <w:p>
            <w:pPr>
              <w:pStyle w:val="TableContents"/>
              <w:bidi w:val="0"/>
              <w:spacing w:before="0" w:after="283"/>
              <w:jc w:val="right"/>
              <w:rPr/>
            </w:pPr>
            <w:r>
              <w:rPr/>
              <w:t>792,000,000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78" w:after="0"/>
        <w:ind w:left="940"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Plus accrued interest on the applicable series of Notes, if any, from September 14, 2026. </w:t>
      </w:r>
      <w:r>
        <mc:AlternateContent>
          <mc:Choice Requires="wps">
            <w:drawing>
              <wp:anchor behindDoc="0" distT="4953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This prospectus supplement and the accompanying base prospectus are not intended to constitute an offer to, and the Notes should not be purchased, held or otherwise acquired by, a “specified foreign entity” as defined in Section 7701(a)(51)(B) of the Internal Revenue Code of 1986, as amended (an “SFE”). By purchasing the Notes, any investor in the Notes (including all affiliated entities that participate in such purchase) will be deemed to represent and warrant to us that it is not, and will not be, for its taxable year that includes the date of the original issuance of the Notes, an SFE. </w:t>
      </w:r>
    </w:p>
    <w:p>
      <w:pPr>
        <w:pStyle w:val="TextBody"/>
        <w:bidi w:val="0"/>
        <w:spacing w:lineRule="atLeast" w:line="150" w:before="80" w:after="283"/>
        <w:ind w:left="540" w:right="0" w:firstLine="40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 xml:space="preserve">The underwriters expect to deliver the Notes in book-entry form only through facilities of The Depository Trust Company for the account of its participants, including Clearstream Banking, </w:t>
      </w:r>
      <w:r>
        <w:rPr>
          <w:rFonts w:ascii="Times New Roman;Times;serif" w:hAnsi="Times New Roman;Times;serif"/>
          <w:b w:val="false"/>
          <w:i/>
          <w:caps w:val="false"/>
          <w:smallCaps w:val="false"/>
          <w:color w:val="000000"/>
          <w:spacing w:val="3"/>
          <w:sz w:val="15"/>
        </w:rPr>
        <w:t>société anonyme</w:t>
      </w:r>
      <w:r>
        <w:rPr>
          <w:rFonts w:ascii="Times New Roman;Times;serif" w:hAnsi="Times New Roman;Times;serif"/>
          <w:b w:val="false"/>
          <w:i w:val="false"/>
          <w:caps w:val="false"/>
          <w:smallCaps w:val="false"/>
          <w:color w:val="000000"/>
          <w:spacing w:val="3"/>
          <w:sz w:val="15"/>
        </w:rPr>
        <w:t xml:space="preserve">, and Euroclear Bank SA/NV, as operator of the Euroclear System, against payment on or about September 14,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78" w:after="283"/>
        <w:jc w:val="center"/>
        <w:rPr>
          <w:rFonts w:ascii="Times New Roman;Times;serif" w:hAnsi="Times New Roman;Times;serif"/>
          <w:b w:val="false"/>
          <w:i/>
          <w:caps w:val="false"/>
          <w:smallCaps w:val="false"/>
          <w:color w:val="000000"/>
          <w:spacing w:val="3"/>
          <w:sz w:val="15"/>
        </w:rPr>
      </w:pPr>
      <w:r>
        <w:rPr>
          <w:rFonts w:ascii="Times New Roman;Times;serif" w:hAnsi="Times New Roman;Times;serif"/>
          <w:b w:val="false"/>
          <w:i/>
          <w:caps w:val="false"/>
          <w:smallCaps w:val="false"/>
          <w:color w:val="000000"/>
          <w:spacing w:val="3"/>
          <w:sz w:val="15"/>
        </w:rPr>
        <w:t xml:space="preserve">Joint Book-Running Managers </w:t>
      </w:r>
    </w:p>
    <w:p>
      <w:pPr>
        <w:pStyle w:val="TextBody"/>
        <w:bidi w:val="0"/>
        <w:spacing w:lineRule="atLeast" w:line="250" w:before="80" w:after="283"/>
        <w:ind w:left="1851"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J.P. Morgan Citigroup Mizuho MUFG Truist Securities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50" w:before="80" w:after="283"/>
        <w:ind w:left="95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BarclaysBMO Capital Markets</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BofA Securities</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CIBC Capital Markets</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Fifth Third Securities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50" w:before="80" w:after="283"/>
        <w:ind w:left="1153"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Morgan StanleyPNC Capital Markets LLC</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RBC Capital Markets</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Regions Securities LLC</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50" w:before="80" w:after="283"/>
        <w:ind w:left="1405"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ScotiabankSMBC Nikko</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TD Securities</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US Bancorp</w:t>
      </w:r>
      <w:r>
        <w:rPr>
          <w:rFonts w:ascii="Times New Roman;Times;serif" w:hAnsi="Times New Roman;Times;serif"/>
          <w:b/>
          <w:i w:val="false"/>
          <w:caps w:val="false"/>
          <w:smallCaps w:val="false"/>
          <w:color w:val="000000"/>
          <w:sz w:val="24"/>
        </w:rPr>
        <w:t xml:space="preserve"> </w:t>
      </w:r>
      <w:r>
        <w:rPr>
          <w:rFonts w:ascii="Times New Roman;Times;serif" w:hAnsi="Times New Roman;Times;serif"/>
          <w:b/>
          <w:i w:val="false"/>
          <w:caps w:val="false"/>
          <w:smallCaps w:val="false"/>
          <w:color w:val="000000"/>
          <w:spacing w:val="-5"/>
          <w:sz w:val="24"/>
        </w:rPr>
        <w:t>Wells Fargo Securities</w:t>
      </w:r>
      <w:r>
        <w:rPr>
          <w:rFonts w:ascii="Times New Roman;Times;serif" w:hAnsi="Times New Roman;Times;serif"/>
          <w:b/>
          <w:i w:val="false"/>
          <w:caps w:val="false"/>
          <w:smallCaps w:val="false"/>
          <w:color w:val="000000"/>
          <w:sz w:val="24"/>
        </w:rPr>
        <w:t xml:space="preserve"> </w:t>
      </w:r>
    </w:p>
    <w:p>
      <w:pPr>
        <w:pStyle w:val="TextBody"/>
        <w:bidi w:val="0"/>
        <w:spacing w:lineRule="atLeast" w:line="160" w:before="40" w:after="283"/>
        <w:jc w:val="center"/>
        <w:rPr>
          <w:rFonts w:ascii="Times New Roman;Times;serif" w:hAnsi="Times New Roman;Times;serif"/>
          <w:b w:val="false"/>
          <w:i/>
          <w:caps w:val="false"/>
          <w:smallCaps w:val="false"/>
          <w:color w:val="000000"/>
          <w:sz w:val="15"/>
        </w:rPr>
      </w:pPr>
      <w:r>
        <w:rPr>
          <w:rFonts w:ascii="Times New Roman;Times;serif" w:hAnsi="Times New Roman;Times;serif"/>
          <w:b w:val="false"/>
          <w:i/>
          <w:caps w:val="false"/>
          <w:smallCaps w:val="false"/>
          <w:color w:val="000000"/>
          <w:spacing w:val="3"/>
          <w:sz w:val="15"/>
        </w:rPr>
        <w:t>Co-Manager</w:t>
      </w:r>
      <w:r>
        <w:rPr>
          <w:rFonts w:ascii="Times New Roman;Times;serif" w:hAnsi="Times New Roman;Times;serif"/>
          <w:b w:val="false"/>
          <w:i/>
          <w:caps w:val="false"/>
          <w:smallCaps w:val="false"/>
          <w:color w:val="000000"/>
          <w:sz w:val="15"/>
        </w:rPr>
        <w:t xml:space="preserve"> </w:t>
      </w:r>
    </w:p>
    <w:p>
      <w:pPr>
        <w:pStyle w:val="TextBody"/>
        <w:bidi w:val="0"/>
        <w:spacing w:lineRule="atLeast" w:line="21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Zions Capital Markets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60" w:before="98" w:after="283"/>
        <w:jc w:val="center"/>
        <w:rPr>
          <w:rFonts w:ascii="Times New Roman;Times;serif" w:hAnsi="Times New Roman;Times;serif"/>
          <w:b/>
          <w:i w:val="false"/>
          <w:caps w:val="false"/>
          <w:smallCaps w:val="false"/>
          <w:color w:val="000000"/>
          <w:sz w:val="15"/>
        </w:rPr>
      </w:pPr>
      <w:r>
        <w:rPr>
          <w:rFonts w:ascii="Times New Roman;Times;serif" w:hAnsi="Times New Roman;Times;serif"/>
          <w:b/>
          <w:i w:val="false"/>
          <w:caps w:val="false"/>
          <w:smallCaps w:val="false"/>
          <w:color w:val="000000"/>
          <w:spacing w:val="-3"/>
          <w:sz w:val="15"/>
        </w:rPr>
        <w:t>The date of this prospectus supplement is September 9, 2026.</w:t>
      </w:r>
      <w:r>
        <w:rPr>
          <w:rFonts w:ascii="Times New Roman;Times;serif" w:hAnsi="Times New Roman;Times;serif"/>
          <w:b/>
          <w:i w:val="false"/>
          <w:caps w:val="false"/>
          <w:smallCaps w:val="false"/>
          <w:color w:val="000000"/>
          <w:sz w:val="15"/>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9"/>
        <w:gridCol w:w="109"/>
        <w:gridCol w:w="109"/>
        <w:gridCol w:w="109"/>
        <w:gridCol w:w="109"/>
        <w:gridCol w:w="583"/>
        <w:gridCol w:w="109"/>
        <w:gridCol w:w="155"/>
      </w:tblGrid>
      <w:tr>
        <w:trPr/>
        <w:tc>
          <w:tcPr>
            <w:tcW w:w="75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ind w:left="200" w:right="0" w:hanging="200"/>
              <w:jc w:val="left"/>
              <w:rPr/>
            </w:pPr>
            <w:hyperlink w:anchor="sINAI">
              <w:r>
                <w:rPr>
                  <w:rStyle w:val="InternetLink"/>
                  <w:spacing w:val="4"/>
                </w:rPr>
                <w:t xml:space="preserve">Important notice about information in this prospectus supplement and the accompanying base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INAI">
              <w:r>
                <w:rPr>
                  <w:rStyle w:val="InternetLink"/>
                  <w:spacing w:val="4"/>
                </w:rPr>
                <w:t>S-ii</w:t>
              </w:r>
            </w:hyperlink>
            <w:hyperlink w:anchor="sINA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FOST">
              <w:r>
                <w:rPr>
                  <w:rStyle w:val="InternetLink"/>
                  <w:spacing w:val="4"/>
                </w:rPr>
                <w:t xml:space="preserve">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FOST">
              <w:r>
                <w:rPr>
                  <w:rStyle w:val="InternetLink"/>
                  <w:spacing w:val="4"/>
                </w:rPr>
                <w:t>S-iv</w:t>
              </w:r>
            </w:hyperlink>
            <w:hyperlink w:anchor="sFO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S-14</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CAP">
              <w:r>
                <w:rPr>
                  <w:rStyle w:val="InternetLink"/>
                  <w:spacing w:val="4"/>
                </w:rPr>
                <w:t>S-15</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S-16</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BDAF">
              <w:r>
                <w:rPr>
                  <w:rStyle w:val="InternetLink"/>
                  <w:spacing w:val="4"/>
                </w:rPr>
                <w:t xml:space="preserve">Book-entry, delivery and form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BDAF">
              <w:r>
                <w:rPr>
                  <w:rStyle w:val="InternetLink"/>
                  <w:spacing w:val="4"/>
                </w:rPr>
                <w:t>S-29</w:t>
              </w:r>
            </w:hyperlink>
            <w:hyperlink w:anchor="sBDA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MUSF">
              <w:r>
                <w:rPr>
                  <w:rStyle w:val="InternetLink"/>
                  <w:spacing w:val="4"/>
                </w:rPr>
                <w:t xml:space="preserve">Material United States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MUSF">
              <w:r>
                <w:rPr>
                  <w:rStyle w:val="InternetLink"/>
                  <w:spacing w:val="4"/>
                </w:rPr>
                <w:t>S-32</w:t>
              </w:r>
            </w:hyperlink>
            <w:hyperlink w:anchor="sMUS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UND">
              <w:r>
                <w:rPr>
                  <w:rStyle w:val="InternetLink"/>
                  <w:spacing w:val="4"/>
                </w:rPr>
                <w:t>S-39</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S-46</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9"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3" w:type="dxa"/>
            <w:tcBorders/>
            <w:tcMar>
              <w:bottom w:w="0" w:type="dxa"/>
            </w:tcMar>
            <w:vAlign w:val="center"/>
          </w:tcPr>
          <w:p>
            <w:pPr>
              <w:pStyle w:val="TableContents"/>
              <w:bidi w:val="0"/>
              <w:spacing w:before="0" w:after="283"/>
              <w:jc w:val="right"/>
              <w:rPr/>
            </w:pPr>
            <w:hyperlink w:anchor="sEXP">
              <w:r>
                <w:rPr>
                  <w:rStyle w:val="InternetLink"/>
                  <w:spacing w:val="4"/>
                </w:rPr>
                <w:t>S-46</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9"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3"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5975" w:type="dxa"/>
        <w:jc w:val="left"/>
        <w:tblInd w:w="1393" w:type="dxa"/>
        <w:tblLayout w:type="fixed"/>
        <w:tblCellMar>
          <w:top w:w="0" w:type="dxa"/>
          <w:left w:w="0" w:type="dxa"/>
          <w:bottom w:w="0" w:type="dxa"/>
          <w:right w:w="0" w:type="dxa"/>
        </w:tblCellMar>
      </w:tblPr>
      <w:tblGrid>
        <w:gridCol w:w="124"/>
        <w:gridCol w:w="4742"/>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APAA">
              <w:r>
                <w:rPr>
                  <w:rStyle w:val="InternetLink"/>
                  <w:spacing w:val="4"/>
                </w:rPr>
                <w:t xml:space="preserve">About Plains All American Pipeline,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APAA">
              <w:r>
                <w:rPr>
                  <w:rStyle w:val="InternetLink"/>
                  <w:spacing w:val="4"/>
                </w:rPr>
                <w:t>1</w:t>
              </w:r>
            </w:hyperlink>
            <w:hyperlink w:anchor="bAP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DOOD">
              <w:r>
                <w:rPr>
                  <w:rStyle w:val="InternetLink"/>
                  <w:spacing w:val="4"/>
                </w:rPr>
                <w:t xml:space="preserve">Description of our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D">
              <w:r>
                <w:rPr>
                  <w:rStyle w:val="InternetLink"/>
                  <w:spacing w:val="4"/>
                </w:rPr>
                <w:t>5</w:t>
              </w:r>
            </w:hyperlink>
            <w:hyperlink w:anchor="bDO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DOOP">
              <w:r>
                <w:rPr>
                  <w:rStyle w:val="InternetLink"/>
                  <w:spacing w:val="4"/>
                </w:rPr>
                <w:t xml:space="preserve">Description of our preferred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OP">
              <w:r>
                <w:rPr>
                  <w:rStyle w:val="InternetLink"/>
                  <w:spacing w:val="4"/>
                </w:rPr>
                <w:t>13</w:t>
              </w:r>
            </w:hyperlink>
            <w:hyperlink w:anchor="bDO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DOOC">
              <w:r>
                <w:rPr>
                  <w:rStyle w:val="InternetLink"/>
                  <w:spacing w:val="4"/>
                </w:rPr>
                <w:t xml:space="preserve">Description of our common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C">
              <w:r>
                <w:rPr>
                  <w:rStyle w:val="InternetLink"/>
                  <w:spacing w:val="4"/>
                </w:rPr>
                <w:t>15</w:t>
              </w:r>
            </w:hyperlink>
            <w:hyperlink w:anchor="bD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CDP">
              <w:r>
                <w:rPr>
                  <w:rStyle w:val="InternetLink"/>
                  <w:spacing w:val="4"/>
                </w:rPr>
                <w:t xml:space="preserve">Cash distribution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CDP">
              <w:r>
                <w:rPr>
                  <w:rStyle w:val="InternetLink"/>
                  <w:spacing w:val="4"/>
                </w:rPr>
                <w:t>17</w:t>
              </w:r>
            </w:hyperlink>
            <w:hyperlink w:anchor="bC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DOOP1">
              <w:r>
                <w:rPr>
                  <w:rStyle w:val="InternetLink"/>
                  <w:spacing w:val="4"/>
                </w:rPr>
                <w:t xml:space="preserve">Description of our partnership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P1">
              <w:r>
                <w:rPr>
                  <w:rStyle w:val="InternetLink"/>
                  <w:spacing w:val="4"/>
                </w:rPr>
                <w:t>19</w:t>
              </w:r>
            </w:hyperlink>
            <w:hyperlink w:anchor="bDO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MUFI">
              <w:r>
                <w:rPr>
                  <w:rStyle w:val="InternetLink"/>
                  <w:spacing w:val="4"/>
                </w:rPr>
                <w:t>24</w:t>
              </w:r>
            </w:hyperlink>
            <w:hyperlink w:anchor="b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POD">
              <w:r>
                <w:rPr>
                  <w:rStyle w:val="InternetLink"/>
                  <w:spacing w:val="4"/>
                </w:rPr>
                <w:t>40</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742"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LEMA">
              <w:r>
                <w:rPr>
                  <w:rStyle w:val="InternetLink"/>
                  <w:spacing w:val="4"/>
                </w:rPr>
                <w:t>42</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742"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XP">
              <w:r>
                <w:rPr>
                  <w:rStyle w:val="InternetLink"/>
                  <w:spacing w:val="4"/>
                </w:rPr>
                <w:t>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INAI"/>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about information in this prospectus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supplement and the accompanying base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description of the offering varies between the prospectus supplement and the accompanying base prospectus, you should rely on the information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that are subject to a number of risks and uncertainties, many of which are beyond our control. See “Forward-looking statements” and “Risk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September 14, 2026, which is the third business day following the date of pricing of the Notes (such settlement being referred to as “T+3”).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T+3, to specify an alternate settlement cycle at the time of any such trade to prevent failed settlement and should consult their own advisors.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Pro Forma Presentation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2025, we completed the purchase of an aggregate 55% non-operated equity interest in EPIC Crude Holdings, LP (“EPIC Crude Holdings”), the entity that owned and operated the Cactus III Pipeline, formerly known as the EPIC Crude Oil Pipeline, and an aggregate 55% of the membership interests in EPIC Crude Holdings GP, LLC (“EPIC GP”), the general partner of EPIC Crude Holdings (the “EPIC 55% Transaction”). Effective November 1, 2025, in a separate transaction from the EPIC 55% Transaction, we also completed the purchase of the remaining 45% equity interest in EPIC Crude Holdings and the remaining 45% of the membership interests in EPIC GP (the “EPIC 45% Transaction,” and, together with the EPIC 55% Transaction,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we completed the sale of our Canadian NGL business. The operations of the Canadian NGL business met the criteria for classification as held for sale and for discontinued operations reporting. Accordingly, the balance sheet, results of operations and cash flows of the Canadian NGL business have been presented as discontinued operations in our condensed consolidated financial statements incorporated by reference herein. The SEC has held that if a significant disposition is presented as a discontinued operation in a registrant’s historical financial statements before the disposition is consummated, certain pro forma financial information with respect to such disposition may not be required.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incorporates by reference certain unaudited “pro forma” financial data. Pro forma financial data gives effect to the Transactions as if they had been consummated at the beginning of the periods presented. The pro forma financial data does not give effect to the sale of our Canadian NGL business. In each case, the pro forma data is presented for illustrative purposes only and should not be relied upon as an indication of the results of operations that would have been achieved if the Transactions had taken place on the specified dates. Accordingly, future results may vary significantly from the results reflected in such pro forma data and should not be relied on as an indication of future results. See our unaudited pro forma condensed combined financial statements and the related notes thereto incorporated by reference herein for additional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FOS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366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6858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of global geopolitical events, including conflicts in the Middle East and elsewhere, on commodity price volatility and crude oil supply and demand, as well as broader impacts on financial markets and the global macroeconomic environment; </w:t>
      </w:r>
      <w:r>
        <mc:AlternateContent>
          <mc:Choice Requires="wps">
            <w:drawing>
              <wp:anchor behindDoc="0" distT="6731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resulting changes in pricing conditions or transportation throughput requirements; </w:t>
      </w:r>
      <w:r>
        <mc:AlternateContent>
          <mc:Choice Requires="wps">
            <w:drawing>
              <wp:anchor behindDoc="0" distT="6731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market structure, grade differentials and volatility (or lack thereof); </w:t>
      </w:r>
      <w:r>
        <mc:AlternateContent>
          <mc:Choice Requires="wps">
            <w:drawing>
              <wp:anchor behindDoc="0" distT="6731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6731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our ability to consummate, acquisitions, divestitures, joint ventures or other strategic opportunities and realize benefits therefrom; </w:t>
      </w:r>
      <w:r>
        <mc:AlternateContent>
          <mc:Choice Requires="wps">
            <w:drawing>
              <wp:anchor behindDoc="0" distT="6731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w:t>
      </w:r>
      <w:r>
        <mc:AlternateContent>
          <mc:Choice Requires="wps">
            <w:drawing>
              <wp:anchor behindDoc="0" distT="6731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6731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6731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6731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hurricanes, floods, wildfires and drought); </w:t>
      </w:r>
      <w:r>
        <mc:AlternateContent>
          <mc:Choice Requires="wps">
            <w:drawing>
              <wp:anchor behindDoc="0" distT="6731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or other infrastructure and its impact on expected crude oil production growth in the Permian Basin; </w:t>
      </w:r>
      <w:r>
        <mc:AlternateContent>
          <mc:Choice Requires="wps">
            <w:drawing>
              <wp:anchor behindDoc="0" distT="7493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and other petroleum products, which may impair our ability to execute our commercial or hedging strategies;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our credit ratings and ability to receive open credit from our suppliers and trade counterparties;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realize anticipated benefits from operational and organizational streamlining and efficiency efforts and initiatives;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deferral of current revenue recognition attributable to deficiency payments received from customers who fail to ship or move their minimum contracted volumes;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our units at the time of vesting under our long-term incentive plans; </w:t>
      </w:r>
      <w:r>
        <mc:AlternateContent>
          <mc:Choice Requires="wps">
            <w:drawing>
              <wp:anchor behindDoc="0" distT="0" distB="0" distL="254000" distR="0" simplePos="0" locked="0" layoutInCell="1" allowOverlap="1" relativeHeight="37">
                <wp:simplePos x="0" y="0"/>
                <wp:positionH relativeFrom="column">
                  <wp:align>left</wp:align>
                </wp:positionH>
                <wp:positionV relativeFrom="line">
                  <wp:posOffset>635</wp:posOffset>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and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crude oil, as well as in the processing, transportation, fractionation, storage and marketing of NGL.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or incorporated by reference herein, as well as factors that are unknown or unpredictable, could also have a material adverse effect on future results. See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4"/>
          <w:sz w:val="20"/>
        </w:rPr>
        <w:t xml:space="preserve"> of this prospectus supplement and in Item 1A. “Risk Factors” in our </w:t>
      </w:r>
      <w:hyperlink r:id="rId3">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or 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PSS"/>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w:t>
      </w:r>
      <w:hyperlink w:anchor="sRIFA">
        <w:r>
          <w:rPr>
            <w:rStyle w:val="InternetLink"/>
          </w:rPr>
          <w:t>7</w:t>
        </w:r>
      </w:hyperlink>
      <w:r>
        <w:rPr>
          <w:rFonts w:ascii="Times New Roman;Times;serif" w:hAnsi="Times New Roman;Times;serif"/>
          <w:b w:val="false"/>
          <w:i/>
          <w:caps w:val="false"/>
          <w:smallCaps w:val="false"/>
          <w:color w:val="000000"/>
          <w:spacing w:val="4"/>
          <w:sz w:val="20"/>
          <w:bdr w:val="single" w:sz="8" w:space="1" w:color="000000"/>
        </w:rPr>
        <w:t xml:space="preserve"> of this prospectus supplement and in Item 1A. “Risk Factors” in our </w:t>
      </w:r>
      <w:hyperlink r:id="rId4">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(File No. 001-14569) and in any of our subsequent quarterly or current reports, which are incorporated in this prospectus supplement by reference, for information regarding risks you should consider before making a decision to purchase any Notes in this offering.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For purposes of this prospectus supplement and the accompanying base prospectus, except as set forth in “Description of the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but not to any of the other subsidiaries of Plains All American Pipeline, L.P. References to our “general partner,” as the context requires, include any or all of PAA GP LLC, Plains AAP, L.P. and Plains All American GP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Plains All American Pipeline, L.P.</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Principal Executive Offices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executive offices are located at 333 Clay Street, Suite 1600, Houston, Texas 77002. Our telephone number is (713) 646-4100. We maintain a website at www.plains.com where we routinely post important information about our business and operations. Information contained on or available through our website is not incorporated into or otherwise a part of this prospectus supplement or the accompanying base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Additional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For additional information about us, including our partnership structure and management, please refer to the documents set forth under “Where you can find more information” in this prospectus supplement, including our </w:t>
      </w:r>
      <w:hyperlink r:id="rId5">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bdr w:val="single" w:sz="8" w:space="1" w:color="000000"/>
        </w:rPr>
        <w:t xml:space="preserve"> (File No. 001-14569), our Quarterly Reports on Form 10-Q for the periods ended </w:t>
      </w:r>
      <w:hyperlink r:id="rId6">
        <w:r>
          <w:rPr>
            <w:rStyle w:val="InternetLink"/>
          </w:rPr>
          <w:t>March 31, 2026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hyperlink r:id="rId7">
        <w:r>
          <w:rPr>
            <w:rStyle w:val="InternetLink"/>
          </w:rPr>
          <w:t>June 30, 2026</w:t>
        </w:r>
      </w:hyperlink>
      <w:r>
        <w:rPr>
          <w:rFonts w:ascii="Times New Roman;Times;serif" w:hAnsi="Times New Roman;Times;serif"/>
          <w:b w:val="false"/>
          <w:i w:val="false"/>
          <w:caps w:val="false"/>
          <w:smallCaps w:val="false"/>
          <w:color w:val="000000"/>
          <w:spacing w:val="4"/>
          <w:sz w:val="20"/>
          <w:bdr w:val="single" w:sz="8" w:space="1" w:color="000000"/>
        </w:rPr>
        <w:t xml:space="preserve"> and any subsequent Current Reports on Form 8-K (other than, in each case, information furnished rather than filed), each of which is incorporated by reference herein.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summary below describes the principal terms of the Notes. Certain of the terms described below are subject to important limitations and exceptions. The “Description of the notes” section of this prospectus supplement and the “Description of our debt securities” section of the accompanying base prospectus contain a more detailed description of the terms of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Plains All American Pipeline, L.P.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 million aggregate principal amount of 6.750% Series A Junior Subordinated Notes due 2056 and $800 million aggregate principal amount of 7.000% Series B Junior Subordinated Notes due 2056.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mature on December 15, 2056.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Series A Notes will bear interest (i) from and including September 14, 2026 to, but excluding, December 15, 2031 (the “Series A First Reset Date”) at the rate of 6.750% per annum and (ii) from and including the Series A First Reset Date, during each Reset Period at a rate per annum equal to the Five-year U.S. Treasury Rate as of the most recent Reset Interest Determination Date plus a spread of 2.141%, to be reset on each Reset Date; provided that the interest rate during any Reset Period will not reset below 6.750% per annum (which equals the initial interest rate on the Series A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Series B Notes will bear interest (i) from and including September 14, 2026 to, but excluding, December 15, 2036 (the “Series B First Reset Date”) at the rate of 7.000% per annum and (ii) from and including the Series B First Reset Date, during each Reset Period at a rate per annum equal to the Five-year U.S. Treasury Rate as of the most recent Reset Interest Determination Date plus a spread of 2.167%, to be reset on each Reset Date; provided that the interest rate during any Reset Period will not reset below 7.000% per annum (which equals the initial interest rate on the Series B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definitions of the terms “Reset Period,” “Five-year U.S. Treasury Rate,” “Reset Interest Determination Date” and “Reset Date” and for other important information concerning the calculation of interest on the Notes, see “Description of the notes — Interest Rate and Maturity”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our right to defer interest payments as described under “— Optional interest deferral” below, we will pay interest on the Notes semi-annually in arrears on June 15 and December 15 of each year, beginning on June 15,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interest deferral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of each series of Notes will provide that so long as no event of default with respect to the Notes of such series has occurred and is continuing, we may, at our option, defer interest payments on such series of Notes, from time to time, for one or more deferral periods of up to 20 consecutive semi-annual Interest Payment Periods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interest payment date applicable to such series of Notes. In other words, with respect to each series of Notes, we may declare at our discretion up to a ten-year interest payment moratorium and may choose to do that on one or more occasions.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interest on the deferred interest (“compound interest”), on the Notes of such series shall become due and payable.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definition of the term “event of default,” see “Description of the notes — Events of Default” in this prospectus supplement, and for the definition of the term “Interest Payment Period” and other important information concerning our right to defer interest payments on such notes, see “Description of the notes — Option to Defer Interest Payments”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Restrictions during an optional deferral period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any Optional Deferral Period, with respect to the Notes of either series, we (and our subsidiaries, as applicable) may not do any of the following (subject to certain exceptions): (i) declare or pay dividends or distributions on any of our capital stock, (ii) redeem, purchase, acquire or make a liquidation payment with respect to any of our capital stock, (iii) pay any principal, interest or premium on, or repay, repurchase or redeem, any of our indebtedness that ranks equally with or junior to the Notes of such series in right of payment, or (iv) make any payments with respect to any guarantees by us of any indebtedness if such guarantees rank equally with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junior to the Notes of such series in right of payment. For further information, including information concerning the exceptions referred to above, see “Description of the notes — Option to Defer Interest Payments” in this prospectus supplement.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our unsecured obligations and will rank junior and subordinate in right of payment to the prior payment of our existing and future Senior Indebtedness, to the extent and in the manner set forth under the caption “Description of the notes —  Subordination” in this prospectus supplement. For the definition of the term “Senior Indebtedness,” see “Description of the notes —  Subordination” in this prospectus supplement. The Notes will not be guaranteed by any of our subsidiaries. The Notes will rank equally in right of payment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Mandatory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be required to make mandatory redemption or sinking fund payments on the Notes or to repurchase the Notes at the option of the holders.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of each series of Notes will provide that at our option, we may redeem some or all of the Notes of such series before their maturity, as follows: </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each case at a redemption price in cash equal to 100% of the principal amount of the Notes of such series to be redeemed, plus, subject to the terms described in the first paragraph under “Description of the notes — Redemption — Redemption Procedures; Cancellation of Redemption” in this prospectus supplement, accrued and unpaid interest on the Notes of such series to be redeemed to, but excluding, such redemption date; </w:t>
      </w:r>
      <w:r>
        <mc:AlternateContent>
          <mc:Choice Requires="wps">
            <w:drawing>
              <wp:anchor behindDoc="0" distT="97790" distB="0" distL="21336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whole, but not in part, at any time within 120 days after the occurrence of a Tax Event (as defined in “Description of the notes — Redemption — Redemption Following a Tax Event” in this prospectus supplement) at a redemption price in cash equal to 100% of the principal amount of the Notes of such series to be redeemed, plus, subject to the terms described in the first paragraph under “Description of the notes —  Redemption — Redemption Procedures; Cancellation of Redemption” in this prospectus supplement, accrued and unpaid interest on the Notes of such series to be redeemed to, but excluding, such redemption date; and </w:t>
      </w:r>
      <w:r>
        <mc:AlternateContent>
          <mc:Choice Requires="wps">
            <w:drawing>
              <wp:anchor behindDoc="0" distT="9779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whole, but not in part, at any time during the continuance of and, in any event, within 120 days after the occurrence of, a Rating Agency Event (as defined in “Description of the notes —  Redemption — Redemption Following a Rating Agency </w:t>
      </w:r>
      <w:r>
        <mc:AlternateContent>
          <mc:Choice Requires="wps">
            <w:drawing>
              <wp:anchor behindDoc="0" distT="9906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283"/>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Event” in this prospectus supplement) at a redemption price in cash equal to 102% of the principal amount of the Notes of such series to be redeemed, plus, subject to the terms described in the first paragraph under “Description of the notes —  Redemption — Redemption Procedures; Cancellation of Redemption” in this prospectus supplement, accrued and unpaid interest on the Notes of such series to be redeemed to, but excluding, such redemption date.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of this offering will be approximately $1.479 billion after deducting the underwriting discounts and our estimated offering expenses. We intend to use the net proceeds from the offering, together with cash on hand and commercial paper borrowings, to redeem all 58,411,908 Series A Preferred Units (the “Series A Preferred Units”) outstanding on or about the closing date of this offering at a redemption price of 110% of par value of $26.25 per unit ($28.875 per unit), and all 800,000 Series B Preferred Units (“Series B Preferred Units” and together with the Series A Preferred Units, the “Preferred Units”) outstanding on or about October 9, 2026 (30 days following the date hereof) at a redemption price of 100% of par value of $1,000 per unit, plus any accrued and unpaid distributions, if any, to, but not including the applicable redemption date (the “Preferred Unit Redemptions”). See “Use of proceeds.” This prospectus supplement does not constitute a notice of redemption with respect to either of the Series A Preferred Units or the Series B Preferred Units.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Book-entry, delivery and form</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of each series will be represented by one or more permanent global certificates in fully registered form deposited with a custodian for, and registered in the name of, a nominee of The Depository Trust Company.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See “Risk factors — Risks Related to the Notes — Your ability to transfer the Notes may be limited by the absence of an organized trading market.”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 federal income tax considerations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treat the Notes as indebtedness for U.S. federal income tax purposes. Each holder of the Notes will, by accepting the Notes, be deemed to have agreed that the holder intends that the Notes constitute indebtedness and will treat the Notes as indebtedness for U.S. federal and applicable state and local income tax purposes. See “Material United States federal income tax consequences —  Classification of the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a description of the material U.S. federal income tax consequences of the ownership and disposition of the Notes, see “Material United States federal income tax consequences.” </w:t>
      </w:r>
    </w:p>
    <w:p>
      <w:pPr>
        <w:pStyle w:val="TextBody"/>
        <w:bidi w:val="0"/>
        <w:spacing w:lineRule="atLeast" w:line="240" w:before="8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the Notes involves risks. You should consider carefully all of the information in this prospectus supplement, the accompanying base prospectus, any free writing prospectus relating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to this offering and the documents incorporated by reference herein and therein. In particular, you should consider carefully the specific risks set forth in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Before making an investment in the Notes offered hereby, you should carefully consider the risk factors discussed herein and those included in Item 1A. “Risk Factors” in our </w:t>
      </w:r>
      <w:hyperlink r:id="rId8">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(File No. 001-14569), and in any of our subsequent quarterly or 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subordinated or effectively subordinated to all of our other indebtedness (other than any unsecured indebtedness we have incurred or may in the future incur that ranks junior to or pari passu with the Notes), and the indenture will not limit the aggregate amount of indebtedness that we or our subsidiaries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indenture governing the Notes, the Notes will be subordinated in right of payment to all of our existing and future Senior Indebtedness (as defined under “Description of the notes — Subordination”). This means that, in the event of (a) our dissolution, winding-up, liquidation or reorganization, (b) our failure to pay any interest, principal or other monetary amounts due on any of our Senior Indebtedness when due (and continuance of that default beyond any applicable grace period) or (c) acceleration of the maturity of any of our Senior Indebtedness as a result of a default, we will not be permitted to make any payments on the Notes until, in the case of clause (a), all amounts due or to become due on all of its Senior Indebtedness have been paid in full, or, in the case of clauses (b) and (c), all amounts due on our Senior Indebtedness have been paid in full. For additional information about the subordination of the Notes to our Senior Indebtedness, see “Description of the notes — Subordination” in this prospectus supplement. As of June 30, 2026, after giving effect to this offering and the application of the net proceeds as set forth under “Use of proceeds,” we would have had total senior debt of $8.8 billion. Due to the subordination of the Notes to our Senior Indebtedness, if our assets are distributed upon our dissolution, winding-up, liquidation or reorganization, holders of our Senior Indebtedness and any secured indebtedness would likely recover more, ratably, than the holders of the Notes, and it is possible that no payments would be made to the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rank equally in right of payment with any future unsecured indebtedness that we may incur from time to time if the terms of such indebtedness provide that it ranks equally with the Notes in right of payment. As of June 30, 2026, after giving effect to this offering and the application of the net proceeds as set forth under “Use of proceeds,” we would have had total junior subordinated debt of $1.5 billion (reflecting the issuance of the Notes only).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limit the amount of Senior Indebtedness or secured indebtedness that may be incurred by us or the amount of other indebtedness or liabilities that may be incurred by us or any of our subsidiaries. The incurrence by us or our subsidiaries of additional indebtedness, including the incurrence of additional Senior Indebtedness or secured indebtedness by us, may have adverse consequences for you as a holder of the Notes, including making it more difficult for us to satisfy our obligations with respect to the Notes, a loss of all or part of the trading value of your Notes and a risk that one or more of the credit ratings of the Notes could be lowered or withdrawn. Both we and our subsidiaries expect to incur substantial amounts of additional indebtedness, including Senior Indebtedness, in the future.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interest rate on each series of Notes will reset on the applicable First Reset Date and each subsequent Reset Date and any interest payable after a Reset Date may be based on a rate that is less than an amount of interest payable in an earlier interest period. Although it is not possible for the interest rate on the notes to decrease below the interest rate as in effect during the Initial Fixed Period, the interest rate on the notes will fluctuate over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on the Series A Notes from their original issue date to, but excluding, the Series A First Reset Date will be 6.750% per annum. Beginning on the Series A First Reset Date, the interest rate on the Series A Notes for each Reset Period will equal the Five-year U.S. Treasury Rate as of the most recent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Reset Interest Determination Date plus a spread of 2.141%, to be reset on each Reset Date; provided that the interest rate during any Reset Period will not reset below 6.750% per annum (which equals the initial interest rate on the Series A Notes). The interest rate on the Series B Notes from their original issue date to, but excluding, the Series B First Reset Date will be 7.000% per annum. Beginning on the Series B First Reset Date, the interest rate on the Series B Notes for each Reset Period will equal the Five-year U.S. Treasury Rate as of the most recent Reset Interest Determination Date plus a spread of 2.167%, to be reset on each Reset Date; provided that the interest rate during any Reset Period will not reset below 7.000% per annum (which equals the initial interest rate on the Series B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although it is not possible for the interest rate to decrease below the interest rate as in effect during the initial Interest Payment Period preceding the Series A First Rest Date and Series B First Reset Date, respectively, the interest rate payable on either series of Notes during any Interest Payment Period following a Reset Date could be less than the interest rate payable during a previous Reset Period. We have no control over the factors that may affect U.S. Treasury rates, including geopolitical, economic, financial, political, regulatory, judicial or other conditions or events.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historical Five-year U.S. Treasury Rates are not an indication of future Five-year U.S. Treasury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the annual interest rate on the Notes for each Reset Period will be set by reference to the Five-year U.S. Treasury Rate as of the most recent Reset Interest Determination Date (provided that the interest rate during any Interest Reset Period will not reset below 6.750% per annum, with respect to the Series A Notes, and 7.000% per annum, with respect to the Series B Notes). In the past, U.S. Treasury rates have experienced significant fluctuations. You should note that historical levels, fluctuations and trends of U.S. Treasury rates are not necessarily indicative of future levels. Any historical upward or downward trend in U.S. Treasury rates is not an indication that U.S. Treasury rates are more or less likely to increase or decrease at any time in the future and you should not take historical U.S. Treasury rates as an indication of future U.S. Treasury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 defer interest payments on the Notes for one or more Optional Deferral Periods of up to 20 consecutive semi-annual Interest Payment Periods each. This may affect the market price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so long as no event of default (as defined below under “Description of the notes — Events of Default”) with respect to the Notes of such series has occurred and is continuing, we may, at our option, defer interest payments on such series of Notes, from time to time, for one or more Optional Deferral Periods of up to 20 consecutive Interest Payment Periods applicable to such series of Notes each, except that no such Optional Deferral Period may extend beyond the final maturity date of the Notes of such series or end on a day other than the day immediately preceding an interest payment date applicable to such series of Notes. In other words, with respect to each series of Notes, we may declare at our discretion up to a ten-year interest payment moratorium and may choose to do that on one or more occasions. Moreover, following the end of any Optional Deferral Period, if all amounts then due on the applicable series of Notes are paid, we could immediately start a new Optional Deferral Period of up to 20 consecutive semi-annual Interest Payment Periods. No interest will be due or payable on the Notes of such series during an Optional Deferral Period, unless we elect, at our option, to redeem any Notes of such series on any redemption date during such Optional Deferral Period, in which case all accrued and unpaid interest on the Notes of such series to be redeemed to, but excluding, such redemption date will be due and payable on such redemption date, or unless the principal of and interest on the Notes of such series shall have been declared due and payable as a result of an event of default with respect to the Notes of such series, in which case, all accrued and unpaid interest on the Notes of such series shall become due and payable. Instead, interest on the applicable series of Notes would be deferred but would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would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If we exercise this interest deferral right with respect to the Notes of any series, the Notes of such series may trade at a price that does not reflect the value of accrued and unpaid interest on such Notes or that is otherwise substantially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the price at which such Notes would have traded if we had not exercised such deferral right. If we exercise this interest deferral right and you sell your Notes of such series during an Optional Deferral Period, you may not receive the same return on your investment as a holder that continues to hold its Notes until we pay the deferred interest following the end of such Optional Deferral Period. In addition, as a result of our right to defer interest payments, the market price of the Notes may be more volatile than other securities that do not have these rights.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certain circumstances, holders of the Notes may be subject to U.S. federal income tax on interest before they receive cash payments from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option under certain circumstances to defer payments of stated interest on the Notes (see “Description of the notes — Option to Defer Interest Payments”). We believe the likelihood of our exercising the option to defer interest payments is “remote” within the meaning of the U.S. Treasury Regulations, and in addition, we expect the Notes to be treated as “variable rate debt instruments” for U.S. federal income tax purposes. Based on the foregoing, the U.S. Treasury Regulations applicable to variable rate debt instruments and the expected pricing terms of the Notes, we do not expect the Notes of each series to be treated as issued with original issue discount (“OID”)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option to defer interest payments on the Notes of any series were determined not to be remote, if we exercise the option to defer interest payments on the Notes of any series, if the pricing terms for the Notes of a series were to be set in a manner different than our expectations or if the Notes of a series were otherwise determined to have OID, the Notes of such series would be treated as issued with OID at the time of issuance or as reissued with OID at the time of such deferral, as the case may be, and all or a portion of the stated interest or, if interest is in fact deferred, all stated interest due after such deferral would be treated as OID. Under the OID rules, a U.S. holder (as defined in “Material United States federal income tax consequences —  Tax Consequences to U.S. Holders”) would be required to include such OID in taxable income (as ordinary income) with respect to the Notes of such series as it accrues, using a constant yield method, regardless of such U.S. holder’s method of accounting for U.S. federal income tax purposes and in advance of the receipt of cash to which such OID is attributable with respect to the Notes of such series. Any OID included in income would increase the holder’s adjusted tax basis in its Notes, and the actual receipt of cash interest payments would reduce that adjusted tax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accrued and unpaid interest during an Optional Deferral Period for the Notes of such series will be payable on the interest payment date immediately following the last day of such Optional Deferral Period. In the event of such a deferral, a U.S. holder that disposes of the Notes of such series between record dates for interest payments will be required to include OID accrued to the date of such disposition in taxable income and such OID would increase such U.S. holder’s adjusted tax basis in the Notes of such series. To the extent the selling price is less than the U.S. holder’s adjusted tax basis, the U.S. holder would recognize a capital loss for U.S. federal income tax purposes. See “Material United States federal income tax consequences — Tax Consequences to U.S. Holders — Interest and Original Issue Discount.” Holders should consult with their tax advisors regarding the tax consequences to them of an investment in the Notes and potential for, and consequences of, the Notes being treated as issued (or reissued) with OID.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could be subject to materially different U.S. federal income tax consequences if the Notes were not to be respected as indebtedness for U.S. federal income tax purposes.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a security is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In the opinion of Vinson &amp; Elkins LLP, under current law and based on the facts contained in this prospectus supplement, the terms of the Notes of each series and the indenture applicable to each series of Notes, and certain assumptions and representations relied upon in rendering such opinion, the Notes should be treated as indebtedness for U.S. federal income tax purposes (although there is no controlling authority directly on point). Further, we intend to treat the Notes as indebtedness for U.S. federal income tax purposes, and each holder of the Notes will, by accepting the Notes, be deemed to have agreed that the holder intends that the Notes constitute indebtedness and will treat the Notes as indebtedness for U.S. federal and applicable state and local income tax purposes. However, this position is not binding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IRS or any court, and there can be no assurance that the IRS or a court will not challenge this position or that a court would not sustain such a challenge.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IRS were to successfully challenge the classification of the Notes as indebtedness, the U.S. federal income tax consequences to holders of the Notes would be materially different from those described herein. In such case, certain holders of the Notes could have substantial adverse tax consequences. For example, employee benefit plans and most other tax-exempt organizations, including individual retirement accounts and other retirement plans, could be subject to U.S. federal income tax on income and gain, if any, recognized by them with respect to the Notes as unrelated business taxable income. Non-U.S. holders of the Notes could be subject to U.S. federal income tax on income and gain, if any, recognized by them with respect to the Notes as effectively connected income (that would be attributable to a permanent establishment in the United States within the meaning of an applicable tax treaty), and be required to file U.S. federal tax returns in respect thereof. In addition, non-U.S. holders could be subject to substantial withholding taxes in connection with any payment from us or upon a taxable disposition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“Material United States federal income tax consequences — Classification of the Notes.” Holders are urged to consult their own tax advisors regarding the tax consequences to them if the Notes were not to be treated as indebtedness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have limited rights of acceleration.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and the trustee under the indenture may accelerate payment of the principal and interest on the Notes only upon the occurrence and continuation of certain events of default. Payment of principal and interest on the Notes may be accelerated upon the occurrence of an event of default under the indenture related to failure to pay interest within 30 days after it is due, failure to pay principal or premium, if any, on the Notes when due, and certain events of bankruptcy, insolvency, receivership or reorganization relating to the Partnership (but not its subsidiaries). Holders of the Notes and the trustee will not have the right to accelerate payment of the principal or interest on the Notes upon the breach of any other covenant in the indenture. See “Description of the notes — Option to Defer Interest Payments,” “Description of the notes — Events of Default” and “Description of the notes — Limitation on Remedies.”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make only limited covenants in the indenture that will govern the Notes and these limited covenants may not protect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Notes of each series, each indenture will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maintain any financial ratios or specific levels of net worth, revenues, income, cash flows, or liquidity and, accordingly, will not protect holders of the Notes in the event that we experience significant adverse changes in our financial condition or results of operations;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subsidiaries’ ability to incur indebtedness which would structurally rank senior to the Notes;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ability to incur indebtedness, including secured indebtedness, that is senior to, or equal in, right of payment to the Notes; or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make investments or to pay distributions or make other payments in respect of our common units, preferred units or other securities ranking junior to the Notes.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will permit us and our subsidiaries to incur additional indebtedness, including secured indebtedness, that could effectively rank senior to the Notes, and to engage in leaseback arrangements, subject to certain limitations. Any of these actions could adversely affect our ability to make principal and interest payments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not expect us to redeem the Notes on the first or any other date on which they are redeemable.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addition,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may be redeemed by us at our option, in whole but not in part, following the occurrence and during the continuance of either a Tax Event or a Rating Agency Event (as those terms are defined under “Description of the notes — Redemption” in this prospectus supplement). Any decision we may make at any time to redeem the Notes before their final maturity date will depend upon, among other things, the strength of our balance sheet, our results of operations, our access to the capital markets, interest rates, our growth strategy, and general market conditions at such time. Accordingly, while we may decide to do so, investors should not expect us to redeem the Notes on the first or any other date on which they are redeemable.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leverage may limit our ability to borrow additional funds, comply with the terms of our indebtedness or capitalize on business opportunities.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is significant in relation to our partners’ capital. As of June 30, 2026, on an as adjusted basis as described under “Capitalization,” our total outstanding long-term debt was approximately $9.9 billion, and our total outstanding short-term debt was approximately $324 million. Various limitations in our credit facility and other debt instruments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facility to service our indebtedness, although either series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ability to transfer the Notes may be limited by the absence of an organized trading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Although certain of the underwriters have informed us that they currently intend to make a market in each series of the Notes, they are not obligated to do so. In addition, the underwriters may discontinue any such market making at any time without notice. The liquidity of any market for either series of the Notes will depend on the number of holders of such series of the Notes, the interest of securities dealers in making a market in such series of the Notes and other factors. Accordingly, we can give no assurance as to the development, continuation or liquidity of any market for either series of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a holding company structure in which our subsidiaries conduct our operations and own our operating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and our subsidiaries conduct all of our operations and own all of our operating assets. We have no significant assets other than the ownership interests in our subsidiaries. As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our ability to make required payments on the Notes depends on the performance of our subsidiaries and their ability to distribute funds to us. The ability of our subsidiaries to make distributions to us may be restricted by, among other things, credit facility and applicable state partnership laws and other laws and regulations. Pursuant to our credit facility, we may be required to establish cash reserves for the future payment of principal and interest on the amounts outstanding under our credit facility. If we are unable to obtain the funds necessary to pay the principal amount at maturity with respect to either series of the Notes, we may be required to adopt one or more alternatives, such as a refinancing of either series of the Notes. We cannot assure you that we would be able to refinance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 or outlook or in the rating assigned by a rating agency to the Notes of either series could adversely affect the market price or liquidity of such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of either series. A negative change in our ratings or outlook could have an adverse effect on the price of such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each series of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such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do not have the same flexibility as other types of organizations to accumulate cash, which may limit cash available to service the Notes or to repay the Notes at their respective maturities.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proper conduct of our business and the business of our operating partnerships (including reserves for future capital expenditures and for our anticipated future credit needs);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law or any loan agreement, security agreement, mortgage, debt instrument or other agreement or obligation;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funds for distributions to our preferred unitholders; or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funds for distributions to our common unitholders for any one or more of the next four calendar quarters.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treatment depends on our status as a partnership for U.S. federal income tax purposes and not being subject to a material amount of entity-level taxation by individual states or foreign jurisdictions. If the Internal Revenue Service (“IRS”) were to treat us as a corporation for U.S. federal income tax purposes, or if we become subject to entity-level or other form of taxation for state or foreign tax purposes, our cash available for payment of principal and interest on the Notes and our other indebtedness could be substantially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publicly traded partnership such as us may be treated as a corporation for U.S. federal income tax purposes unless it satisfies a “qualifying income” requirement as defined in Section 7704 of the Internal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IRS makes audit adjustments to our income tax returns,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of this offering will be approximately $1.479 billion after deducting the underwriting discounts and our estimated offering expenses. We intend to use the net proceeds from the offering, together with cash on hand and commercial paper borrowings, to redeem all 58,411,908 Series A Preferred Units outstanding on or about the closing date of this offering at a redemption price of 110% of par value of $26.25 per unit ($28.875 per unit), and all 800,000 Series B Preferred Units outstanding on or about October 9, 2026 (30 days following the date hereof) at a redemption price of 100% of par value of $1,000 per unit, plus any accrued and unpaid distributions, if any, to, but not including the applicable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an offer to purchase or a solicitation of an offer to sell the Preferred Units. In addition, this prospectus supplement does not constitute a notice of redemption of the Preferred Units. The consummation of this offering is not conditioned on the consummation of the Preferred Units Redemptions, and the consummation of the Preferred Units Redemptions is not conditioned on the consummation of this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as of June 30, 2026: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historical basis; and </w:t>
      </w:r>
      <w:r>
        <mc:AlternateContent>
          <mc:Choice Requires="wps">
            <w:drawing>
              <wp:anchor behindDoc="0" distT="7239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to give effect to the sale of the Notes offered hereby and the application of the net proceeds therefrom, together with cash on hand, as described under “Use of proceeds” in this prospectus supplement.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this offering is not conditioned on the consummation of the Preferred Units Redemptions, and the consummation of the Preferred Units Redemptions is not conditioned on the consummation of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should be read in conjunction with our financial statements and the notes thereto that are incorporated by reference into this prospectus supplement. </w:t>
      </w:r>
    </w:p>
    <w:tbl>
      <w:tblPr>
        <w:tblW w:w="8386" w:type="dxa"/>
        <w:jc w:val="left"/>
        <w:tblInd w:w="1393" w:type="dxa"/>
        <w:tblLayout w:type="fixed"/>
        <w:tblCellMar>
          <w:top w:w="0" w:type="dxa"/>
          <w:left w:w="0" w:type="dxa"/>
          <w:bottom w:w="28" w:type="dxa"/>
          <w:right w:w="0" w:type="dxa"/>
        </w:tblCellMar>
      </w:tblPr>
      <w:tblGrid>
        <w:gridCol w:w="5316"/>
        <w:gridCol w:w="109"/>
        <w:gridCol w:w="109"/>
        <w:gridCol w:w="109"/>
        <w:gridCol w:w="226"/>
        <w:gridCol w:w="766"/>
        <w:gridCol w:w="109"/>
        <w:gridCol w:w="109"/>
        <w:gridCol w:w="109"/>
        <w:gridCol w:w="109"/>
        <w:gridCol w:w="226"/>
        <w:gridCol w:w="826"/>
        <w:gridCol w:w="109"/>
        <w:gridCol w:w="154"/>
      </w:tblGrid>
      <w:tr>
        <w:trPr/>
        <w:tc>
          <w:tcPr>
            <w:tcW w:w="53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As of 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98"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4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40" w:type="dxa"/>
            </w:tcMar>
            <w:vAlign w:val="center"/>
          </w:tcPr>
          <w:p>
            <w:pPr>
              <w:pStyle w:val="TableContents"/>
              <w:bidi w:val="0"/>
              <w:spacing w:before="0" w:after="283"/>
              <w:jc w:val="right"/>
              <w:rPr/>
            </w:pPr>
            <w:r>
              <w:rPr/>
              <w:t xml:space="preserve">327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283"/>
              <w:jc w:val="left"/>
              <w:rPr/>
            </w:pPr>
            <w:r>
              <w:rPr>
                <w:spacing w:val="-4"/>
              </w:rPr>
              <w:t>SHORT-TERM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Commercial paper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bottom w:val="single" w:sz="2" w:space="0" w:color="FFFFFF"/>
            </w:tcBorders>
            <w:tcMar>
              <w:bottom w:w="4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tcMar>
              <w:bottom w:w="40" w:type="dxa"/>
            </w:tcMar>
            <w:vAlign w:val="center"/>
          </w:tcPr>
          <w:p>
            <w:pPr>
              <w:pStyle w:val="TableContents"/>
              <w:bidi w:val="0"/>
              <w:spacing w:before="0" w:after="283"/>
              <w:jc w:val="right"/>
              <w:rPr/>
            </w:pPr>
            <w:r>
              <w:rPr/>
              <w:t>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tcMar>
              <w:bottom w:w="40" w:type="dxa"/>
            </w:tcMar>
            <w:vAlign w:val="center"/>
          </w:tcPr>
          <w:p>
            <w:pPr>
              <w:pStyle w:val="TableContents"/>
              <w:bidi w:val="0"/>
              <w:spacing w:before="0" w:after="283"/>
              <w:jc w:val="right"/>
              <w:rPr/>
            </w:pPr>
            <w:r>
              <w:rPr/>
              <w:t>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16" w:type="dxa"/>
            <w:tcBorders>
              <w:bottom w:val="single" w:sz="2" w:space="0" w:color="CCEEFF"/>
            </w:tcBorders>
            <w:shd w:fill="CCEEFF" w:val="clear"/>
            <w:tcMar>
              <w:bottom w:w="40" w:type="dxa"/>
            </w:tcMar>
            <w:vAlign w:val="center"/>
          </w:tcPr>
          <w:p>
            <w:pPr>
              <w:pStyle w:val="TableContents"/>
              <w:bidi w:val="0"/>
              <w:spacing w:before="0" w:after="0"/>
              <w:ind w:left="400" w:right="0" w:hanging="0"/>
              <w:jc w:val="left"/>
              <w:rPr>
                <w:spacing w:val="4"/>
              </w:rPr>
            </w:pPr>
            <w:r>
              <w:rPr>
                <w:spacing w:val="4"/>
              </w:rPr>
              <w:t xml:space="preserve">Total short-term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0" w:type="dxa"/>
            </w:tcMar>
            <w:vAlign w:val="center"/>
          </w:tcPr>
          <w:p>
            <w:pPr>
              <w:pStyle w:val="TableContents"/>
              <w:bidi w:val="0"/>
              <w:spacing w:before="0" w:after="283"/>
              <w:jc w:val="right"/>
              <w:rPr/>
            </w:pPr>
            <w:r>
              <w:rPr/>
              <w:t>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40" w:type="dxa"/>
            </w:tcMar>
            <w:vAlign w:val="center"/>
          </w:tcPr>
          <w:p>
            <w:pPr>
              <w:pStyle w:val="TableContents"/>
              <w:bidi w:val="0"/>
              <w:spacing w:before="0" w:after="283"/>
              <w:jc w:val="right"/>
              <w:rPr/>
            </w:pPr>
            <w:r>
              <w:rPr/>
              <w:t xml:space="preserve">324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283"/>
              <w:jc w:val="left"/>
              <w:rPr/>
            </w:pPr>
            <w:r>
              <w:rPr>
                <w:spacing w:val="-4"/>
              </w:rPr>
              <w:t>LONG-TERM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Senior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3.55% senior notes due December 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3.80% senior notes due September 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4.70% senior notes due January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5.70% senior notes due September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5.95% senior notes due June 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5.60% senior notes due January 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6.70% senior notes due May 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6.65% senior notes due January 2037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5.15% senior notes due June 2042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499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4.30% senior notes due January 2043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4.70% senior notes due June 2044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687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4.90% senior notes due February 2045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6.750% Series A junior subordinated notes due 2056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700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7.000% Series B junior subordinated notes due 2056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400" w:right="0" w:hanging="0"/>
              <w:jc w:val="left"/>
              <w:rPr>
                <w:spacing w:val="4"/>
              </w:rPr>
            </w:pPr>
            <w:r>
              <w:rPr>
                <w:spacing w:val="4"/>
              </w:rPr>
              <w:t xml:space="preserve">Unamortized discounts and debt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bottom w:val="single" w:sz="2" w:space="0" w:color="CCEEFF"/>
            </w:tcBorders>
            <w:shd w:fill="CCEEFF" w:val="clear"/>
            <w:tcMar>
              <w:bottom w:w="4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0" w:type="dxa"/>
            </w:tcMar>
            <w:vAlign w:val="center"/>
          </w:tcPr>
          <w:p>
            <w:pPr>
              <w:pStyle w:val="TableContents"/>
              <w:bidi w:val="0"/>
              <w:spacing w:before="0" w:after="283"/>
              <w:jc w:val="right"/>
              <w:rPr/>
            </w:pPr>
            <w:r>
              <w:rPr/>
              <w:t>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40" w:type="dxa"/>
            </w:tcMar>
            <w:vAlign w:val="center"/>
          </w:tcPr>
          <w:p>
            <w:pPr>
              <w:pStyle w:val="TableContents"/>
              <w:bidi w:val="0"/>
              <w:spacing w:before="0" w:after="283"/>
              <w:jc w:val="right"/>
              <w:rPr/>
            </w:pPr>
            <w:r>
              <w:rPr/>
              <w:t>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16" w:type="dxa"/>
            <w:tcBorders>
              <w:bottom w:val="single" w:sz="2" w:space="0" w:color="FFFFFF"/>
            </w:tcBorders>
            <w:tcMar>
              <w:bottom w:w="40" w:type="dxa"/>
            </w:tcMar>
            <w:vAlign w:val="center"/>
          </w:tcPr>
          <w:p>
            <w:pPr>
              <w:pStyle w:val="TableContents"/>
              <w:bidi w:val="0"/>
              <w:spacing w:before="0" w:after="0"/>
              <w:ind w:left="400" w:right="0" w:hanging="0"/>
              <w:jc w:val="left"/>
              <w:rPr>
                <w:spacing w:val="4"/>
              </w:rPr>
            </w:pPr>
            <w:r>
              <w:rPr>
                <w:spacing w:val="4"/>
              </w:rPr>
              <w:t xml:space="preserve">Total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tcMar>
              <w:bottom w:w="40" w:type="dxa"/>
            </w:tcMar>
            <w:vAlign w:val="center"/>
          </w:tcPr>
          <w:p>
            <w:pPr>
              <w:pStyle w:val="TableContents"/>
              <w:bidi w:val="0"/>
              <w:spacing w:before="0" w:after="283"/>
              <w:jc w:val="right"/>
              <w:rPr/>
            </w:pPr>
            <w:r>
              <w:rPr/>
              <w:t> </w:t>
            </w:r>
            <w:r>
              <w:rPr/>
              <w:t>8,432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tcMar>
              <w:bottom w:w="40" w:type="dxa"/>
            </w:tcMar>
            <w:vAlign w:val="center"/>
          </w:tcPr>
          <w:p>
            <w:pPr>
              <w:pStyle w:val="TableContents"/>
              <w:bidi w:val="0"/>
              <w:spacing w:before="0" w:after="283"/>
              <w:jc w:val="right"/>
              <w:rPr/>
            </w:pPr>
            <w:r>
              <w:rPr/>
              <w:t>9,911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283"/>
              <w:jc w:val="left"/>
              <w:rPr/>
            </w:pPr>
            <w:r>
              <w:rPr>
                <w:spacing w:val="-4"/>
              </w:rPr>
              <w:t>PARTNERS’ CAPITAL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200" w:right="0" w:hanging="0"/>
              <w:jc w:val="left"/>
              <w:rPr>
                <w:spacing w:val="4"/>
              </w:rPr>
            </w:pPr>
            <w:r>
              <w:rPr>
                <w:spacing w:val="4"/>
              </w:rPr>
              <w:t xml:space="preserve">Series A preferred unitholders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Series B preferred unitholders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16" w:type="dxa"/>
            <w:tcBorders/>
            <w:tcMar>
              <w:bottom w:w="0" w:type="dxa"/>
            </w:tcMar>
            <w:vAlign w:val="center"/>
          </w:tcPr>
          <w:p>
            <w:pPr>
              <w:pStyle w:val="TableContents"/>
              <w:bidi w:val="0"/>
              <w:spacing w:before="0" w:after="0"/>
              <w:ind w:left="200" w:right="0" w:hanging="0"/>
              <w:jc w:val="left"/>
              <w:rPr>
                <w:spacing w:val="4"/>
              </w:rPr>
            </w:pPr>
            <w:r>
              <w:rPr>
                <w:spacing w:val="4"/>
              </w:rPr>
              <w:t xml:space="preserve">Common unitholders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8,670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16" w:type="dxa"/>
            <w:tcBorders>
              <w:bottom w:val="single" w:sz="2" w:space="0" w:color="CCEEFF"/>
            </w:tcBorders>
            <w:shd w:fill="CCEEFF" w:val="clear"/>
            <w:tcMar>
              <w:bottom w:w="40" w:type="dxa"/>
            </w:tcM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0" w:type="dxa"/>
            </w:tcMar>
            <w:vAlign w:val="center"/>
          </w:tcPr>
          <w:p>
            <w:pPr>
              <w:pStyle w:val="TableContents"/>
              <w:bidi w:val="0"/>
              <w:spacing w:before="0" w:after="283"/>
              <w:jc w:val="right"/>
              <w:rPr/>
            </w:pPr>
            <w:r>
              <w:rPr/>
              <w:t>3,212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40" w:type="dxa"/>
            </w:tcMar>
            <w:vAlign w:val="center"/>
          </w:tcPr>
          <w:p>
            <w:pPr>
              <w:pStyle w:val="TableContents"/>
              <w:bidi w:val="0"/>
              <w:spacing w:before="0" w:after="283"/>
              <w:jc w:val="right"/>
              <w:rPr/>
            </w:pPr>
            <w:r>
              <w:rPr/>
              <w:t>3,212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16" w:type="dxa"/>
            <w:tcBorders>
              <w:bottom w:val="single" w:sz="2" w:space="0" w:color="FFFFFF"/>
            </w:tcBorders>
            <w:tcMar>
              <w:bottom w:w="40" w:type="dxa"/>
            </w:tcMar>
            <w:vAlign w:val="center"/>
          </w:tcPr>
          <w:p>
            <w:pPr>
              <w:pStyle w:val="TableContents"/>
              <w:bidi w:val="0"/>
              <w:spacing w:before="0" w:after="0"/>
              <w:ind w:left="400" w:right="0" w:hanging="0"/>
              <w:jc w:val="left"/>
              <w:rPr>
                <w:spacing w:val="4"/>
              </w:rPr>
            </w:pPr>
            <w:r>
              <w:rPr>
                <w:spacing w:val="4"/>
              </w:rPr>
              <w:t xml:space="preserve">Total partners’ capital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tcMar>
              <w:bottom w:w="40" w:type="dxa"/>
            </w:tcMar>
            <w:vAlign w:val="center"/>
          </w:tcPr>
          <w:p>
            <w:pPr>
              <w:pStyle w:val="TableContents"/>
              <w:bidi w:val="0"/>
              <w:spacing w:before="0" w:after="283"/>
              <w:jc w:val="right"/>
              <w:rPr/>
            </w:pPr>
            <w:r>
              <w:rPr/>
              <w:t>14,291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826" w:type="dxa"/>
            <w:tcBorders>
              <w:bottom w:val="single" w:sz="2" w:space="0" w:color="000000"/>
            </w:tcBorders>
            <w:tcMar>
              <w:bottom w:w="40" w:type="dxa"/>
            </w:tcMar>
            <w:vAlign w:val="center"/>
          </w:tcPr>
          <w:p>
            <w:pPr>
              <w:pStyle w:val="TableContents"/>
              <w:bidi w:val="0"/>
              <w:spacing w:before="0" w:after="283"/>
              <w:jc w:val="right"/>
              <w:rPr/>
            </w:pPr>
            <w:r>
              <w:rPr/>
              <w:t xml:space="preserve">11,882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16" w:type="dxa"/>
            <w:tcBorders/>
            <w:shd w:fill="CCEEFF" w:val="clear"/>
            <w:tcMar>
              <w:bottom w:w="0" w:type="dxa"/>
            </w:tcMar>
            <w:vAlign w:val="center"/>
          </w:tcPr>
          <w:p>
            <w:pPr>
              <w:pStyle w:val="TableContents"/>
              <w:bidi w:val="0"/>
              <w:spacing w:before="0" w:after="0"/>
              <w:ind w:left="600" w:right="0" w:hanging="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40" w:type="dxa"/>
            </w:tcMar>
            <w:vAlign w:val="center"/>
          </w:tcPr>
          <w:p>
            <w:pPr>
              <w:pStyle w:val="TableContents"/>
              <w:bidi w:val="0"/>
              <w:spacing w:before="0" w:after="283"/>
              <w:jc w:val="right"/>
              <w:rPr/>
            </w:pPr>
            <w:r>
              <w:rPr/>
              <w:t>22,723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40" w:type="dxa"/>
            </w:tcMar>
            <w:vAlign w:val="center"/>
          </w:tcPr>
          <w:p>
            <w:pPr>
              <w:pStyle w:val="TableContents"/>
              <w:bidi w:val="0"/>
              <w:spacing w:before="0" w:after="283"/>
              <w:jc w:val="right"/>
              <w:rPr/>
            </w:pPr>
            <w:r>
              <w:rPr/>
              <w:t>21,793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T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We will issue the Notes of each series under a base subordinated indenture (the “base indenture”) to be entered into between us and U.S. Bank Trust Company, National Association, as trustee, as amended and supplemented by supplemental indentures creating the Notes of such series (the “supplemental indentures”) and setting forth the specific terms of such Notes. With respect to each series of Notes, we refer to such base indenture as so amended and supplemented by the supplemental indentures, as the “indenture.”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description is a summary of the material provisions of the Notes and the indenture. This description does not restate those agreements and instruments in their entirety. You should refer to the Notes and the indenture, forms of which will be available as set forth below under “Where you can find more information” for a complete description of our obligations and your rights.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this description, the terms “Plains,” “we,” “us” and “our” refer only to Plains All American Pipeline, L.P. and not to any of its subsidiaries.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Each series of Notes will be a separate series of our subordinated debt securities as described in the accompanying base prospectus. This description is intended to be an overview of the material provisions of the Notes and is intended to supplement and, to the extent of any inconsistency, replace the description of the general terms and provisions of the subordinated debt securities set forth in the accompanying base prospectus, to which we refer you. Since this description is only a summary, you should refer to the indenture, when available, for a complete description of our obligations and your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will be issued in the aggregate principal amount of $700 million and the Series B Notes will be issued in the aggregate principal amount of $800 million. The Notes of each series will be issued in denominations of $2,000 and integral multiples of $1,000 in excess thereof. The terms of each series of Notes will provide that we may, from time to time, without notice to or consent of the holders of the Notes of such series, issue additional Notes of such series, and any such additional Notes shall form a single series under the indenture with the Notes of such series offered by this prospectus supplement. Any such additional Notes of a particular series shall have the same form and terms as the Notes of such series offered by this prospectus supplement (other than the offering price, the date of issuance and, if applicable, the date from which interest thereon shall begin to accrue and the first interest payment date, and except that the provisions of the Notes specifying the rate of interest thereon to but excluding the applicable First Reset Date (as defined below) shall not be applicable to any such additional Notes whose date of original issuance is on or after the applicable First Reset Date). If any such additional Notes are not fungible with the Notes offered hereby for U.S. federal income tax purposes, they will have a different CUSIP, ISIN, or other identifying number so that they are distinguishable from the Notes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and the Series B Notes will each constitute a separate series of subordinated debt securities under the indenture. The indenture does not limit the amount of debt securities we may issue under the indenture from time to time in one or more series. We may in the future issue additional debt securities under the indenture in addition to the Notes. The Notes will be non-recourse to our general partner.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guaranteed by any of our subsidiaries, and the provisions described under “Description of our debt securities — Possible Future Guarantees” in the accompanying base prospectus will not apply to the Notes. Also, the Notes will not be co-issued by PAA Finance Corp., and any covenants or other provisions relating to PAA Finance Corp. in the accompanying base prospectus will not apply with respect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Maturity and Interest Rate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of each series will mature on December 15, 2056. The Notes will be subject to redemption at our option as described below under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will bear interest (i) from and including September 14, 2026 (the “original issue date”) to, but excluding, December 15, 2031 (the “Series A First Reset Date”) at the rate of 6.750% per annum and (ii) from and including the Series A First Reset Date, during each Reset Period (as defined below) at a rate per annum equal to the Five-year U.S. Treasury Rate (as defined below) as of the most recent Reset Interest Determination Date (as defined below) plus a spread of 2.141%, to be reset on each Reset Date (as defined below); provided, that the interest rate on the Series A Notes during any Reset Period will not reset below 6.750% (which equals the initial interest rate on the Series A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Notes will bear interest (i) from and including the original issue date to, but excluding, December 15, 2036 (the “Series B First Reset Date”) at the rate of 7.000% per annum and (ii) from and including the Series B First Reset Date, during each Reset Period at a rate per annum equal to the Five-year U.S. Treasury Rate as of the most recent Reset Interest Determination Date plus a spread of 2.167%, to be reset on each Reset Date; provided, that the interest rate on the Series B Notes during any Reset Period will not reset below 7.000% (which equals the initial interest rate on the Series B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Interest on the Notes will accrue from the original issue date and will be payable semi-annually in arrears on June 15 and December 15 (each, an “interest payment date”) of each year, beginning on June 15, 2027, to the holders of record at the close of business on the immediately preceding June 1 and December 1, respectively (each, a “record date”), subject to our right to defer interest payments as described below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These regular record dates will apply regardless of whether a particular regular record date is a business day. In this section, a “business day” means any day other than a Saturday or Sunday or any other day on which commercial banks in New York City are authorized or required by law or executive order to close. If an interest payment date is not a business day, payment of interest will be made on the next succeeding business day, without any interest, additional interest, or other payment in lieu of interest or additional interest accumulating with respect to this delay.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interest rate for each Reset Period will be determined by the calculation agent (as defined below), as of the applicable Reset Interest Determination Date, in accordance with the following provisions: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First Reset Date” means, with respect to the Series A Notes, the Series A First Reset Date and, with respect to the Series B Notes, the Series B First Reset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Five-year U.S. Treasury Rate” means, as of any Reset Interest Determination Date, as applicable, an interest rate (expressed as a decimal) determined to be the per annum rate (i) equal to the average of the yields on actively traded U.S. treasury securities adjusted to constant maturity, for five-year maturities, for the five business days immediately preceding the Reset Interest Determination Date appearing (or, if fewer than five business days appear, such number of business days appearing) under the caption “Treasury Constant Maturities” in the most recent H.15 (as defined herein) as of 5:00 p.m. (Eastern Time);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Reset Date following the next succeeding Reset Interest Determination Date and (B) the other maturing as close as possible to, but later than, the Reset Date following the next succeeding Reset Interest Determination Date, in each case for the five business days appearing (or, if fewer than five business days appear, such number of business days appearing) under the caption “Treasury Constant Maturities” in the most recent H.15 as of 5:00 p.m. (Eastern Time) as of any date of determination.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H.15” means the statistical release designated as such, or any successor publication, published by the Board of Governors of the U.S. Federal Reserve System (or any successor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“most recent H.15” means the H.15 published closest in time but prior to the close of business on the Reset Interest Determination Date.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Date” with respect to the Notes of each series, means the First Reset Date applicable to the Notes of such series and each date falling on the five-year anniversary of the preceding Reset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Interest Determination Date” means, in respect of any Reset Period, the day that is two business days prior to the first day of such Reset Period.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Reset Period” with respect to the Notes of each series, means the period from and including the First Reset Date of the Notes of such series to, but excluding, the next following Reset Date applicable to the Notes of such series and thereafter each period from and including a Reset Date to, but excluding, the next following Reset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in our sole discretion, determine that the Five-year U.S. Treasury Rate cannot be determined pursuant to the methods described above, we may, in our sole discretion, designate an unaffiliated agent or advisor, which may include an unaffiliated underwriter for the offering of the Notes or any affiliate of any such underwriter, but shall not include the trustee (the “Designee”), to determine whether there is an industry-accepted successor rate to the Five-year U.S. Treasury Rate. If the Designee determines that there is such an industry-accepted successor rate, then the Five-year U.S. Treasury Rate shall be such successor rate and, in that case, the Designee may adjust the spread and may determine and adjust the business day convention, the definition of a “business day” and the Reset Interest Determination Date to be used and any other relevant methodology for determining or otherwise calculating such successor rate, including any adjustment factor needed to make such successor rate comparable to the Five-year U.S. Treasury Rate in each case, in a manner that is consistent with industry-accepted practices for the use of such successor rate. With respect to the Series A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A Notes will be 6.750%. With respect to the Series B Notes, if we, in our sole discretion, do not designate a Designee or if the Designee determines that there is no industry-accepted successor rate, then the Five-year U.S. Treasury Rate will be the same rate determined for the prior Reset Interest Determination Date or, if this sentence is applicable with respect to the first Reset Interest Determination Date applicable to such series of Notes, the applicable interest rate for the First Reset Period (as defined below) applicable to the Series B Notes will be 7.000%.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interest rate for each Reset Period will be determined by the calculation agent, as of the applicable Reset Interest Determination Date. Promptly upon such determination, the calculation agent will notify us of the interest rate for the Reset Period and we will promptly notify, or cause the calculation agent to promptly notify, the trustee and paying agent for the Notes in writing of such interest rate, upon which the trustee and paying agent will be permitted to conclusively rely. The calculation agent’s determination of any interest rate and its calculation of the amount of interest for any interest period (as defined herein) beginning on or after the First Reset Date for the applicable series of Notes will be on file at our principal offices, will be made available to any holder or beneficial owner of the Notes upon request, and will be final and binding in the absence of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written notice of the relevant Five-year U.S. Treasury Rate as soon as reasonably practicable following each Reset Interest Determination Date to the trustee and paying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accumulating or payable on the Notes for any interest period (or portion thereof) will be calculated on the basis of a 360-day year consisting of twelve 30-day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payment date, redemption date or the maturity date of the Notes is not a business day (as defined in the indenture) at any place of payment, then payment of the principal, premium, if any, and interest may be made on the next business day at that place of payment. In that case, no interest will accrue on the amount payable for the period from and after the applicable interest payment date, redemption date or maturity date, as the case may be.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agent” means any person or entity appointed by us and serving as such agent with respect to the Notes at such time. Unless we have validly called all of the outstanding Notes of any series for redemption during the First Reset Period of the applicable series of Notes, we will appoint a calculation agent for such Notes prior to the Reset Interest Determination Date preceding the First Reset Date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series of Notes; provided that, if we have called all of the outstanding Notes of such series for redemption on a redemption date occurring during such First Reset Period, but we do not redeem all of the outstanding Notes of such series on such redemption date, we will appoint a calculation agent for such Notes prior to the Reset Interest Determination Date preceding such First Reset Date. We may terminate any such appointment and may appoint a successor calculation agent at any time and from time to time. We may appoint ourselves or an affiliate of ours as calculation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Notes and Series B Notes are each a new issue of securities with no established trading market. We do not intend to apply for the listing or trading of the Notes on any securities exchange or trading facility or for inclusion of the Notes in any automated quotation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Open Market Purchases; No Mandatory Redemption or 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any time and from time to time purchase Notes in the open market or otherwise, in each case, without any restriction under the indenture. We are not required to make any mandatory redemption, mandatory repurchase or sinking fund payments with respect to the Notes or to repurchase the Notes at the option of the registered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our unsecured obligations and will rank junior and subordinate in right of payment to the prior payment in full of our existing and future Senior Indebtedness (as defined below under “— </w:t>
      </w: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to the extent and in the manner set forth under the caption “— </w:t>
      </w: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contain any restrictions on the amount of Senior Indebtedness or other indebtedness or liabilities that we may incur or the amount of indebtedness, preferred equity or other liabilities that may be incurred by our subsidiaries. For additional information, see “Risk factors” above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by Holders to Tax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(or beneficial owner) of the Notes will, by accepting any Notes (or a beneficial interest therein), be deemed to have agreed that such holder (or beneficial owner) intends that the Notes constitute indebtedness of Plains, and will treat the Notes as indebtedness of Plains, for U.S. federal and applicable state and local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provisions will apply with respect to the Notes in lieu of the provisions described in the section “Description of our debt securities — Subordination” in the accompanying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subordinated in right of payment to the prior payment in full of all our Senior Indebtedness. This means that upon: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any payment by, or distribution of the assets of, Plains upon its dissolution, winding-up, liquidation or reorganization, whether voluntary or involuntary or in bankruptcy, insolvency, receivership or other proceedings;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 failure to pay any interest, principal or other monetary amounts due on any of Plains’s Senior Indebtedness when due and continuance of that default beyond any applicable grace period; or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acceleration of the maturity of any Senior Indebtedness of Plains as a result of a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the holders of all of the Senior Indebtedness will be entitled to receive, in the case of clause (a) above, payment of all amounts due or to become due on all Senior Indebtedness, or in the case of clauses (b) and (c) above, payment of all amounts due on all Senior Indebtedness, before the holders of the Notes are entitled to receive any payment. So long as any of the events in clauses (a), (b), or (c) above has occurred and is continuing, any amounts payable or assets distributable on the Notes will instead be paid or distributed, as the case may be, directly to the holders of Senior Indebtedness to the extent necessary to pay, in the case of clause (a) above, all amounts due or to become due upon all such Senior Indebtedness, or, in the case of clauses (b) and (c) above, all amounts due on all such Senior Indebtedness, and, if any such payment or distribution is received by the trustee under the indenture or the holders of any of the Notes before all Senior Indebtedness due and to become due or due, as applicable, is paid, such payment or distribution must be paid over to the holders of the unpaid Senior Indebtedness. Subject to paying the Senior Indebtedness due and to become due in the case of clause (a) or the Senior Indebtedness due in the case of clauses (b) and (c), the holders of the Notes will be subrogated to the rights of the holders of the Senior Indebtedness to receive payments applicable to the Senior Indebtedness until the Notes are paid in full.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Indebtedness” means, with respect to the Notes, (i) indebtedness of Plains, whether outstanding at the date of the indenture or incurred, created or assumed after such date, (a) in respect of money borrowed by Plains (including any financial derivative, hedging or futures contract or similar instrument, to the extent any such item is primarily a financing transaction) and (b) evidenced by debentures, bonds, notes, credit or loan agreements or other similar instruments or agreements issued or entered into by Plains; (ii) all synthetic lease obligations, capitalized lease obligations and finance lease obligations of Plains; (iii) all obligations of Plains issued or assumed as the deferred purchase price of property, all conditional sale obligations of Plains and all obligations of Plains under any title retention agreement (but excluding trade accounts payable arising in the ordinary course of business and long-term purchase obligations); (iv) all obligations of Plains for the reimbursement of any letter of credit, banker’s acceptance, security purchase facility or similar credit transaction; and (v) all obligations of the type referred to in clauses (i) through (iv) above of other persons for the payment of which Plains is responsible or liable as obligor, guarantor or otherwise, except for any obligations, instruments or agreements of the type referred to in any of clauses (i) through (v) above that, by the terms of the instruments or agreements creating or evidencing the same or pursuant to which the same is outstanding, are subordinated or equal in right of payment to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indenture and anything therein to the contrary notwithstanding, the Notes shall rank equally in right of payment with any additional Notes of either series or any future unsecured indebtedness that we may incur from time to time if the terms of such indebtedness provide that it ranks equally with the Notes in right of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Due to the subordination of the Notes, if assets of Plains are distributed upon its dissolution, winding-up, liquidation or reorganization, holders of its Senior Indebtedness and other indebtedness and obligations that are not equal or junior to the Notes in right of payment will likely recover more, ratably, than holders of the Notes, and it is possible that no payments will be made to the holders of the Notes. The subordination provisions described above will cease to apply in the event of satisfaction and discharge of the Notes as described under “— </w:t>
      </w:r>
      <w:r>
        <w:rPr>
          <w:rFonts w:ascii="Times New Roman;Times;serif" w:hAnsi="Times New Roman;Times;serif"/>
          <w:b w:val="false"/>
          <w:i/>
          <w:caps w:val="false"/>
          <w:smallCaps w:val="false"/>
          <w:color w:val="000000"/>
          <w:spacing w:val="4"/>
          <w:sz w:val="20"/>
        </w:rPr>
        <w:t>Defeasance and Discharge</w:t>
      </w:r>
      <w:r>
        <w:rPr>
          <w:rFonts w:ascii="Times New Roman;Times;serif" w:hAnsi="Times New Roman;Times;serif"/>
          <w:b w:val="false"/>
          <w:i w:val="false"/>
          <w:caps w:val="false"/>
          <w:smallCaps w:val="false"/>
          <w:color w:val="000000"/>
          <w:spacing w:val="4"/>
          <w:sz w:val="20"/>
        </w:rPr>
        <w:t xml:space="preserve">,” respectively, below in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the indenture do not limit our ability to incur Senior Indebtedness or our or any of our subsidiaries’ ability to incur other secured and unsecured indebtedness, preferred equity or other liabilities. We expect that we and our subsidiaries will incur substantial additional amounts of indebtedness, including Senior Indebtedness,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Optional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or from time to time in part, (i) on any day in the period commencing on the date falling 90 days prior to the First Reset Date applicable to the Notes of such series and ending on (and including) such First Reset Date (the “First Reset Period”) and (ii) after such First Reset Date, on any applicable interest payment date, in each case at a redemption price in cash equal to 100% of the principal amount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Notes of such series to be redeemed, plus, subject to the terms described in the first paragraph under “— </w:t>
      </w:r>
      <w:r>
        <w:rPr>
          <w:rFonts w:ascii="Times New Roman;Times;serif" w:hAnsi="Times New Roman;Times;serif"/>
          <w:b w:val="false"/>
          <w:i/>
          <w:caps w:val="false"/>
          <w:smallCaps w:val="false"/>
          <w:color w:val="000000"/>
          <w:spacing w:val="4"/>
          <w:sz w:val="20"/>
        </w:rPr>
        <w:t>Redemption Procedures; Cancellation of Redemption</w:t>
      </w:r>
      <w:r>
        <w:rPr>
          <w:rFonts w:ascii="Times New Roman;Times;serif" w:hAnsi="Times New Roman;Times;serif"/>
          <w:b w:val="false"/>
          <w:i w:val="false"/>
          <w:caps w:val="false"/>
          <w:smallCaps w:val="false"/>
          <w:color w:val="000000"/>
          <w:spacing w:val="4"/>
          <w:sz w:val="20"/>
        </w:rPr>
        <w:t xml:space="preserve">” below, accrued and unpaid interest on the Notes of such series to be redeemed to, but excluding, such redemption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Following a Tax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but not in part, at any time within 120 days after a Tax Event (as defined below) at a redemption price in cash equal to 100% of the principal amount of the Notes of such series to be redeemed, plus, subject to the terms described in the first paragraph under “— </w:t>
      </w:r>
      <w:r>
        <w:rPr>
          <w:rFonts w:ascii="Times New Roman;Times;serif" w:hAnsi="Times New Roman;Times;serif"/>
          <w:b w:val="false"/>
          <w:i/>
          <w:caps w:val="false"/>
          <w:smallCaps w:val="false"/>
          <w:color w:val="000000"/>
          <w:spacing w:val="4"/>
          <w:sz w:val="20"/>
        </w:rPr>
        <w:t>Redemption Procedures; Cancellation of Redemption</w:t>
      </w:r>
      <w:r>
        <w:rPr>
          <w:rFonts w:ascii="Times New Roman;Times;serif" w:hAnsi="Times New Roman;Times;serif"/>
          <w:b w:val="false"/>
          <w:i w:val="false"/>
          <w:caps w:val="false"/>
          <w:smallCaps w:val="false"/>
          <w:color w:val="000000"/>
          <w:spacing w:val="4"/>
          <w:sz w:val="20"/>
        </w:rPr>
        <w:t xml:space="preserve">” below, accrued and unpaid interest on the Notes of such series to be redeemed to, but excluding,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 Event” means that we have received an opinion of counsel experienced in such matters to the effect that, as a result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including any announced prospective change, in the laws or treaties of the United States or any of its political subdivisions or taxing authorities, or any regulations under those laws or treaties;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amendment to, clarification of, or change in the official position or the interpretation of any administrative action or judicial decision or any interpretation or pronouncement that 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threatened challenge asserted in writing in connection with a tax audit of us or any of our subsidiaries, or a publicly-known threatened challenge asserted in writing against any other taxpayer that has raised capital through the issuance of securities that are substantially similar to the Notes,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amendment, clarification or change is effective or the administrative action is taken or judicial decision, interpretation or pronouncement is issued or threatened challenge is asserted or becomes publicly-known after the date of this prospectus supplement, there is more than an insubstantial risk that interest payable by us on such Notes is not deductible, or within 90 days would not be deductible, in whole or in part, by us for U.S. federal income tax purposes.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Following a Rating Agency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we may at our option redeem the Notes of such series, in whole but not in part, at any time during the continuance of and, in any event, within 120 days after the occurrence of, a Rating Agency Event (as defined below) at a redemption price in cash equal to 102% of the principal amount of the Notes of such series to be redeemed, plus, subject to the terms described in the first paragraph under “— </w:t>
      </w:r>
      <w:r>
        <w:rPr>
          <w:rFonts w:ascii="Times New Roman;Times;serif" w:hAnsi="Times New Roman;Times;serif"/>
          <w:b w:val="false"/>
          <w:i/>
          <w:caps w:val="false"/>
          <w:smallCaps w:val="false"/>
          <w:color w:val="000000"/>
          <w:spacing w:val="4"/>
          <w:sz w:val="20"/>
        </w:rPr>
        <w:t>Redemption Procedures; Cancellation of Redemption</w:t>
      </w:r>
      <w:r>
        <w:rPr>
          <w:rFonts w:ascii="Times New Roman;Times;serif" w:hAnsi="Times New Roman;Times;serif"/>
          <w:b w:val="false"/>
          <w:i w:val="false"/>
          <w:caps w:val="false"/>
          <w:smallCaps w:val="false"/>
          <w:color w:val="000000"/>
          <w:spacing w:val="4"/>
          <w:sz w:val="20"/>
        </w:rPr>
        <w:t xml:space="preserve">” below, accrued and unpaid interest on the Notes of such series to be redeemed to, but excluding, such redemption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Rating Agency Event” means, with respect to each series of the Notes, as of any date, a change, clarification or amendment in the methodology published by any nationally recognized statistical rating organization within the meaning of Section 3(a)(62) of the Exchange Act (or any successor provision thereto), that then publishes a rating for Plains (together with any successor thereto, a “rating agency”) in assigning equity credit to securities such as the Notes, (a) as such methodology was in effect on the date of this prospectus supplement, in the case of any rating agency that published a rating for Plains as of the date of this prospectus supplement, or (b) as such methodology was in effect on the date such rating agency first published a rating for Plains, in the case of any rating agency that first publishes a rating for Plains after the date of this prospectus supplement (in the case of either clause (a) or (b), the “current methodology”), that results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 any shortening of the length of time for which a particular level of equity credit pertaining to the applicable series of Notes by such rating agency would have been in effect had the current methodology not been changed or (ii) a lower equity credit (including up to a lesser amount) being assigned by such rating agency to such Notes as of the date of such change, clarification or amendment than the equity credit that would have been assigned to such Notes by such rating agency had the current methodology not been changed.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Securities Exchange Act of 1934, as amended, and any successor statute.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Procedures; Cancellation of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 statement under this caption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to the contrary, installments of interest on the Notes that are due and payable on any interest payment date falling on or prior to a redemption date for the Notes will be payable on that interest payment date to the registered holders thereof as of the close of business on the relevant regular record date according to the terms of the Notes and the indenture, except that, if the redemption date for any Notes falls on any day during an Optional Deferral Period (as defined below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accrued and unpaid interest (including, to the extent permitted by applicable law, any compound interest (as defined below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on such Notes will be paid on such redemption date to the persons entitled to receive the redemption price of such Notes. The interest payment date falling immediately after the last day of an Optional Deferral Period shall not be deemed to fall on a day during such Optional Deferral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redemption will be mailed or otherwise delivered at least 10 days but not more than 60 days before the redemption date to each registered holder of the Notes to be redeemed, at the address of such holder appearing in the register of the Notes maintained by the registrar, except that redemption notices may be sent more than 60 days prior to a redemption date if the notice is issued in connection with a defeasance of the Notes or a satisfaction or discharge of the indenture with respect to the Notes. Once notice of redemption is delivered, the Notes called for redemption will become due and payable on the redemption date at the applicable redemption price, plus, subject to the terms described in the immediately preceding paragraph, accrued and unpaid interest to, but excluding, the redemption date, and will be paid upon surrender thereof for redemption, unless (a) the notice of redemption provides that such redemption shall be subject to the condition described in the next succeeding paragraph and (b) such redemption shall have been canceled in accordance with the provisions of the next succeeding paragraph because such condition shall not have been satisfied. If only part of a Note is redeemed, the trustee will issue in the name of the registered holder of the Note and deliver to such holder a new Note in a principal amount equal to the unredeemed portion of the principal of the Note surrendered for redemption. If we elect to redeem all or a portion of the Notes, then, unless otherwise provided in such notice of redemption as described in the next succeeding paragraph, the redemption will not be conditional upon receipt by the paying agent or the trustee of monies sufficient to pay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at the time a notice of redemption is given, (i) we have not effected satisfaction and discharge of the Notes as described under “— </w:t>
      </w:r>
      <w:r>
        <w:rPr>
          <w:rFonts w:ascii="Times New Roman;Times;serif" w:hAnsi="Times New Roman;Times;serif"/>
          <w:b w:val="false"/>
          <w:i/>
          <w:caps w:val="false"/>
          <w:smallCaps w:val="false"/>
          <w:color w:val="000000"/>
          <w:spacing w:val="4"/>
          <w:sz w:val="20"/>
        </w:rPr>
        <w:t>Defeasance and Discharge</w:t>
      </w:r>
      <w:r>
        <w:rPr>
          <w:rFonts w:ascii="Times New Roman;Times;serif" w:hAnsi="Times New Roman;Times;serif"/>
          <w:b w:val="false"/>
          <w:i w:val="false"/>
          <w:caps w:val="false"/>
          <w:smallCaps w:val="false"/>
          <w:color w:val="000000"/>
          <w:spacing w:val="4"/>
          <w:sz w:val="20"/>
        </w:rPr>
        <w:t xml:space="preserve">” below and (ii) such notice of redemption is not being given in connection with or in order to effect satisfaction and discharge of the Notes, then, if the notice of redemption so provides and at our option, the redemption may be subject to the condition that the trustee shall have received, on or before the applicable redemption date, monies in an amount sufficient to pay the redemption price and accrued and unpaid interest on the Notes called for redemption to, but excluding, the redemption date. If monies in such amount are not received by the trustee on or before such redemption date, such notice of redemption shall be automatically canceled and of no force or effect, such proposed redemption shall be automatically canceled and we shall not be required to redeem the Notes called for redemption on such redemption date. In the event that a redemption is canceled, we will, not later than the business day immediately following the proposed redemption date, deliver, or cause to be delivered, notice of such cancellation to the registered holders of the Notes called for redemption (which notice will also indicate that any Notes or portions thereof surrendered for redemption shall be returned to the applicable holders), and we will direct the trustee to, and the trustee will, promptly return any Notes or portions thereof that have been surrendered for redemption to the applicable holders. Unless we default in payment of the redemption price or the proposed redemption is canceled in accordance with the provisions set forth in the immediately preceding paragraph, on and after the redemption date interest will cease to accrue on the Notes or portions thereof called for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Notes of a series are redeemed at any time, the trustee will select the Notes or any portions thereof in integral multiples of $1,000 to be redeemed on a pro rata basis, by lot or by any other method the trustee deems fair and appropriate and, when the Notes are in the form of global securities, in accordance with the applicable procedures of The Depository Trust Company (“DTC”).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to Defer Interest Payments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so long as no event of default (as defined below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with respect to the Notes of such series has occurred and is continuing, we may, at our option, defer interest payments on such series of Notes, from time to time, for one or more deferral periods of up to 20 consecutive Interest Payment Periods (as defined below) applicable to such series of Notes each (each such deferral period, commencing on the interest payment date on which the first such deferred interest payment otherwise would have been made, an “Optional Deferral Period”), except that no such Optional Deferral Period may extend beyond the final maturity date of the Notes of such series or end on a day other than the day immediately preceding an interest payment date applicable to such series of Notes.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(“compound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due or payable on the Notes of such series during an Optional Deferral Period, except upon a redemption of any Notes of such series on any redemption date during such Optional Deferral Period (in which case all accrued and unpaid interest (including, to the extent permitted by applicable law, any compound interest) on the Notes of such series to be redeemed to, but excluding, such redemption date will be due and payable on such redemption date), or unless the principal of and interest on the Notes of such series shall have been declared due and payable as the result of an event of default with respect to the Notes of such series (in which case all accrued and unpaid interest, including, to the extent permitted by applicable law, any compound interest, on the Notes of such series shall become due and payable). All references in the Notes of such series and, insofar as relates to the Notes, the indenture, to “interest” on the Notes shall be deemed to include any such deferred interest and, to the extent permitted by applicable law, any compound interest, unless otherwise expressly stated or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respect to each series of Notes, before the end of any Optional Deferral Period that is shorter than 20 consecutive Interest Payment Periods, we may elect, at our option, to extend such Optional Deferral Period, so long as the entire Optional Deferral Period does not exceed 20 consecutive Interest Payment Periods or extend beyond the final maturity date of the Notes of such series. We may also elect, at our option, to shorten the length of any Optional Deferral Period. No Optional Deferral Period (including as extended or shortened) may end on a day other than the day immediately preceding an interest payment date. At the end of any Optional Deferral Period, if all amounts then due on the Notes of such series, including all accrued and unpaid interest thereon (including, without limitation and to the extent permitted by applicable law, any compound interest), are paid, we may elect to begin a new Optional Deferral Period;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without limitation of the foregoing, we may not begin a new Optional Deferral Period unless we have paid all accrued and unpaid interest on the Notes of such series (including, without limitation and to the extent permitted by applicable law, any compound interest) from any previous Optional Deferral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during any Optional Deferral Period, we (and our subsidiaries, as applicable) will not do any of the following (subject to the exceptions set forth in the next succeeding paragraph):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or pay any dividends or distributions on any Capital Stock (as defined below) of Plains;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 purchase, acquire or make a liquidation payment with respect to any Capital Stock of Plains;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any principal, interest or premium on, or repay, repurchase or redeem, any indebtedness of Plains that ranks equally with or junior to the Notes of such series in right of payment; or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payments with respect to any guarantees by Plains of any indebtedness if such guarantees rank equally with or junior to the Notes of such series in right of payment.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during an Optional Deferral Period, we may (a) declare and pay dividends or distributions payable solely in our common units (together with cash in lieu of any fractional unit) or options, warrants or rights to subscribe for or purchase units of our common units, (b) declare and pay any dividend or distribution in connection with the implementation of a plan (a “Rights Plan”) providing for the issuance by us to all holders of our common units of rights entitling them to subscribe for or purchase common units or any class or series of our preferred equity, which rights (1) are deemed to be transferred with such common units, (2) are not exercisable until the occurrence of a specified event or events and (3) are also issued in respect of future issuances of our common units, (c) issue any of shares of our Capital Stock under any Rights Plan or redeem or repurchase any rights distributed pursuant to a Rights Plan, (d) reclassify our Capital Stock or exchange or convert one class or series of our Capital Stock for another class or series of our Capital Stock, (e) purchase fractional interests in shares of our Capital Stock pursuant to the conversion or exchange provisions of such Capital Stock or the security being converted or exchanged, and (f) purchase, acquire or withhold our common units related to the issuance of our common units or rights under any dividend reinvestment plan or related to any of our benefit plans for our directors, officers, employees, consultants or advisors, including any employment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the holders of the applicable series of Notes and the trustee notice of our election of, or any shortening or extension of, an Optional Deferral Period at least 10 business days prior to the earlier of (1) the next succeeding interest payment date or (2) the date upon which we are required to give notice to any applicable self-regulatory organization or to holders of such Notes of the next succeeding interest payment date or the record date therefor. The record date for the payment of deferred interest and, to the extent permitted by applicable law, any compound interest payable on the interest payment date immediately following the last day of an Optional Deferral Period will be the regular record date with respect to such interest payment date.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(i) in the case of a corporation or a company, corporate stock or shares;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Interest Payment Period” means the semi-annual period from and including an interest payment date to but excluding the next succeeding interest payment date, except for the first Interest Payment Period which shall be the period from and including the original issue date to but excluding June 15, 2027.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this “— Events of Default” section will apply with respect to the Notes in lieu of the provisions described under “Description of our debt securities — Events of Default and Remedies” in the accompanying base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Notes will provide that an “event of default” occurs with respect to the Notes of such series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we do not pay any interest on any Note of such series when it becomes due and payable and such default continues for 30 days (regardless of whether such payment is prohibited by the subordination provisions applicable to the Notes), except as the result of a deferral of interest payments in accordance with the provisions discussed above under “— </w:t>
      </w:r>
      <w:r>
        <w:rPr>
          <w:rFonts w:ascii="Times New Roman;Times;serif" w:hAnsi="Times New Roman;Times;serif"/>
          <w:b w:val="false"/>
          <w:i/>
          <w:caps w:val="false"/>
          <w:smallCaps w:val="false"/>
          <w:color w:val="000000"/>
          <w:spacing w:val="4"/>
          <w:sz w:val="20"/>
        </w:rPr>
        <w:t>Option to Defer Interest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we do not pay any principal of or premium, if any, on any Note of such series when it becomes due and payable (regardless of whether such payment is prohibited by the subordination provisions applicable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we remain in breach of any other covenant (excluding covenants solely applicable to one or more other series of debt securities issued under the indenture) in the indenture or the Notes of such series for 90 days after there has been given to us, by registered or certified mail, a written notice of default specifying such default or breach and requiring remedy of the default or breach; the notice must be sent by either the trustee or registered holders of at least 33% of the principal amount of the outstanding Notes of such series;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Plains files for bankruptcy or other specified voluntary and involuntary events of bankruptcy, insolvency, receivership or reorganization occur with respect to Plains.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as discussed below under “— </w:t>
      </w:r>
      <w:r>
        <w:rPr>
          <w:rFonts w:ascii="Times New Roman;Times;serif" w:hAnsi="Times New Roman;Times;serif"/>
          <w:b w:val="false"/>
          <w:i/>
          <w:caps w:val="false"/>
          <w:smallCaps w:val="false"/>
          <w:color w:val="000000"/>
          <w:spacing w:val="4"/>
          <w:sz w:val="20"/>
        </w:rPr>
        <w:t>Acceleration</w:t>
      </w:r>
      <w:r>
        <w:rPr>
          <w:rFonts w:ascii="Times New Roman;Times;serif" w:hAnsi="Times New Roman;Times;serif"/>
          <w:b w:val="false"/>
          <w:i w:val="false"/>
          <w:caps w:val="false"/>
          <w:smallCaps w:val="false"/>
          <w:color w:val="000000"/>
          <w:spacing w:val="4"/>
          <w:sz w:val="20"/>
        </w:rPr>
        <w:t xml:space="preserve">,” neither the trustee nor the holders of the Notes will be entitled to declare the Notes to be due and payable immediately upon the occurrence of an event of default described in clause (c)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either series of Notes will necessarily constitute an event of default with respect to the debt securities of any other series issued under the indenture, and no event of default with respect to any such other series of debt securities issued under the indenture will necessarily constitute an event of default with respect to the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described in clause (c)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above, occurs and is continuing with respect to the Notes of either series, then either the trustee or the registered holders of not less than 33% in principal amount of the outstanding Notes of such series may declare the principal amount of all of the Notes of such series, together with accrued and unpaid interest thereon, if any, to be due and payable immediately, by a notice in writing to us (and to the trustee if given by the registered holders), and upon any such declaration, such principal amount of all outstanding Notes of such series and accrued and unpaid interest, if any, thereon shall become immediately due and payable. If an event of default described in clause (d)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above occurs and is continuing with respect to all series of subordinated debt securities issued under the base indenture at the time outstanding, then either the trustee or the registered holders of not less than 33% in principal amount of all such outstanding subordinated debt securities under the indenture may declare the principal amount of all such outstanding subordinated debt securities, together with accrued and unpaid interest thereon, to be due and payable immediately, and upon any such declaration, such principal amount of all outstanding Notes and accrued and unpaid interest, if any, thereon shall become immediately due and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However, if an event of default described in clause (c) under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above occurs and is continuing, neither the trustee nor the registered holders of the Notes of such series will be entitled to declare the principal of the Notes, or accrued or unpaid interest thereon, to be due and payable immediately, by reason of the occurrence and continuation of such event of default. See “Risk factors — Holders of the Notes will have limited rights of acceleration” above. However, they may exercise the other rights and remedies available under the indenture upon the occurrence of an event of default.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Rescission of Acceleration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each series of the Notes may, by written notice to the trustee, rescind any acceleration with respect to the Notes of such series and annul its consequences if rescission would not conflict with any judgment or decree of a court of competent jurisdiction and all existing events of default with respect to the Notes of each series, other than the nonpayment of the principal of, premium, if any, and interest on the Notes that have become due solely by such acceleration, have been cured or waived.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Control by Registered Holders;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each series of Notes, subject to the indenture applicable to such series of Notes, the registered holders of a majority in principal amount of the outstanding Notes of such series will have the right to: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the time, method and place of conducting any proceeding for any remedy available to the trustee; or </w:t>
      </w:r>
      <w:r>
        <mc:AlternateContent>
          <mc:Choice Requires="wps">
            <w:drawing>
              <wp:anchor behindDoc="0" distT="7112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exercise any trust or power conferred on the trustee with respect to the Notes of such series. </w:t>
      </w:r>
      <w:r>
        <mc:AlternateContent>
          <mc:Choice Requires="wps">
            <w:drawing>
              <wp:anchor behindDoc="0" distT="0" distB="0" distL="254000" distR="0" simplePos="0" locked="0" layoutInCell="1" allowOverlap="1" relativeHeight="63">
                <wp:simplePos x="0" y="0"/>
                <wp:positionH relativeFrom="column">
                  <wp:align>left</wp:align>
                </wp:positionH>
                <wp:positionV relativeFrom="line">
                  <wp:posOffset>635</wp:posOffset>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rights of registered holders to make direction are subject to the following limitations: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registered holders’ directions shall not conflict with any law or the indenture;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trustee may also take any other action it deems proper which is consistent with the registered holders’ direction;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registered holders’ directions may be declined to be followed by the trustee where the trustee determines such directions would involve it in personal liability;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registered holders shall have offered to the trustee security or indemnity satisfactory to it against any cost, liability, or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however, may refuse to follow any direction that conflicts with law or the indenture or that the trustee determines is unduly prejudicial to the rights of any other holder of Notes or that would involve the trustee in personal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is continuing with respect to all series of subordinated debt securities issued under the indenture, the registered holders of a majority in aggregate principal amount of the outstanding subordinated debt securities of all the series, considered as one class, will have the right to make such direction, and not the registered holders of the Notes of any one of the series.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Notice of Default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Notes of each series, the indenture provides that if a default (that is, an event that is, or after notice or the passage of time would be, an event of default) with respect to the Notes of such series occurs and is continuing and is known to the trustee, the trustee must send to each holder of Notes of such series notice of the default within 90 days after it occurs. With respect to the Notes of each series, except in the case of a default in the payment of principal of, and premium, if any, or interest on the Notes of such series, the trustee may withhold such notice, but only if and so long as the trustee in good faith determines that withholding notice is in the interests of the holders of the Notes of such series. In addition, Plains is required to deliver to the trustee, within four months after the end of each fiscal year, an officers’ certificate as to compliance with all covenants under the indenture and indicating whether the signers thereof know of any default or event of default that occurred during the previous year. Plains also is required to deliver to the trustee, within 30 days after the occurrence thereof, an officers’ certificate specifying any default or event of default, its status and what action Plains is taking or proposes to take in respect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provision shall apply with respect to the Notes in lieu of the provisions described under “Description of our debt securities — Modification of Indentures” in the accompanying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of the indenture and either series of Notes may be made by Plains and the trustee with the written consent of the holders of a majority in principal amount of the then outstanding Notes of the affected series (including consents obtained in connection with a tender offer or exchange offer for debt securities). However, without the consent of each holder of an affected Note, no amendment may, among other things: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reduce the percentage in principal amount of Notes whose holders must consent to an amendment;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reduce the rate of or extend the time for payment of interest, including default interest, on any Note beyond the maximum time period for any permitted extension or deferral or to increase the maximum time period for any such interest extension or deferral or to increase the maximum number of times we may extend or defer such interest payment;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reduce the principal of or extend the stated maturity of any Note;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reduce the premium payable upon the redemption of any Note as described above under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change any obligation of Plains to pay additional amounts with respect to any Note;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make any Notes payable in money other than U.S. dollars;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impair the right of any holder to receive payment of the principal of and premium, if any, and interest on such holder’s Note or to institute suit for the enforcement of any payment on or with respect to such holder’s Note;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waive a continuing default or event of default in the payment of principal and premium, if any, and interest with respect to such holder’s Note;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make any change in the amendment provisions which require each holder’s consent or in the waiver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Notes of any series, on behalf of all such holders, may waive any past or existing default or event of default with respect to the Notes of such series (including any such waiver obtained in connection with a tender offer or exchange offer for the Notes), except a default or event of default in the payment of principal, premium or interest or in respect of a provision that under the indenture cannot be modified or amended without the consent of the holder of each outstanding Note affected. A waiver by the holders of Notes of any series of compliance with a covenant, a default or an event of default will not constitute a waiver of compliance with such covenant or such default or event of default with respect to any other series of debt securities issued under the indenture to which such covenant, default or event of default applies.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any holder, Plains and the trustee may amend the indenture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cure any ambiguity, omission, defect or inconsistency;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provide for the assumption by a successor of the obligations of Plains under the indenture;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provide for uncertificated Notes in addition to or in place of certificated Notes;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secure the Notes or add guarantees with respect to the Notes or release guarantees with respect to the Notes in accordance with the terms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comply with any requirement in order to effect or maintain the qualification of the indenture under the Trust Indenture Act of 1939, as amended (the “Trust Indenture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add to the covenants of Plains for the benefit of the holders or surrender any right or power conferred upon Plains;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add any additional events of default;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make any change that does not adversely affect the rights under the indenture of any 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supplement any of the provisions of the indenture to facilitate the defeasance and discharge of Notes pursuant to the terms of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comply with any requirement of the SEC in connection with the qualification of the indenture under the Trust Indenture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conform the text of the indenture to any provision of this “Description of the notes” to the extent that such text of the indenture was intended to reflect such provision of this “Description of the notes” as specified in an officers’ certificate;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provide for a successor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consent of the holders is not necessary under the indenture to approve the particular form of any proposed amendment. It is sufficient if such consent approves the substance of the proposed amendment. After an amendment with the consent of the holders under the indenture becomes effective, Plains is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send to all holders of Notes a notice briefly describing such amendment. However, the failure to give such notice to all such holders, or any defect therein, will not impair or affect the validity of the amendment.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Plains at any time may terminate all its obligations under the indenture as they relate to a given series of Notes (“legal defeasance”), except for certain obligations, including those respecting the defeasance trust and obligations to register the transfer of or exchange the Notes, to replace mutilated, destroyed, lost or stolen Notes and to maintain a registrar and paying agent in respect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Plains exercises its legal defeasance option, payment of the Notes of the applicable series may not be accelerated because of an event of default, and any security that may have been granted with respect to the Notes will be released.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the defeasance option, Plains must irrevocably deposit in trust (the “defeasance trust”) with the trustee money, U.S. Government Obligations (as defined in the indenture) or a combination thereof for the payment of principal, premium, if any, and interest on the Notes to redemption or stated maturity, as the case may be, and must comply with certain other conditions, including delivery to the trustee of an opinion of counsel (subject to customary exceptions and exclusions) to the effect that holders of the Notes will not recognize income, gain or loss for U.S. federal income tax purposes as a result of such defeasance and will be subject to U.S. federal income tax on the same amounts and in the same manner and at the same times as would have been the case if such defeasance had not occurred. Such opinion of counsel must be based on a ruling of the Internal Revenue Service or other change in applicable U.S. federal income tax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legal defeasance, holders of the Notes would be entitled to look only to the defeasance trust for payment of principal of and any premium and interest on their Notes until maturity.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Plains may discharge all its obligations under the indenture with respect to each series of Notes as provided under “Description of our debt securities — Satisfaction and Discharge; Defeasance” in the accompanying base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is not cured or waived, the trustee is required to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not be under any obligation to exercise any of its rights or powers under the indenture at the request of any of the holders of Notes unless they have offered to the trustee security or indemnity satisfactory to it against the costs, expenses and liabilities it may incur.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is the trustee under the indenture and has been appointed by Plains as registrar and paying agent with regard to the Notes. The trustee and its affiliates maintain commercial banking and other relationships with Plains.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the Notes are governed by, and will be construed in accordance with, the laws of the State of New York.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BDA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issue each series of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Times New Roman;Times;serif" w:hAnsi="Times New Roman;Times;serif"/>
          <w:b w:val="false"/>
          <w:i/>
          <w:caps w:val="false"/>
          <w:smallCaps w:val="false"/>
          <w:color w:val="000000"/>
          <w:spacing w:val="4"/>
          <w:sz w:val="20"/>
        </w:rPr>
        <w:t>société anonyme</w:t>
      </w:r>
      <w:r>
        <w:rPr>
          <w:rFonts w:ascii="Times New Roman;Times;serif" w:hAnsi="Times New Roman;Times;serif"/>
          <w:b w:val="false"/>
          <w:i w:val="false"/>
          <w:caps w:val="false"/>
          <w:smallCaps w:val="false"/>
          <w:color w:val="000000"/>
          <w:spacing w:val="4"/>
          <w:sz w:val="20"/>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Electronic notes and payment transfer, processing, depositary and custodial links have been established among these systems and others, either directly or indirectly, which enable Global Notes to be issued, held and transferred among these clearing systems through these links.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Depository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interest and transfer of ownership interest of each actual purchaser of each security held by or on behalf of DTC is recorded on the records of the Participants and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 (1) any aspect or accuracy of DTC’s records or any Participant’s or Indirect Participant’s records relating to the beneficial ownership or (2) any other matter relating to the actions and practices of DTC or any of the Participants or the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book-entry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S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material U.S. federal income tax consequences of the ownership and disposition of the Notes. This discussion is based on the provisions of the Internal Revenue Code of 1986, as amended (the “Code”), applicable U.S. Treasury Regulations promulgated thereunder, judicial authority and administrative interpretations, all as of the date hereof,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except as otherwise expressly set forth below under the heading “— Classification of the Notes”, an opinion of counsel with respect to the U.S. federal income tax consequences of owning or disposing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holders (as defined below) who purchase the Notes of a series in this offering for cash at a price equal to the issue price of the Notes of such series (i.e., the first price at which a substantial amount of the Notes of such series is sold for cash to investors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the U.S. federal income tax consequences of the Medicare tax on net investment income or the tax consequences arising under the laws of any U.S. state or local or non-U.S. jurisdiction or under any income tax treaty. In addition, this discussion does not address all tax consequences that may be relevant to a particular holder in light of the holder’s special circumstances, or to certain categories of investors that may be subject to special rules, such as: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currencies; </w:t>
      </w:r>
      <w:r>
        <mc:AlternateContent>
          <mc:Choice Requires="wps">
            <w:drawing>
              <wp:anchor behindDoc="0" distT="7239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have elected the mark-to-market method of accounting for their securities; </w:t>
      </w:r>
      <w:r>
        <mc:AlternateContent>
          <mc:Choice Requires="wps">
            <w:drawing>
              <wp:anchor behindDoc="0" distT="7239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who hold Notes through non-U.S. brokers or other non-U.S. intermediaries;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Notes as part of a hedge, straddle, appreciated financial position or other “synthetic security”, hedge, conversion transaction or other integrated transaction;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former U.S. citizens or long-term residents of the United States;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or other financial institutions;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entities that are tax-exempt for U.S. federal income tax purposes;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through individual retirement accounts (“IRAs”) or other tax-deferred accounts;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required to accelerate the recognition of any item of gross income with respect to the Notes as a result of such income being recognized on an “applicable financial statement” ​(within the meaning of Section 451(b) of the Code);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 a portion of the net proceeds from this offering pursuant to the redemption of our Series A preferred units or the redemption of our Series B preferred units; and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and other entities or arrangements treated as pass-through entities for U.S. federal income tax purposes and holders of interests therein.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owning and disposing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“holder” is either a U.S. holder or non-U.S. holder (each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INFORMATIONAL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OWNERSHIP AND DISPOSITION OF THE NOTES UNDER OTHER U.S. FEDERAL TAX LAWS OR UNDER THE LAWS OF ANY U.S. STATE OR LOCAL OR NON-U.S. JURISDICTION OR UNDER ANY APPLICABLE INCOME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Classification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determination of whether a security is classified as indebtedness or equity for U.S. federal income tax purposes requires a judgment based on all relevant facts and circumstances. There is no statutory, judicial or administrative authority that directly addresses the U.S. federal income tax treatment of securities similar to the Notes. In the opinion of Vinson &amp; Elkins LLP, under current law and based on the facts contained in this prospectus supplement, the terms of the Notes of each series and the indenture applicable to the Notes of each series, and certain assumptions and representations relied upon in rendering such opinion, the Notes should be treated as indebtedness for U.S. federal income tax purposes (although there is no controlling authority directly on point). This opinion is not binding on the IRS or any court, and there can be no assurance that the IRS or a court will not challenge this opinion or that a court would not sustain such a challenge. If the IRS were to successfully challenge the classification of the Notes as indebtedness, interest payments on the Notes likely would be treated for U.S. federal income tax purposes as guaranteed payments or distributions with respect to preferred partnership interests of PAA, and the U.S. federal income tax consequences to holders of the Notes would be materially different from those described herein. In such case, certain holders of the Notes could have substantial adverse tax consequences. For example, employee benefit plans and most other tax-exempt organizations, including IRAs and other retirement plans, could be subject to U.S. federal income tax on income and gain, if any, recognized by them with respect to the Notes as unrelated business taxable income. Non-U.S. holders of the Notes could be subject to U.S. federal income tax on income and gain, if any, recognized by them with respect to the Notes as effectively connected income (that would be attributable to a permanent establishment in the United States within the meaning of an applicable tax treaty), and be required to file U.S. federal tax returns in respect thereof. In addition, non-U.S. holders could be subject to substantial withholding taxes in connection with any payment from us or upon a taxable disposition of the Notes. Holders are urged to consult their own tax advisors regarding the tax consequences to them if the Notes were not to be treated as indebtedness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treat the notes as indebtedness for U.S. federal income tax purposes. Each holder of the Notes will, by accepting the Notes, be deemed to have agreed that the holder intends that the Notes constitute indebtedness and will treat the Notes as indebtedness for U.S. federal and applicable state and local income tax purposes. The remainder of this discussion assumes that the Notes will be respected as indebtedness for U.S.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the notes — Redemption — Redemption Following a Rating Agency Event”), we may be obligated to make payments on the Notes in excess of the stated interest or principal on the Notes. If any of these contingencies were to occur, it would affect the amount and timing of income recognized by you. Further, these contingencies may implicate the provisions of the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(i) to accrue ordinary interest income based on a projected payment schedule and comparable yield, regardless of your regular method of accounting for U.S. federal income tax purposes and (ii)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applies to you if you are a U.S. holder of the Notes. You are a “U.S. holder” for purposes of this discussion if you are a beneficial owner of a Note and you are for U.S. federal income tax purposes: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in or under the laws of the United States, any state thereof or the District of Columbia; </w:t>
      </w:r>
      <w:r>
        <mc:AlternateContent>
          <mc:Choice Requires="wps">
            <w:drawing>
              <wp:anchor behindDoc="0" distT="660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6604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the administration of which is subject to the primary supervision of a U.S. court and that has one or more United States persons (as defined in the Code) that have the authority to control all substantial decisions of the trust or (ii) that has a valid election in effect under applicable U.S. Treasury Regulations to be treated as a United States person. </w:t>
      </w:r>
      <w:r>
        <mc:AlternateContent>
          <mc:Choice Requires="wps">
            <w:drawing>
              <wp:anchor behindDoc="0" distT="660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and Original Issue Discount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the option under certain circumstances to defer payments of stated interest on the Notes (see “Description of the notes — Option to Defer Interest Payments”). Under the U.S. Treasury Regulations relating to original issue discount (“OID”), a debt instrument is deemed to be issued with OID if there is more than a “remote” contingency that periodic stated interest payments due on the instrument will not be timely paid. We believe the likelihood of our exercising the option to defer payment of stated interest on the Notes is remote within the meaning of the U.S. Treasury Regulations, in part because our exercise of the option to defer payments of stated interest on the Notes would generally prevent us from: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or paying any dividends or distributions on any of our Capital Stock;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redeeming, purchasing, acquiring or making a liquidation payment with respect to any of our Capital Stock; </w:t>
      </w:r>
      <w:r>
        <mc:AlternateContent>
          <mc:Choice Requires="wps">
            <w:drawing>
              <wp:anchor behindDoc="0" distT="660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paying any principal, interest or premium on, or repaying, repurchasing or redeeming, any of our indebtedness that ranks equally with or junior to the Notes of such series in right of payment; or </w:t>
      </w:r>
      <w:r>
        <mc:AlternateContent>
          <mc:Choice Requires="wps">
            <w:drawing>
              <wp:anchor behindDoc="0" distT="660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any payments with respect to any of our guarantees of any indebtedness if such guarantees rank equally with or junior to the Notes of such series in right of payment. </w:t>
      </w:r>
      <w:r>
        <mc:AlternateContent>
          <mc:Choice Requires="wps">
            <w:drawing>
              <wp:anchor behindDoc="0" distT="647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determination that these contingencies are remote is binding on you unless you disclose your contrary position in the manner required by applicable U.S. Treasury Regulations. Our determination is not, however, binding on the IRS. There can be no assurance that the IRS or a court will agree with these positions. The meaning of the term “remote” in the U.S. Treasury Regulations has not yet been addressed in any rulings or other guidance by the IRS or any court.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foregoing, we expect the Notes of each series to be treated as “variable rate debt instruments” for U.S. federal income tax purposes. Based on the U.S. Treasury Regulations applicable to variable rate debt instruments and the expected pricing terms of the Notes, we do not expect the pricing of the Notes of each series to result in the Notes as being treated as issued with OID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foregoing positions, it is expected that the Notes of each series will be issued without OID for U.S. federal income tax purposes, and you generally will be required to recognize any stated interest as ordinary income at the time it is received or accrued on the Notes of such series in accordance with your regular method of accounting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option to defer interest payments on the Notes of any series were determined not to be remote, if we exercise the option to defer interest payments on the Notes of any series, if the pricing terms for the Notes of a series were to be set in a manner different than our expectations or if the Notes of a series were otherwise determined to have OID, the Notes of such series would be treated as issued with OID at the time of issuance or as reissued with OID at the time of such deferral, as the case may be, and all or a portion of the stated interest or, if interest is in fact deferred, all stated interest due after such deferral would be treated as OID. Under the OID rules, you would be required to include such OID in taxable income (as ordinary income) with respect to the Notes of such series as it accrues, using a constant yield method, regardless of your method of accounting for U.S. federal income tax purposes and in advance of the receipt of cash to which such OID is attributable with respect to the Notes of such series. Consequently, you would be required to include OID in gross income with respect to the Notes of such series even though we would not make any actual cash payments during an Optional Deferral Period with respect to the Notes of such series.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(excluding any amount attributable to accrued but unpaid interest on the Note, which will be recognized as ordinary interest income to the extent you have not previously included the accrued interest in gross income). Your adjusted tax basis in a Note of any series will, in general, be your cost for that Note of such series, and if the Note of such series is treated as having been issued or reissued with OID, such adjusted tax basis will also be increased by the amount of any OID previously included in your gross income with respect to the Note of such series and decreased by any payments received on the Note of such series since and including the date that the Note of such series was deemed to be issued or reissued with OID (other than any payments of qualified stated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dispose of a Note of any series before the record date for the payment of interest at the end of an Optional Deferral Period, you will not receive such accrued and unpaid interest. Instead, the accrued and unpaid interest will be paid to the holder of record on the record date regardless of who the holder of record may have been on any other date during the Optional Deferral Period. Moreover, the accrued OID will be added to your adjusted tax basis in the Note of such series but may not be reflected in the amount you realize on the sale or other disposition. To the extent that the amount realized on a sale or other taxable disposition of a Note of such series is less than your adjusted tax basis, you will generally recognize a capital loss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(including accrued OID, if any) on, and the proceeds of the sale or other disposition (including a redemption, exchange, or retirement) of,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if the amounts withheld exceed your actual U.S. federal income tax liability and you timely provide the required information or appropriate claim form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applies to you if you are a non-U.S. holder of the Notes. You are a “non-U.S. holder” for purposes of this discussion if you are a beneficial owner of a Note that is, for U.S. federal income tax purposes, an individual, corporation, estate or trust that is not a 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backup withholding and withholding requirements under FATCA, payments to you of interest (which, for purposes of this discussion under the heading “— Tax Consequences to Non-U.S. Holders”, includes any OID) on a Note generally will not be subject to U.S. federal income or withholding tax under the “portfolio interest” exemption if you properly certify as to your non-U.S. status, as described below, and: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10% or more of our capital or profits interests; </w:t>
      </w:r>
      <w:r>
        <mc:AlternateContent>
          <mc:Choice Requires="wps">
            <w:drawing>
              <wp:anchor behindDoc="0" distT="698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w:t>
      </w:r>
      <w:r>
        <mc:AlternateContent>
          <mc:Choice Requires="wps">
            <w:drawing>
              <wp:anchor behindDoc="0" distT="673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the Note is in connection with an extension of credit made pursuant to a loan agreement entered into in the ordinary course of your trade or business; and </w:t>
      </w:r>
      <w:r>
        <mc:AlternateContent>
          <mc:Choice Requires="wps">
            <w:drawing>
              <wp:anchor behindDoc="0" distT="673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is not effectively connected with your conduct of a U.S. trade or business. </w:t>
      </w:r>
      <w:r>
        <mc:AlternateContent>
          <mc:Choice Requires="wps">
            <w:drawing>
              <wp:anchor behindDoc="0" distT="673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portfolio interest exemption generally applies only if you also appropriately certify as to your non-U.S. status. You can generally meet the certification requirement by providing a properly executed IRS Form W-8BEN or IRS Form W-8BEN-E (or other applicable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non-U.S. partnerships, estates and trusts, and in certain circumstances certifications as to the non-U.S. status of partners, trust owners or beneficiaries may have to be provided to the applicable withholding agent. In addition, special rules apply to qualified intermediaries that enter into withholding agreements with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or successor form) claiming an exemption from (or a reduction of) withholding under the benefits of an applicable income tax treaty, or (ii) the payments of such interest are effectively connected with your conduct of a trade or business in the United States and you meet the certification requirements described below. (See “— Tax Consequences to Non-U.S. Holders — Income or Gain Effectively Connected with a U.S. Trade or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 of) withholding under an applicable income tax treaty, you may obtain a refund of any excess amounts withheld if you timely provide the required information or appropriate claim form to the IRS. You should consult your tax advisor regarding your entitlement to benefits under any applicable income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OID in respect of the Notes of each series, see the discussion above under “— Tax Consequences to U.S. Holders — Interest and Original Issue Discount”.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backup withholding, you generally will not be subject to U.S. federal income tax on any gain recognized on the sale, redemption, exchange, retirement or other taxable disposition of a Note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conduct by you of a U.S. trade or business; or </w:t>
      </w:r>
      <w:r>
        <mc:AlternateContent>
          <mc:Choice Requires="wps">
            <w:drawing>
              <wp:anchor behindDoc="0" distT="0" distB="0" distL="254000" distR="0" simplePos="0" locked="0" layoutInCell="1" allowOverlap="1" relativeHeight="94">
                <wp:simplePos x="0" y="0"/>
                <wp:positionH relativeFrom="column">
                  <wp:align>left</wp:align>
                </wp:positionH>
                <wp:positionV relativeFrom="line">
                  <wp:posOffset>635</wp:posOffset>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has been present in the United States for 183 days or more in the taxable year of disposition and certain other requirements are met. </w:t>
      </w:r>
      <w:r>
        <mc:AlternateContent>
          <mc:Choice Requires="wps">
            <w:drawing>
              <wp:anchor behindDoc="0" distT="8128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gain is described in the first bullet point above, you generally will be subject to U.S. federal income tax in the manner described below under “— Tax Consequences to Non-U.S. Holders — Income or Gain Effectively Connected with a U.S. Trade or Business.” If you are a non-U.S. holder described in the second bullet point above, you will be subject to a U.S. federal income tax at a 30% rate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and unpaid interest on the Notes, this amount generally will be treated in the same manner as described above in “— Tax Consequences to Non-U.S. Holders — Interest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or Gain Effectively Connected with a U.S. Trade or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on the Notes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that is subject to U.S. federal income tax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to you of interest on a Note of any series,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an applicable treaty or other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generally will not apply to payments to you of interest on a Note if the certification described in “— Tax Consequences to Non-U.S. Holders — Interest on the Notes” is duly provided or you otherwise establish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the proceeds from the sale or other taxable disposition (including a redemption, exchange or retirement) of a Note effected by the U.S. office of a U.S. or non-U.S. broker will be subject to information reporting requirements and backup withholding unless you properly certify under penalties of perjury as to your non-U.S. status on IRS Form W-8BEN or IRS Form W-8BEN-E, as applicable (or other applicable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non-U.S. office of a broker. However, unless such a broker has documentary evidence in its records that you are not a United States person and certain other conditions are met, or you otherwise establish an exemption, information reporting will apply to a payment of the proceeds of the taxable disposition of a Note effected outside the United States by such a broker if it has certain relationships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Withholding on Payments to Certain Foreign Entities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Sections 1471 through 1474 of the Code and the U.S. Treasury Regulations and administrative guidance issued thereunder (referred to as “FATCA”) generally impose a 30% U.S. federal withholding tax on “withholdable payments” ​(as defined in the Code), including payments of interest (including any OID)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its direct and indirect substantial United States owners (generally by providing an IRS Form W-8BEN-E or other applicable or successor form);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proposed U.S. Treasury Regulations provide that such payments of gross proceeds (other than amounts treated as interest) do not constitute withholdable payments. In general, taxpayers may rely on these proposed U.S. Treasury Regulations until they are revoked or final U.S.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Foreign financial institutions located in jurisdictions that have an intergovernmental agreement with the United States with respect to these rules may be subject to different rules. Under certain circumstances, a holder of Notes might be eligible for refunds or credits of such taxes. You should consult your own tax advisor regarding the effects of FATCA on your investment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PRECEDING DISCUSSION OF MATERIAL U.S. FEDERAL INCOME TAX CONSEQUENCES IS FOR INFORMATIONAL USE ONLY AND IS NOT TAX ADVICE. YOU SHOULD CONSULT YOUR OWN TAX ADVISOR REGARDING THE PARTICULAR U.S. FEDERAL, STATE AND LOCAL AND NON-U.S. TAX CONSEQUENCES OF OWNING AND DISPOSING OF THE NOTES, INCLUDING THE CONSEQUENCES OF ANY PROPOSED CHANGE IN APPLICABLE LAWS.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set forth in the underwriting agreement, dated the date of this prospectus supplement, between us and the underwriters named below, we have agreed to sell to each of the underwriters, for whom J.P. Morgan Securities LLC, Citigroup Global Markets Inc., Mizuho Securities USA LLC, MUFG Securities Americas Inc. and Truist Securities, Inc. are acting as representatives, and the underwriters have agreed, severally and not jointly, to purchase the principal amount of the Notes of each series set forth opposite their respective names below: </w:t>
      </w:r>
    </w:p>
    <w:tbl>
      <w:tblPr>
        <w:tblW w:w="8095" w:type="dxa"/>
        <w:jc w:val="left"/>
        <w:tblInd w:w="1393" w:type="dxa"/>
        <w:tblLayout w:type="fixed"/>
        <w:tblCellMar>
          <w:top w:w="0" w:type="dxa"/>
          <w:left w:w="0" w:type="dxa"/>
          <w:bottom w:w="28" w:type="dxa"/>
          <w:right w:w="0" w:type="dxa"/>
        </w:tblCellMar>
      </w:tblPr>
      <w:tblGrid>
        <w:gridCol w:w="3945"/>
        <w:gridCol w:w="109"/>
        <w:gridCol w:w="109"/>
        <w:gridCol w:w="109"/>
        <w:gridCol w:w="226"/>
        <w:gridCol w:w="1366"/>
        <w:gridCol w:w="109"/>
        <w:gridCol w:w="109"/>
        <w:gridCol w:w="109"/>
        <w:gridCol w:w="109"/>
        <w:gridCol w:w="226"/>
        <w:gridCol w:w="1306"/>
        <w:gridCol w:w="109"/>
        <w:gridCol w:w="154"/>
      </w:tblGrid>
      <w:tr>
        <w:trPr/>
        <w:tc>
          <w:tcPr>
            <w:tcW w:w="39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7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Principal 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Series A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Series B Notes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77,000,000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88,000,000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77,000,000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88,000,000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77,000,000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88,000,000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77,000,000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88,000,000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77,000,000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88,000,000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24,800,000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BMO Capital Markets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CIBC World Markets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Fifth Third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PNC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RBC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Regions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21,700,000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24,800,000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21,700,000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24,800,000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Zions Direct, Inc.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11,200,000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12,800,000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700,000,000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800,000,000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2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discounts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initially to offer the Notes to the public at the public offering prices set forth on the cover page of this prospectus supplement and may offer the Notes to certain dealers at a price less a concession not in excess of 0.600% of the principal amount of the Series A Notes, with respect to the Series A Notes, or 0.600% of the principal amount of the Series B Notes, with respect to the Series B Notes. The underwriters may allow a discount not in excess of 0.400% of the principal amount of the Series A Notes, with respect to the Series A Notes, or 0.400% of the principal amount of the Series B Notes, with respect to the Series B Notes, on sales to certain other brokers and dealers. After this initial public offering, the public offering price, concession and discount for either series of the Notes may be changed.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compensation to be paid by us to the underwriters. </w:t>
      </w:r>
    </w:p>
    <w:tbl>
      <w:tblPr>
        <w:tblW w:w="3873" w:type="dxa"/>
        <w:jc w:val="left"/>
        <w:tblInd w:w="1393" w:type="dxa"/>
        <w:tblLayout w:type="fixed"/>
        <w:tblCellMar>
          <w:top w:w="0" w:type="dxa"/>
          <w:left w:w="0" w:type="dxa"/>
          <w:bottom w:w="28" w:type="dxa"/>
          <w:right w:w="0" w:type="dxa"/>
        </w:tblCellMar>
      </w:tblPr>
      <w:tblGrid>
        <w:gridCol w:w="1931"/>
        <w:gridCol w:w="109"/>
        <w:gridCol w:w="109"/>
        <w:gridCol w:w="109"/>
        <w:gridCol w:w="226"/>
        <w:gridCol w:w="1126"/>
        <w:gridCol w:w="109"/>
        <w:gridCol w:w="154"/>
      </w:tblGrid>
      <w:tr>
        <w:trPr/>
        <w:tc>
          <w:tcPr>
            <w:tcW w:w="19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Underwriting </w:t>
            </w:r>
            <w:r>
              <w:rPr/>
              <w:br/>
            </w:r>
            <w:r>
              <w:rPr>
                <w:spacing w:val="-3"/>
              </w:rPr>
              <w:t xml:space="preserve">Discount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31" w:type="dxa"/>
            <w:tcBorders/>
            <w:shd w:fill="CCEEFF" w:val="clear"/>
            <w:tcMar>
              <w:bottom w:w="0" w:type="dxa"/>
            </w:tcMar>
            <w:vAlign w:val="center"/>
          </w:tcPr>
          <w:p>
            <w:pPr>
              <w:pStyle w:val="TableContents"/>
              <w:bidi w:val="0"/>
              <w:spacing w:before="0" w:after="0"/>
              <w:jc w:val="left"/>
              <w:rPr>
                <w:spacing w:val="4"/>
              </w:rPr>
            </w:pPr>
            <w:r>
              <w:rPr>
                <w:spacing w:val="4"/>
              </w:rPr>
              <w:t xml:space="preserve">Per Series A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7,000,000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31" w:type="dxa"/>
            <w:tcBorders/>
            <w:shd w:fill="CCEEFF" w:val="clear"/>
            <w:tcMar>
              <w:bottom w:w="0" w:type="dxa"/>
            </w:tcMar>
            <w:vAlign w:val="center"/>
          </w:tcPr>
          <w:p>
            <w:pPr>
              <w:pStyle w:val="TableContents"/>
              <w:bidi w:val="0"/>
              <w:spacing w:before="0" w:after="0"/>
              <w:jc w:val="left"/>
              <w:rPr>
                <w:spacing w:val="4"/>
              </w:rPr>
            </w:pPr>
            <w:r>
              <w:rPr>
                <w:spacing w:val="4"/>
              </w:rPr>
              <w:t xml:space="preserve">Per Series B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3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8,000,000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share of the total expenses of the offering, excluding the underwriting discounts, will be approximately $6.0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issue of securities with no established trading market. We do not currently intend to apply for listing of either series of the Notes on any securities exchange or to have either series of the Notes quoted on any automated quotation system. We have been advised by the underwriters that the underwriters intend to make a market in each series of the Notes but are not obligated to do so and may discontinue market making at any time without notice. No assurance can be given as to whether or not a trading market for either series of the Notes will develop or as to the liquidity of any trading market for either series of the Notes which may develop. If an active public trading market for either series of the Notes does not develop, the market price and liquidity of such series of Notes may be adversely affected. If either series of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delivery of the Notes will be made against payment therefor on or about September 14, 2026,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the business day before delivery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required, by virtue of the fact that the Notes initially will settle in T+3, to specify an alternate settlement cycle at the time of any such trade to prevent failed settlement and should consult their own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not a professional client, as defined in point (8) of Article 2(1) of Regulation (EU) No 600/2014 as it forms part of domestic law by virtue of the European Union (Withdrawal) Act 2018;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New Notes or otherwise making them available to any retail investor in the UK may be unlawful under DISC and the Consumer Composite Investments (Designated Activities) Regulations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has severally represented, warranted and agreed that: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only communicated or caused to be communicated, and will only communicate or cause to be communicated, any invitation or inducement to engage in investment activity (within the meaning of section 21 of the FSMA) received by it in connection with the issue or sale of any Notes in circumstances in which section 21(1) of the FSMA does not apply to the Issuer; and </w:t>
      </w:r>
      <w:r>
        <mc:AlternateContent>
          <mc:Choice Requires="wps">
            <w:drawing>
              <wp:anchor behindDoc="0" distT="10287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complied and will comply with all applicable provisions of the FSMA with respect to anything done by it in relation to the Notes in, from or otherwise involving the United Kingdom. </w:t>
      </w:r>
      <w:r>
        <mc:AlternateContent>
          <mc:Choice Requires="wps">
            <w:drawing>
              <wp:anchor behindDoc="0" distT="10287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member states of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offers of Notes. This prospectus supplement and the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(for corporations, under Section 274 of the SFA) or to a relevant person defined in Section 275(2) of the SFA, or to any person pursuant to Section 275(1A), and in accordance with the conditions specified in Section 275 of the SFA;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or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are not intended to constitute an offer or solicitation to purchase or invest in the Notes. The Notes may not be publicly offered, directly or indirectly, in Switzerland within the meaning of the Swiss Financial Services Act (“FinSA”) and no application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South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Abu Dhabi Global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for distribution only to persons who (a) are outside the Abu Dhabi Global Market, or (b) are Authorised Persons or Recognised Bodies (as such terms are defined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of either series. The underwriters and their affiliates may also make investment recommendations and/or publish or express independent research views in respect of such securities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the Notes being offered hereby will be passed upon for us by Vinson &amp; Elkins L.L.P., Houston, Texas and for the underwriters by Baker Botts L.L.P., Houston, Texas.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EPIC Crude Holdings, LP and its subsidiaries as of and for the years ended December 31, 2024 and 2023 have been incorporated by reference in this Prospectus in reliance upon the report of KPMG LLP, independent auditors, incorporated by reference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 </w:t>
      </w:r>
    </w:p>
    <w:p>
      <w:pPr>
        <w:pStyle w:val="TextBody"/>
        <w:bidi w:val="0"/>
        <w:spacing w:lineRule="atLeast" w:line="240" w:before="120" w:after="0"/>
        <w:ind w:left="1993" w:right="0" w:hanging="0"/>
        <w:jc w:val="left"/>
        <w:rPr/>
      </w:pPr>
      <w:hyperlink r:id="rId10">
        <w:r>
          <w:rPr>
            <w:rStyle w:val="InternetLink"/>
          </w:rPr>
          <w:t>Annual Report on Form 10-K for the fiscal year ended December 31, 2025, including information specifically incorporated by reference from our Proxy Statement for our 2026 Annual Meeting;</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Quarterly Reports on Form 10-Q for the periods ended </w:t>
      </w:r>
      <w:hyperlink r:id="rId11">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 on Form 8-K/A filed with the SEC on </w:t>
      </w:r>
      <w:hyperlink r:id="rId13">
        <w:r>
          <w:rPr>
            <w:rStyle w:val="InternetLink"/>
          </w:rPr>
          <w:t>January 16, 2026</w:t>
        </w:r>
      </w:hyperlink>
      <w:r>
        <w:rPr>
          <w:rFonts w:ascii="Times New Roman;Times;serif" w:hAnsi="Times New Roman;Times;serif"/>
          <w:b w:val="false"/>
          <w:i w:val="false"/>
          <w:caps w:val="false"/>
          <w:smallCaps w:val="false"/>
          <w:color w:val="000000"/>
          <w:spacing w:val="4"/>
          <w:sz w:val="20"/>
        </w:rPr>
        <w:t xml:space="preserve"> (excluding Exhibit 99.3 thereto) and Current Reports on Form 8-K filed with the SEC on </w:t>
      </w:r>
      <w:hyperlink r:id="rId14">
        <w:r>
          <w:rPr>
            <w:rStyle w:val="InternetLink"/>
          </w:rPr>
          <w:t>March 3,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May 22,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June 2,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June 17, 2026</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September 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these filings (other than any exhibits unless specifically incorporated by reference into this prospectus supplement and the accompanying base prospectus) at no cost by making written or telephone requests for copies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All American Pipeline,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 website that contains reports, proxy and information statements, and other information regarding us. The SEC’s website address is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PLAINS ALL AMERICAN PIPELINE, L.P.</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PAA FINANCE CORP.</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common units, preferred units and debt securities involves risks. Limited partnerships are inherently different from corporations. You should carefully consider the risk factors described under “Risk Factors” beginning on page </w:t>
      </w:r>
      <w:hyperlink w:anchor="b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before you make an investment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units are traded on the Nasdaq Global Select Market under the symbol “PAA.” We will provide information in the prospectus supplement for the trading market, if any, for any preferred units or debt securities we may offer.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September 6,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200" w:type="dxa"/>
        <w:jc w:val="left"/>
        <w:tblInd w:w="1393" w:type="dxa"/>
        <w:tblLayout w:type="fixed"/>
        <w:tblCellMar>
          <w:top w:w="0" w:type="dxa"/>
          <w:left w:w="0" w:type="dxa"/>
          <w:bottom w:w="0" w:type="dxa"/>
          <w:right w:w="0" w:type="dxa"/>
        </w:tblCellMar>
      </w:tblPr>
      <w:tblGrid>
        <w:gridCol w:w="124"/>
        <w:gridCol w:w="4967"/>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iii</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FOST">
              <w:r>
                <w:rPr>
                  <w:rStyle w:val="InternetLink"/>
                  <w:spacing w:val="4"/>
                </w:rPr>
                <w:t>iv</w:t>
              </w:r>
            </w:hyperlink>
            <w:hyperlink w:anchor="b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APAA">
              <w:r>
                <w:rPr>
                  <w:rStyle w:val="InternetLink"/>
                  <w:spacing w:val="4"/>
                </w:rPr>
                <w:t xml:space="preserve">About Plains All American Pipeline, L.P.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APAA">
              <w:r>
                <w:rPr>
                  <w:rStyle w:val="InternetLink"/>
                  <w:spacing w:val="4"/>
                </w:rPr>
                <w:t>1</w:t>
              </w:r>
            </w:hyperlink>
            <w:hyperlink w:anchor="bAP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DOOD">
              <w:r>
                <w:rPr>
                  <w:rStyle w:val="InternetLink"/>
                  <w:spacing w:val="4"/>
                </w:rPr>
                <w:t xml:space="preserve">Description of Our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D">
              <w:r>
                <w:rPr>
                  <w:rStyle w:val="InternetLink"/>
                  <w:spacing w:val="4"/>
                </w:rPr>
                <w:t>5</w:t>
              </w:r>
            </w:hyperlink>
            <w:hyperlink w:anchor="bDO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DOOP">
              <w:r>
                <w:rPr>
                  <w:rStyle w:val="InternetLink"/>
                  <w:spacing w:val="4"/>
                </w:rPr>
                <w:t xml:space="preserve">Description of Our Preferred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OP">
              <w:r>
                <w:rPr>
                  <w:rStyle w:val="InternetLink"/>
                  <w:spacing w:val="4"/>
                </w:rPr>
                <w:t>13</w:t>
              </w:r>
            </w:hyperlink>
            <w:hyperlink w:anchor="bDO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DOOC">
              <w:r>
                <w:rPr>
                  <w:rStyle w:val="InternetLink"/>
                  <w:spacing w:val="4"/>
                </w:rPr>
                <w:t xml:space="preserve">Description of Our Common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C">
              <w:r>
                <w:rPr>
                  <w:rStyle w:val="InternetLink"/>
                  <w:spacing w:val="4"/>
                </w:rPr>
                <w:t>15</w:t>
              </w:r>
            </w:hyperlink>
            <w:hyperlink w:anchor="bDOO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CDP">
              <w:r>
                <w:rPr>
                  <w:rStyle w:val="InternetLink"/>
                  <w:spacing w:val="4"/>
                </w:rPr>
                <w:t xml:space="preserve">Cash Distribution Policy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CDP">
              <w:r>
                <w:rPr>
                  <w:rStyle w:val="InternetLink"/>
                  <w:spacing w:val="4"/>
                </w:rPr>
                <w:t>17</w:t>
              </w:r>
            </w:hyperlink>
            <w:hyperlink w:anchor="bCD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DOOP1">
              <w:r>
                <w:rPr>
                  <w:rStyle w:val="InternetLink"/>
                  <w:spacing w:val="4"/>
                </w:rPr>
                <w:t xml:space="preserve">Description of Our Partnership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OP1">
              <w:r>
                <w:rPr>
                  <w:rStyle w:val="InternetLink"/>
                  <w:spacing w:val="4"/>
                </w:rPr>
                <w:t>19</w:t>
              </w:r>
            </w:hyperlink>
            <w:hyperlink w:anchor="bDO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MUFI">
              <w:r>
                <w:rPr>
                  <w:rStyle w:val="InternetLink"/>
                  <w:spacing w:val="4"/>
                </w:rPr>
                <w:t xml:space="preserve">Material U.S. Federal Income Tax Consequences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MUFI">
              <w:r>
                <w:rPr>
                  <w:rStyle w:val="InternetLink"/>
                  <w:spacing w:val="4"/>
                </w:rPr>
                <w:t>24</w:t>
              </w:r>
            </w:hyperlink>
            <w:hyperlink w:anchor="bMU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POD">
              <w:r>
                <w:rPr>
                  <w:rStyle w:val="InternetLink"/>
                  <w:spacing w:val="4"/>
                </w:rPr>
                <w:t>40</w:t>
              </w:r>
            </w:hyperlink>
            <w:hyperlink w:anchor="b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67" w:type="dxa"/>
            <w:tcBorders/>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LEMA">
              <w:r>
                <w:rPr>
                  <w:rStyle w:val="InternetLink"/>
                  <w:spacing w:val="4"/>
                </w:rPr>
                <w:t>42</w:t>
              </w:r>
            </w:hyperlink>
            <w:hyperlink w:anchor="b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967" w:type="dxa"/>
            <w:tcBorders/>
            <w:shd w:fill="CCEEFF" w:val="clear"/>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XP">
              <w:r>
                <w:rPr>
                  <w:rStyle w:val="InternetLink"/>
                  <w:spacing w:val="4"/>
                </w:rPr>
                <w:t>42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WYC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 </w:t>
      </w:r>
    </w:p>
    <w:p>
      <w:pPr>
        <w:pStyle w:val="TextBody"/>
        <w:bidi w:val="0"/>
        <w:spacing w:lineRule="atLeast" w:line="240" w:before="120" w:after="0"/>
        <w:ind w:left="1993" w:right="0" w:hanging="0"/>
        <w:jc w:val="left"/>
        <w:rPr/>
      </w:pPr>
      <w:hyperlink r:id="rId21">
        <w:r>
          <w:rPr>
            <w:rStyle w:val="InternetLink"/>
          </w:rPr>
          <w:t>our Annual Report on 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w:t>
      </w:r>
      <w:hyperlink r:id="rId22">
        <w:r>
          <w:rPr>
            <w:rStyle w:val="InternetLink"/>
          </w:rPr>
          <w:t>March 31, 2024</w:t>
        </w:r>
      </w:hyperlink>
      <w:r>
        <w:rPr>
          <w:rFonts w:ascii="Times New Roman;Times;serif" w:hAnsi="Times New Roman;Times;serif"/>
          <w:b w:val="false"/>
          <w:i w:val="false"/>
          <w:caps w:val="false"/>
          <w:smallCaps w:val="false"/>
          <w:color w:val="000000"/>
          <w:spacing w:val="4"/>
          <w:sz w:val="20"/>
        </w:rPr>
        <w:t xml:space="preserve"> and </w:t>
      </w:r>
      <w:hyperlink r:id="rId23">
        <w:r>
          <w:rPr>
            <w:rStyle w:val="InternetLink"/>
          </w:rPr>
          <w:t>June 30,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24">
        <w:r>
          <w:rPr>
            <w:rStyle w:val="InternetLink"/>
          </w:rPr>
          <w:t>May 28, 2024</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June 20, 2024</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June 27, 2024</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August 22,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information specifically incorporated by reference into </w:t>
      </w:r>
      <w:hyperlink r:id="rId28">
        <w:r>
          <w:rPr>
            <w:rStyle w:val="InternetLink"/>
          </w:rPr>
          <w:t>our 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from </w:t>
      </w:r>
      <w:hyperlink r:id="rId29">
        <w:r>
          <w:rPr>
            <w:rStyle w:val="InternetLink"/>
          </w:rPr>
          <w:t>our proxy statement, on Schedule 14A, filed with the SEC on April 12,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units contained in </w:t>
      </w:r>
      <w:hyperlink r:id="rId30">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2023, </w:t>
      </w:r>
      <w:hyperlink r:id="rId31">
        <w:r>
          <w:rPr>
            <w:rStyle w:val="InternetLink"/>
          </w:rPr>
          <w:t>Form 8-A/A dated November 16, 2016</w:t>
        </w:r>
      </w:hyperlink>
      <w:r>
        <w:rPr>
          <w:rFonts w:ascii="Times New Roman;Times;serif" w:hAnsi="Times New Roman;Times;serif"/>
          <w:b w:val="false"/>
          <w:i w:val="false"/>
          <w:caps w:val="false"/>
          <w:smallCaps w:val="false"/>
          <w:color w:val="000000"/>
          <w:spacing w:val="4"/>
          <w:sz w:val="20"/>
        </w:rPr>
        <w:t xml:space="preserve"> and </w:t>
      </w:r>
      <w:hyperlink r:id="rId32">
        <w:r>
          <w:rPr>
            <w:rStyle w:val="InternetLink"/>
          </w:rPr>
          <w:t>Form 8-A dated December 11, 2020</w:t>
        </w:r>
      </w:hyperlink>
      <w:r>
        <w:rPr>
          <w:rFonts w:ascii="Times New Roman;Times;serif" w:hAnsi="Times New Roman;Times;serif"/>
          <w:b w:val="false"/>
          <w:i w:val="false"/>
          <w:caps w:val="false"/>
          <w:smallCaps w:val="false"/>
          <w:color w:val="000000"/>
          <w:spacing w:val="4"/>
          <w:sz w:val="20"/>
        </w:rPr>
        <w:t xml:space="preserve">, and any subsequent amendment thereto filed for the purpose of updating such description.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any document incorporated by reference into this prospectus and any exhibit specifically incorporated by reference in those documents, at no cost, by writing or telephoning us at the following address or 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Plains All American Pipeline, 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333 Clay Street, Suite 1600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(713) 646-4100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r>
        <mc:AlternateContent>
          <mc:Choice Requires="wps">
            <w:drawing>
              <wp:anchor behindDoc="0" distT="609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refinery capacity and other factors affecting demand for various grades of crude oil and NGL and resulting changes in pricing conditions or transportation throughput requirements; </w:t>
      </w:r>
      <w:r>
        <mc:AlternateContent>
          <mc:Choice Requires="wps">
            <w:drawing>
              <wp:anchor behindDoc="0" distT="609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changes in crude oil and NGL market structure, grade differentials and volatility (or lack thereof); </w:t>
      </w:r>
      <w:r>
        <mc:AlternateContent>
          <mc:Choice Requires="wps">
            <w:drawing>
              <wp:anchor behindDoc="0" distT="609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 </w:t>
      </w:r>
      <w:r>
        <mc:AlternateContent>
          <mc:Choice Requires="wps">
            <w:drawing>
              <wp:anchor behindDoc="0" distT="609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r>
        <mc:AlternateContent>
          <mc:Choice Requires="wps">
            <w:drawing>
              <wp:anchor behindDoc="0" distT="609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liabilities, litigation or other events that are not covered by an indemnity, insurance or existing reserves; </w:t>
      </w:r>
      <w:r>
        <mc:AlternateContent>
          <mc:Choice Requires="wps">
            <w:drawing>
              <wp:anchor behindDoc="0" distT="609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 natural disaster, catastrophe, terrorist attack (including eco-terrorist attacks) or other event that materially impacts our operations, including cyber or other attacks on our or our service providers’ electronic and computer systems; </w:t>
      </w:r>
      <w:r>
        <mc:AlternateContent>
          <mc:Choice Requires="wps">
            <w:drawing>
              <wp:anchor behindDoc="0" distT="609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 interference with business operations or project construction, including the impact of extreme weather events or conditions (including wildfires and drought); </w:t>
      </w:r>
      <w:r>
        <mc:AlternateContent>
          <mc:Choice Requires="wps">
            <w:drawing>
              <wp:anchor behindDoc="0" distT="609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w:t>
      </w:r>
      <w:r>
        <mc:AlternateContent>
          <mc:Choice Requires="wps">
            <w:drawing>
              <wp:anchor behindDoc="0" distT="609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 </w:t>
      </w:r>
      <w:r>
        <mc:AlternateContent>
          <mc:Choice Requires="wps">
            <w:drawing>
              <wp:anchor behindDoc="0" distT="609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key personnel and inability to attract and retain new talent; </w:t>
      </w:r>
      <w:r>
        <mc:AlternateContent>
          <mc:Choice Requires="wps">
            <w:drawing>
              <wp:anchor behindDoc="0" distT="0" distB="0" distL="254000" distR="0" simplePos="0" locked="0" layoutInCell="1" allowOverlap="1" relativeHeight="122">
                <wp:simplePos x="0" y="0"/>
                <wp:positionH relativeFrom="column">
                  <wp:align>left</wp:align>
                </wp:positionH>
                <wp:positionV relativeFrom="line">
                  <wp:posOffset>635</wp:posOffset>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futures markets for crude oil, NGL and other petroleum products, which may impair our ability to execute our commercial or hedging strategies; </w:t>
      </w:r>
      <w:r>
        <mc:AlternateContent>
          <mc:Choice Requires="wps">
            <w:drawing>
              <wp:anchor behindDoc="0" distT="647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our risk management activities; </w:t>
      </w:r>
      <w:r>
        <mc:AlternateContent>
          <mc:Choice Requires="wps">
            <w:drawing>
              <wp:anchor behindDoc="0" distT="647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shortages or cost increases of supplies, materials or labor; </w:t>
      </w:r>
      <w:r>
        <mc:AlternateContent>
          <mc:Choice Requires="wps">
            <w:drawing>
              <wp:anchor behindDoc="0" distT="647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maintenance of our credit ratings and ability to receive open credit from our suppliers and trade counterparties; </w:t>
      </w:r>
      <w:r>
        <mc:AlternateContent>
          <mc:Choice Requires="wps">
            <w:drawing>
              <wp:anchor behindDoc="0" distT="647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w:t>
      </w:r>
      <w:r>
        <mc:AlternateContent>
          <mc:Choice Requires="wps">
            <w:drawing>
              <wp:anchor behindDoc="0" distT="647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and our ability to consummate, acquisitions, divestitures, joint ventures or other strategic opportunities; </w:t>
      </w:r>
      <w:r>
        <mc:AlternateContent>
          <mc:Choice Requires="wps">
            <w:drawing>
              <wp:anchor behindDoc="0" distT="647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r>
        <mc:AlternateContent>
          <mc:Choice Requires="wps">
            <w:drawing>
              <wp:anchor behindDoc="0" distT="647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r>
        <mc:AlternateContent>
          <mc:Choice Requires="wps">
            <w:drawing>
              <wp:anchor behindDoc="0" distT="647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incurrence of costs and expenses related to unexpected or unplanned capital or maintenance expenditures, third-party claims or other factors; </w:t>
      </w:r>
      <w:r>
        <mc:AlternateContent>
          <mc:Choice Requires="wps">
            <w:drawing>
              <wp:anchor behindDoc="0" distT="647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implement or capitalize, or delays in implementing or capitalizing, on investment capital projects, whether due to permitting delays, permitting withdrawals or other factors; </w:t>
      </w:r>
      <w:r>
        <mc:AlternateContent>
          <mc:Choice Requires="wps">
            <w:drawing>
              <wp:anchor behindDoc="0" distT="635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 </w:t>
      </w:r>
      <w:r>
        <mc:AlternateContent>
          <mc:Choice Requires="wps">
            <w:drawing>
              <wp:anchor behindDoc="0" distT="635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amplification of other risks caused by volatile or closed financial markets, capital constraints, liquidity concerns and inflation; </w:t>
      </w:r>
      <w:r>
        <mc:AlternateContent>
          <mc:Choice Requires="wps">
            <w:drawing>
              <wp:anchor behindDoc="0" distT="635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or availability of third-party assets upon which our operations depend and over which we have little or no control; </w:t>
      </w:r>
      <w:r>
        <mc:AlternateContent>
          <mc:Choice Requires="wps">
            <w:drawing>
              <wp:anchor behindDoc="0" distT="635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exchange rate of the Canadian dollar to the United States dollar; </w:t>
      </w:r>
      <w:r>
        <mc:AlternateContent>
          <mc:Choice Requires="wps">
            <w:drawing>
              <wp:anchor behindDoc="0" distT="635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recognize current revenue attributable to deficiency payments received from customers who fail to ship or move more than minimum contracted volumes until the related credits expire or are used; </w:t>
      </w:r>
      <w:r>
        <mc:AlternateContent>
          <mc:Choice Requires="wps">
            <w:drawing>
              <wp:anchor behindDoc="0" distT="635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under-utilization of our assets and facilities; </w:t>
      </w:r>
      <w:r>
        <mc:AlternateContent>
          <mc:Choice Requires="wps">
            <w:drawing>
              <wp:anchor behindDoc="0" distT="635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or lack of availability, of insurance; </w:t>
      </w:r>
      <w:r>
        <mc:AlternateContent>
          <mc:Choice Requires="wps">
            <w:drawing>
              <wp:anchor behindDoc="0" distT="635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debt and equity markets, including the price of our units at the time of vesting under our long-term incentive plans; </w:t>
      </w:r>
      <w:r>
        <mc:AlternateContent>
          <mc:Choice Requires="wps">
            <w:drawing>
              <wp:anchor behindDoc="0" distT="635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development and operation of our assets; </w:t>
      </w:r>
      <w:r>
        <mc:AlternateContent>
          <mc:Choice Requires="wps">
            <w:drawing>
              <wp:anchor behindDoc="0" distT="635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pace of development of natural gas infrastructure and its impact on expected crude oil production growth in the Permian Basin; and </w:t>
      </w:r>
      <w:r>
        <mc:AlternateContent>
          <mc:Choice Requires="wps">
            <w:drawing>
              <wp:anchor behindDoc="0" distT="635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and uncertainties inherent in the transportation, storage, terminalling and marketing of crude oil, as well as in the processing, transportation, fractionation, storage and marketing of NGL. </w:t>
      </w:r>
      <w:r>
        <mc:AlternateContent>
          <mc:Choice Requires="wps">
            <w:drawing>
              <wp:anchor behindDoc="0" distT="635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80"/>
        <w:ind w:left="1393" w:right="0" w:firstLine="400"/>
        <w:jc w:val="left"/>
        <w:rPr/>
      </w:pPr>
      <w:r>
        <w:rPr>
          <w:rFonts w:ascii="Times New Roman;Times;serif" w:hAnsi="Times New Roman;Times;serif"/>
          <w:b w:val="false"/>
          <w:i w:val="false"/>
          <w:caps w:val="false"/>
          <w:smallCaps w:val="false"/>
          <w:color w:val="000000"/>
          <w:spacing w:val="4"/>
          <w:sz w:val="20"/>
        </w:rPr>
        <w:t xml:space="preserve">Other factors described or incorporated by reference herein, as well as factors that are unknown or unpredictable, could also have a material adverse effect on future results. See “Risk Factors” beginning on page 3 of this prospectus and discussed in Item 1A. “Risk Factors” in </w:t>
      </w:r>
      <w:hyperlink r:id="rId33">
        <w:r>
          <w:rPr>
            <w:rStyle w:val="InternetLink"/>
          </w:rPr>
          <w:t>our 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or current 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APA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PLAINS ALL AMERICAN PIPELINE,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Delaware limited partnership formed in 1998. Our operations are conducted directly and indirectly through our primary operating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Ongoing Activities Related to Strategic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Executive Offices and Internet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333 Clay Street, Suite 1600, Houston, Texas 77002 and our telephone number is (713) 646-4100. We maintain a website at www.plains.com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additional information about us please refer to the documents set forth under “Where You Can Find More Information” in this prospectus, including </w:t>
      </w:r>
      <w:hyperlink r:id="rId34">
        <w:r>
          <w:rPr>
            <w:rStyle w:val="InternetLink"/>
          </w:rPr>
          <w:t>our Annual Report on Form 10-K for the fiscal year ended December 31, 2023</w:t>
        </w:r>
      </w:hyperlink>
      <w:r>
        <w:rPr>
          <w:rFonts w:ascii="Times New Roman;Times;serif" w:hAnsi="Times New Roman;Times;serif"/>
          <w:b w:val="false"/>
          <w:i w:val="false"/>
          <w:caps w:val="false"/>
          <w:smallCaps w:val="false"/>
          <w:color w:val="000000"/>
          <w:spacing w:val="4"/>
          <w:sz w:val="20"/>
        </w:rPr>
        <w:t xml:space="preserve"> (File No. 001-14569) and any of our subsequent quarterly reports or current reports, which are incorporated by reference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Before you invest in our securities, you should carefully consider the risk factors included in Item 1A. “Risk Factors” in </w:t>
      </w:r>
      <w:hyperlink r:id="rId35">
        <w:r>
          <w:rPr>
            <w:rStyle w:val="InternetLink"/>
          </w:rPr>
          <w:t>our 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(File No. 001-14569) and in any of our subsequent quarterly 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specific allocation of the net proceeds of an offering of securities to a specific purpose will be determined at the time of the offering and will be described in the applicable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DOOD"/>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 general obligations;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senior debt securities or subordinated debt securities; and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under separate indentures (which may be existing indentures) among Plains All American Pipeline, PAA Finance and U.S. Bank Trust Company, National Association, as successor Trustee.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Terms of Each Series of Debt Securities in the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PAA Finance will be a co-issuer of the debt securities;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senior or subordinated debt securities;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principal amount of the debt securities;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if any, that are pledged as security for the payment of the debt securities;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issue the debt securities in individual certificates to each holder in registered form, or in the form of temporary or permanent global securities held by a depository on behalf of holders;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at which we will issue the debt securities;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that will be payable if the maturity of the debt securities is accelerated;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currency unit in which the debt securities will be payable, if not U.S. dollars;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principal of the debt securities will be payable;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that the debt securities will bear and the interest payment dates for the debt securities;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optional redemption provisions;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sinking fund or other provisions that would obligate us to repurchase or otherwise redeem the debt securities;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to or additional events of default or covenants; and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Possible Future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Asset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must assume the issuer’s obligations under the indenture; and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Default or Event of Default (as defined under “— Events of Default and Remedies” below) may exist.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Protection in the Event of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debt securities whose holders must consent to an amendment, supplement or waiver;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fixed maturity of any debt security;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or waive the premium payable upon redemption or alter or waive the provisions with respect to the redemption of the debt securities (except as may be permitted in the case of a particular series of debt securities);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change the time for payment of interest on any debt security;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under the indenture, release any security that may have been granted with respect to the debt securities;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currency other than that stated in the debt securities;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make any change in the subordination provisions that adversely affects the rights of any holder under those provisions;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provisions of the indenture relating to waivers of past Defaults or the rights of holders of debt securities to receive payments of principal of or premium, if any, or interest on the debt securities; </w:t>
      </w:r>
      <w:r>
        <mc:AlternateContent>
          <mc:Choice Requires="wps">
            <w:drawing>
              <wp:anchor behindDoc="0" distT="7366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debt security (except as may be permitted in the case of a particular series of debt securities); </w:t>
      </w:r>
      <w:r>
        <mc:AlternateContent>
          <mc:Choice Requires="wps">
            <w:drawing>
              <wp:anchor behindDoc="0" distT="7366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permitted in the indenture, release any guarantor from its obligations under its guarantee or the indenture or change any guarantee in any manner that would adversely affect the rights of holders; or </w:t>
      </w:r>
      <w:r>
        <mc:AlternateContent>
          <mc:Choice Requires="wps">
            <w:drawing>
              <wp:anchor behindDoc="0" distT="7366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preceding amendment, supplement and waiver provisions (except to increase any percentage set forth therein). </w:t>
      </w:r>
      <w:r>
        <mc:AlternateContent>
          <mc:Choice Requires="wps">
            <w:drawing>
              <wp:anchor behindDoc="0" distT="7366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supplement or amend an indenture without the consent of any holders of the debt securities in certain circumstances,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of terms of any series of debt securities;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notes in addition to or in place of certificated notes;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of an issuer’s obligations to holders of debt securities in the case of a merger or consolidation or disposition of all or substantially all of such issuer’s assets;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to make any change in the subordination provisions that limits or terminates the benefits applicable to any holder of Senior Indebtedness of Plains All American Pipeline;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or release any guarantors pursuant to the terms of the indenture;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changes that would provide any additional rights or benefits to the holders of debt securities or that do not, taken as a whole, adversely affect the rights under the indenture of any holder of debt securities; </w:t>
      </w:r>
      <w:r>
        <mc:AlternateContent>
          <mc:Choice Requires="wps">
            <w:drawing>
              <wp:anchor behindDoc="0" distT="0" distB="0" distL="254000" distR="0" simplePos="0" locked="0" layoutInCell="1" allowOverlap="1" relativeHeight="184">
                <wp:simplePos x="0" y="0"/>
                <wp:positionH relativeFrom="column">
                  <wp:align>left</wp:align>
                </wp:positionH>
                <wp:positionV relativeFrom="line">
                  <wp:posOffset>635</wp:posOffset>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requirements of the SEC in order to effect or maintain the qualification of the Indenture under the Trust Indenture Act;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or provide for the acceptance of appointment under the indenture of a successor Trustee;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or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debt securities and/or any guarantees.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Event of Default,” when used in an indenture, will mean any of the following with respect to the debt securities of any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when due the principal of or any premium on any debt security of that series;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within 60 days of the due date, interest on any debt security of that series;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when due any sinking fund payment with respect to any debt securities of that series;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on the part of the issuers to comply with the covenant described under “— Consolidation, Merger or Asset Sale;”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perform any other covenant in the indenture that continues for 30 days after written notice is given to the issuers;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an issuer; or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under the terms of the debt securities of that series.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Limit on Amount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debt securities of a series only in registered form, without coupons, unless otherwise indicated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Minimum Denominations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prospectus supplement states otherwise, the debt securities will be issued only in principal amounts of $1,000 each or integral multiples of $1,000. </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Personal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bidi w:val="0"/>
        <w:spacing w:lineRule="atLeast" w:line="230" w:before="15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bidi w:val="0"/>
        <w:spacing w:lineRule="atLeast" w:line="240" w:before="21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Registration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bidi w:val="0"/>
        <w:spacing w:lineRule="atLeast" w:line="240" w:before="15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w:t>
      </w:r>
    </w:p>
    <w:p>
      <w:pPr>
        <w:pStyle w:val="TextBody"/>
        <w:bidi w:val="0"/>
        <w:spacing w:lineRule="atLeast" w:line="240" w:before="8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r>
        <mc:AlternateContent>
          <mc:Choice Requires="wps">
            <w:drawing>
              <wp:anchor behindDoc="0" distT="5207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called for redemption or repurchase, except the unredeemed portion of any debt security we are redeeming or repurchasing in part. </w:t>
      </w:r>
      <w:r>
        <mc:AlternateContent>
          <mc:Choice Requires="wps">
            <w:drawing>
              <wp:anchor behindDoc="0" distT="4826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Relating only to the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bidi w:val="0"/>
        <w:spacing w:lineRule="atLeast" w:line="240" w:before="21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Provisions Relating only to the Subordinated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Subordinated Debt Securities Subordinated to Senior Indebtedness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rank junior in right of payment to all of the Senior Indebtedness of Plains All American Pipeline. “Senior Indebtedness” will be defined in a supplemental indenture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resolutions respecting any issuance of a series of subordinated debt securities, and the definition will be set forth in the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 Blockages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will provide that no payment of principal, interest and any premium on the subordinated debt securities may be made in the event: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our property is involved in any voluntary or involuntary liquidation or bankruptcy; </w:t>
      </w:r>
      <w:r>
        <mc:AlternateContent>
          <mc:Choice Requires="wps">
            <w:drawing>
              <wp:anchor behindDoc="0" distT="7874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r>
        <mc:AlternateContent>
          <mc:Choice Requires="wps">
            <w:drawing>
              <wp:anchor behindDoc="0" distT="7874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r>
        <mc:AlternateContent>
          <mc:Choice Requires="wps">
            <w:drawing>
              <wp:anchor behindDoc="0" distT="7874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Limitation on Amount of Senior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indenture will not limit the amount of Senior Indebtedness that Plains All American Pipeline may incur, unless otherwise indicated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 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global debt securities will be shown on, and transfers of global debt securities will be made only through, records maintained by DTC and its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owned by a number of its Direct Participants and by the New York Stock Exchange, Inc., The American Stock Exchange, Inc. and the Financial Industry Regulatory Authority (“FINRA”).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represented by a global debt security will be exchangeable for certificated debt securities with the same terms in authorized denominations only if: </w:t>
      </w:r>
    </w:p>
    <w:p>
      <w:pPr>
        <w:pStyle w:val="TextBody"/>
        <w:bidi w:val="0"/>
        <w:spacing w:lineRule="atLeast" w:line="240" w:before="9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depositary or if DTC ceases to be a clearing agency registered under applicable law and in either event a successor depositary is not appointed by us within 90 days; or </w:t>
      </w:r>
      <w:r>
        <mc:AlternateContent>
          <mc:Choice Requires="wps">
            <w:drawing>
              <wp:anchor behindDoc="0" distT="5969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7pt;mso-wrap-distance-bottom:0pt;margin-top:4.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not to require all of the debt securities of a series to be represented by a global debt security. </w:t>
      </w:r>
      <w:r>
        <mc:AlternateContent>
          <mc:Choice Requires="wps">
            <w:drawing>
              <wp:anchor behindDoc="0" distT="482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be discharged and will cease to be of further effect as to all outstanding debt securities of any series issued thereunder, when: </w:t>
      </w:r>
    </w:p>
    <w:p>
      <w:pPr>
        <w:pStyle w:val="TextBody"/>
        <w:bidi w:val="0"/>
        <w:spacing w:lineRule="atLeast" w:line="240" w:before="13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82550" distB="0" distL="25400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r>
        <mc:AlternateContent>
          <mc:Choice Requires="wps">
            <w:drawing>
              <wp:anchor behindDoc="0" distT="81280" distB="0" distL="50800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4pt;mso-wrap-distance-bottom:0pt;margin-top:6.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r>
        <mc:AlternateContent>
          <mc:Choice Requires="wps">
            <w:drawing>
              <wp:anchor behindDoc="0" distT="81280" distB="0" distL="508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6.4pt;mso-wrap-distance-bottom:0pt;margin-top:6.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other sums payable by us under the indenture; and </w:t>
      </w:r>
      <w:r>
        <mc:AlternateContent>
          <mc:Choice Requires="wps">
            <w:drawing>
              <wp:anchor behindDoc="0" distT="8128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an officers’ certificate and an opinion of counsel to the Trustee stating that all conditions precedent to satisfaction and discharge have been satisfied. </w:t>
      </w:r>
      <w:r>
        <mc:AlternateContent>
          <mc:Choice Requires="wps">
            <w:drawing>
              <wp:anchor behindDoc="0" distT="8128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particular series will be subject to legal or covenant defeasance to the extent, and upon the terms and conditions, set forth in the prospectus supplement. </w:t>
      </w:r>
    </w:p>
    <w:p>
      <w:pPr>
        <w:pStyle w:val="TextBody"/>
        <w:bidi w:val="0"/>
        <w:spacing w:lineRule="atLeast" w:line="240" w:before="23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 or Removal of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resignation will require the appointment of a successor trustee under the applicable indenture in accordance with the terms and conditions of such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Trustee if it is a Creditor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Certificates and Opinions to be Furnished to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and all of the debt securities will be governed by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DO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B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arrears, (iii) the creation or issuance of any senior securities and (iv) the payment of distributions to our common unitholders out of capital surplus.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Issuances of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Series A 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we offer preferred units under this prospectus, a prospectus supplement relating to the particular series of preferred units offered will include the specific terms of those preferred units, including, among other things,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and liquidation preference of the preferred units and the number of preferred units offered;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at which the preferred units will be issued;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of the preferred units;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of the preferred units;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rights of the preferred units, if any;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additional material federal income tax considerations regarding the preferred units; and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privileges, limitations, and restrictions of the preferred units.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DOOC"/>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COMMON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outstanding common units are listed on NASDAQ under the symbol “PAA.” Any additional common units we issue will also be listed on NASDAQ.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units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Status as Limited Partner or Assignee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under “Description of Our Partnership Agreement — Limited Liability,” the common units will be fully paid, and common unitholders will not be required to make additional capital contributions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assignee, pending its admission as a substituted limited partner, is entitled to an interest in us equivalent to that of a limited partner with respect to the right to share in allocations and distributions,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Right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mechanisms are subject to customary conversion rate adjustments for equity splits, equity dividends and reclassifications.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CD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CASH DISTRIBUTION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of Available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We will distribute to our unitholders, on a quarterly basis, all of our available cash in the manner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Available Cash</w:t>
      </w:r>
      <w:r>
        <w:rPr>
          <w:rFonts w:ascii="Times New Roman;Times;serif" w:hAnsi="Times New Roman;Times;serif"/>
          <w:b w:val="false"/>
          <w:i w:val="false"/>
          <w:caps w:val="false"/>
          <w:smallCaps w:val="false"/>
          <w:color w:val="000000"/>
          <w:spacing w:val="4"/>
          <w:sz w:val="20"/>
        </w:rPr>
        <w:t xml:space="preserve">.   Available cash generally means, for any quarter ending prior to liquidation, all cash and cash equivalents on hand at the end of that quarter less reserves established in the reasonable discretion of the general partner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proper conduct of our business and the business of our operating partnerships (including reserves for future capital expenditures and for our anticipated future credit needs);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applicable law or any loan agreement, security agreement, mortgage, debt instrument or other agreement or obligation; or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funds for future distributions to our Series A and Series B preferred unitholders or distributions to our common unitholders for any one or more of the next four quarters.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available cash also includes cash on hand resulting from borrowings made after the end of the quarter.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Surplus and Capital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Cash distributions to our common unitholders will be characterized as either operating surplus or capital surplus. We distribute available cash from operating surplus differently than available cash from capital surplus. See “— Quarterly Distributions of Available Cash.”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Operating Surplus</w:t>
      </w:r>
      <w:r>
        <w:rPr>
          <w:rFonts w:ascii="Times New Roman;Times;serif" w:hAnsi="Times New Roman;Times;serif"/>
          <w:b w:val="false"/>
          <w:i w:val="false"/>
          <w:caps w:val="false"/>
          <w:smallCaps w:val="false"/>
          <w:color w:val="000000"/>
          <w:spacing w:val="4"/>
          <w:sz w:val="20"/>
        </w:rPr>
        <w:t xml:space="preserve">.   Operating surplus refers generally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cash balances on the closing date of our initial public offering; plus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million; plus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cash receipts from operations, excluding cash that is capital surplus; less </w:t>
      </w:r>
      <w:r>
        <mc:AlternateContent>
          <mc:Choice Requires="wps">
            <w:drawing>
              <wp:anchor behindDoc="0" distT="7366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Definition of Capital Surplus</w:t>
      </w:r>
      <w:r>
        <w:rPr>
          <w:rFonts w:ascii="Times New Roman;Times;serif" w:hAnsi="Times New Roman;Times;serif"/>
          <w:b w:val="false"/>
          <w:i w:val="false"/>
          <w:caps w:val="false"/>
          <w:smallCaps w:val="false"/>
          <w:color w:val="000000"/>
          <w:spacing w:val="4"/>
          <w:sz w:val="20"/>
        </w:rPr>
        <w:t xml:space="preserve">.   Capital surplus will generally be generated only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borrowings other than working capital borrowings;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debt and equity securities; and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or other dispositions of assets for cash, other than inventory, accounts receivable and other assets in the ordinary course of business.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Issuance of Additional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additional common units or other equity securities for consideration and under terms and conditions approved by our general partner in its sole discretion and without the approval of our unitholders,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current holders of our Series A preferred units and Series B preferred units in certain circumstances. We may fund acquisitions through the issuance of additional common units or other equity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Series A preferred units and notable provisions with respect to distributions on the Series A preferred units are described under “Description of Our Preferred Units — Series A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B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Series B preferred units and notable provisions with respect to distributions on the Series B preferred units are described under “Description of Our Preferred Units — Series B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Quarterly Distributions of Available Cash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from Operating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from Capital Surplus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Series B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 of Cash upon Liquidation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DOOP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PARTNERSHIP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material provisions of our partnership agreement. The following provisions of our partnership agreement are summarized elsewhere in this prospectus: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our available cash are described under “Cash Distribution Policy”; </w:t>
      </w:r>
      <w:r>
        <mc:AlternateContent>
          <mc:Choice Requires="wps">
            <w:drawing>
              <wp:anchor behindDoc="0" distT="889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allocations of taxable income and other tax matters are described under “Material U.S. Federal Income Tax Consequences”; </w:t>
      </w:r>
      <w:r>
        <mc:AlternateContent>
          <mc:Choice Requires="wps">
            <w:drawing>
              <wp:anchor behindDoc="0" distT="889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holders of our preferred units are described under “Description of Our Preferred Units”; and </w:t>
      </w:r>
      <w:r>
        <mc:AlternateContent>
          <mc:Choice Requires="wps">
            <w:drawing>
              <wp:anchor behindDoc="0" distT="889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of holders of our common units are described under “Description of Our Common Units.” </w:t>
      </w:r>
      <w:r>
        <mc:AlternateContent>
          <mc:Choice Requires="wps">
            <w:drawing>
              <wp:anchor behindDoc="0" distT="889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Applicable Law; Forum, Venue and Jurisdiction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is governed by Delaware law. Our partnership agreement requires that any claims, suits, actions or proceedings: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 </w:t>
      </w:r>
      <w:r>
        <mc:AlternateContent>
          <mc:Choice Requires="wps">
            <w:drawing>
              <wp:anchor behindDoc="0" distT="889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brought in a derivative manner on our behalf; </w:t>
      </w:r>
      <w:r>
        <mc:AlternateContent>
          <mc:Choice Requires="wps">
            <w:drawing>
              <wp:anchor behindDoc="0" distT="889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of breach of a fiduciary duty owed by any director, officer or other employee of us or our generally partner, or owed by our general partner to us or the unitholders; </w:t>
      </w:r>
      <w:r>
        <mc:AlternateContent>
          <mc:Choice Requires="wps">
            <w:drawing>
              <wp:anchor behindDoc="0" distT="889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arising pursuant to any provision of the Delaware Revised Uniform Limited Partnership Act (the “Delaware Act”); or </w:t>
      </w:r>
      <w:r>
        <mc:AlternateContent>
          <mc:Choice Requires="wps">
            <w:drawing>
              <wp:anchor behindDoc="0" distT="889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asserting a claim governed by the internal affairs doctrine; </w:t>
      </w:r>
      <w:r>
        <mc:AlternateContent>
          <mc:Choice Requires="wps">
            <w:drawing>
              <wp:anchor behindDoc="0" distT="889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of Additional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to Our Partnership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or Removal of Our General Partner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Sale or Other Disposition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and Distribution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towards the payment of all of our creditors and the creation of a reserve for contingent liabilities; </w:t>
      </w:r>
      <w:r>
        <mc:AlternateContent>
          <mc:Choice Requires="wps">
            <w:drawing>
              <wp:anchor behindDoc="0" distT="6858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next, to all holders of preferred units an aggregate amount equal to the positive balance in their capital accounts distributed in a manner that provides the holders of preferred units with the same percentage of their respective liquidation preferences; and </w:t>
      </w:r>
      <w:r>
        <mc:AlternateContent>
          <mc:Choice Requires="wps">
            <w:drawing>
              <wp:anchor behindDoc="0" distT="6731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to all partners in accordance with the positive balance in their respective capital accounts. </w:t>
      </w:r>
      <w:r>
        <mc:AlternateContent>
          <mc:Choice Requires="wps">
            <w:drawing>
              <wp:anchor behindDoc="0" distT="6731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Management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contains the following specific provisions that are intended to discourage a person or group from attempting to remove our general partner or otherwise change management: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 person acquires 20% or more of any class of units then outstanding other than from our general partner or its affiliates, the units owned by such person cannot be voted on any matter; and </w:t>
      </w:r>
      <w:r>
        <mc:AlternateContent>
          <mc:Choice Requires="wps">
            <w:drawing>
              <wp:anchor behindDoc="0" distT="6858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limiting the ability of unitholders to call meetings or to acquire information about our operations, as well as other provisions limiting the unitholders’ ability to influence the manner or direction of management. </w:t>
      </w:r>
      <w:r>
        <mc:AlternateContent>
          <mc:Choice Requires="wps">
            <w:drawing>
              <wp:anchor behindDoc="0" distT="0" distB="0" distL="254000" distR="0" simplePos="0" locked="0" layoutInCell="1" allowOverlap="1" relativeHeight="238">
                <wp:simplePos x="0" y="0"/>
                <wp:positionH relativeFrom="column">
                  <wp:align>left</wp:align>
                </wp:positionH>
                <wp:positionV relativeFrom="line">
                  <wp:posOffset>635</wp:posOffset>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Call Right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partnership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Limited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MUFI"/>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reasons described below, Vinson &amp; Elkins L.L.P. has not rendered an opinion with respect to the following federal income tax issues: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treatment of a unitholder whose units are the subject of a securities loan (e.g., a loan to a short seller to cover a short sale of units) (please read “— Tax Consequences of Unit Ownership — Treatment of Securities Loans”);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monthly convention for allocating taxable income and losses is permitted by existing Treasury Regulations (please read “— Disposition of Units — Allocations Between Transferors and Transferees”);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method for taking into account Section 743 adjustments is sustainable in certain cases (please read “— Tax Consequences of Unit Ownership — Section 754 Election” and “— Disposition of Units — Uniformity of Units”);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use of simplifying conventions for making adjustments to “book” basis and relevant allocations is permitted by existing Treasury Regulations (please read “— Tax Consequences of Unit Ownership — Allocation of Income, Gain, Loss and Deduction” and “— Uniformity of Units”); and </w:t>
      </w:r>
      <w:r>
        <mc:AlternateContent>
          <mc:Choice Requires="wps">
            <w:drawing>
              <wp:anchor behindDoc="0" distT="0" distB="0" distL="254000" distR="0" simplePos="0" locked="0" layoutInCell="1" allowOverlap="1" relativeHeight="242">
                <wp:simplePos x="0" y="0"/>
                <wp:positionH relativeFrom="column">
                  <wp:align>left</wp:align>
                </wp:positionH>
                <wp:positionV relativeFrom="line">
                  <wp:posOffset>635</wp:posOffset>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our allocations of income, gain, loss and deduction will be given effect for federal income tax purposes (please read “— Tax Consequences of Unit Ownership — Allocation of Income, Gain, Loss and Deduction”). </w:t>
      </w:r>
      <w:r>
        <mc:AlternateContent>
          <mc:Choice Requires="wps">
            <w:drawing>
              <wp:anchor behindDoc="0" distT="6731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the Partnership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Partnership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be treated as a partnership for federal income tax purposes and, therefore, subject to the discussion below under “— Administrative Matters —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of our partnership or limited liability company operating subsidiaries, other than those that have been identified as corporations to Vinson &amp; Elkins L.L.P., has elected or will elect to be treated as a corporation for federal income tax purposes; </w:t>
      </w:r>
      <w:r>
        <mc:AlternateContent>
          <mc:Choice Requires="wps">
            <w:drawing>
              <wp:anchor behindDoc="0" distT="88900" distB="0" distL="25400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taxable year since and including the year of our initial public offering, more than 90% of our gross income has been and will be income of a character that Vinson &amp; Elkins L.L.P. has opined is “qualifying income” within the meaning of Section 7704(d) of the Code; and </w:t>
      </w:r>
      <w:r>
        <mc:AlternateContent>
          <mc:Choice Requires="wps">
            <w:drawing>
              <wp:anchor behindDoc="0" distT="88900" distB="0" distL="25400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 </w:t>
      </w:r>
      <w:r>
        <mc:AlternateContent>
          <mc:Choice Requires="wps">
            <w:drawing>
              <wp:anchor behindDoc="0" distT="88900" distB="0" distL="25400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these representations are true and will be true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meet the Qualifying Income Exception, other than a failure that is determined by the IRS to be inadvertent and that is cured within a reasonable time after discovery (in which case the IRS may also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discussion is based on the opinion of Vinson &amp; Elkins L.L.P. that we will be treated as a partnership for federal income tax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Unit Ownership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Limited Partner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related to the risks of losing partner status as a result of securities loans, please read “— Tax Consequences of Unit Ownership  — Treatment of Securities Loans.”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is not treated as a partner in us as described above is urged to consult its own tax advisors with respect to the tax consequences applicable to such unitholder under its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Flow-Through of Taxable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 Entity-Level Collections of Unitholder Taxes” and “—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unitholder’s tax basis in its units initially will be the amount paid or treated as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 (2) the unitholder’s tax basis (typically zero) in the Section 751 Assets deemed to be relinquished in the exchange.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Deductibility of Losses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basis and at risk limitations, passive activity loss limitations limit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Interest Deductions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this limitation on the deductibility of a partnership’s business interest, the deductibility of a non-corporate taxpayer’s “investment interest expense” is generally limited to the amount of that taxpayer’s “net investment income.” Investment interest expense includes: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indebtedness allocable to property held for investment; </w:t>
      </w:r>
      <w:r>
        <mc:AlternateContent>
          <mc:Choice Requires="wps">
            <w:drawing>
              <wp:anchor behindDoc="0" distT="7874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 allocated against portfolio income; and </w:t>
      </w:r>
      <w:r>
        <mc:AlternateContent>
          <mc:Choice Requires="wps">
            <w:drawing>
              <wp:anchor behindDoc="0" distT="7874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interest expense incurred to purchase or carry an interest in a passive activity to the extent allocable against portfolio income. </w:t>
      </w:r>
      <w:r>
        <mc:AlternateContent>
          <mc:Choice Requires="wps">
            <w:drawing>
              <wp:anchor behindDoc="0" distT="7874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Entity-Level Collections of Unitholder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 of Income, Gain, Loss and Deduction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to the unitholder who was allocated the deduction giving rise to that recapture income in order to minimize the recognition of ordinary income by other unitholders.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Securities Loans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taxable years beginning after December 31, 2017 and ending on or before December 31, 2025, subject to certain limitations, an individual unitholder is entitled to a deduction equal to 20% of his or 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allocable share of our “qualified business income.” For purposes of this deduction, our “qualified business income” is equal to the sum of: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recognized upon a disposition of our units to the extent such gain is attributable to Section 751 Assets, such as depreciation recapture and our “inventory items,” and is thus treated as ordinary income under Section 751 of the Code.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attributable to our Canadian business operations is not considered effectively connected to our U.S. business, and as a result our unitholders will not be entitled to a deduction equal to 20% of his or her allocable share of such income.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754 Election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Treatment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Accounting Method and Taxable Year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Basis, Depreciation and Amortization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Valuation and Tax Basis of Each of Our Properties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Disposition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Recognition of Gain or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 sale;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offsetting notional principal contract; or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futures or forward contract with respect to the partnership interest or substantially identical property.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Allocations Between Transferors and Transferees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Notification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Uniformity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Tax-Exempt Organizations and Other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W-8BEN or W-8BEN-E (or other applicable or successor form) in order to obtain credit for these withholding taxes.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Administrative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Returns and Audit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Publicly-traded partnerships are treated as entities separate from their owners for purposes of federal income tax audits, judicial review of administrative adjustments by the IRS and tax settlement proceedings.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treatment of partnership items of income, gain, loss and deduction are determined in a partnership proceeding rather than in separate proceedings for each of the partners.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Withholding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pursuant to the rules described above. Each prospective unitholder should consult its own tax advisors regarding the potential application of these withholding provisions to its investment in our units.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Nominee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an interest in us as a nominee for another person are required to furnish to us: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address and taxpayer identification number of the beneficial owner and the nominee; </w:t>
      </w:r>
      <w:r>
        <mc:AlternateContent>
          <mc:Choice Requires="wps">
            <w:drawing>
              <wp:anchor behindDoc="0" distT="8255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statement regarding whether the beneficial owner is: </w:t>
      </w:r>
      <w:r>
        <mc:AlternateContent>
          <mc:Choice Requires="wps">
            <w:drawing>
              <wp:anchor behindDoc="0" distT="1016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person; </w:t>
      </w:r>
      <w:r>
        <mc:AlternateContent>
          <mc:Choice Requires="wps">
            <w:drawing>
              <wp:anchor behindDoc="0" distT="101600" distB="0" distL="508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government, an international organization or any wholly-owned agency or instrumentality of either of the foregoing; or </w:t>
      </w:r>
      <w:r>
        <mc:AlternateContent>
          <mc:Choice Requires="wps">
            <w:drawing>
              <wp:anchor behindDoc="0" distT="101600" distB="0" distL="508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w:t>
      </w:r>
      <w:r>
        <mc:AlternateContent>
          <mc:Choice Requires="wps">
            <w:drawing>
              <wp:anchor behindDoc="0" distT="101600" distB="0" distL="508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and description of units held, acquired or transferred for the beneficial owner; and </w:t>
      </w:r>
      <w:r>
        <mc:AlternateContent>
          <mc:Choice Requires="wps">
            <w:drawing>
              <wp:anchor behindDoc="0" distT="1016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 information including the dates of acquisitions and transfers, means of acquisitions and transfers, and acquisition cost for purchases, as well as the amount of net proceeds from sales. </w:t>
      </w:r>
      <w:r>
        <mc:AlternateContent>
          <mc:Choice Requires="wps">
            <w:drawing>
              <wp:anchor behindDoc="0" distT="1016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Accuracy-Related Penalties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State, Local and Other Tax Considerations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Ownership of Preferred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material U.S. federal income tax consequences of the acquisition, ownership, and disposition of any series of preferred units offered pursuant to this prospectus will be set forth in the prospectus supplement relating to the offering of such preferred units.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of Ownership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 &amp; Elkins L.L.P. has not rendered an opinion on the state, local, alternative minimum tax or non-U.S. tax consequences of an investment in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PO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this prospectus, we intend to offer our securities to the public: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for public offering and sale;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broker-dealers who may act as agent or may purchase securities as principal and thereafter resell the securities from time to time;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 through one or more transactions (which may involve crosses and block transactions) or distributions, including exchange distributions, distributions to beneficial owners and/or secondary distributions;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NASDAQ; </w:t>
      </w:r>
      <w:r>
        <mc:AlternateContent>
          <mc:Choice Requires="wps">
            <w:drawing>
              <wp:anchor behindDoc="0" distT="774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747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 transactions; </w:t>
      </w:r>
      <w:r>
        <mc:AlternateContent>
          <mc:Choice Requires="wps">
            <w:drawing>
              <wp:anchor behindDoc="0" distT="7747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investors directly; </w:t>
      </w:r>
      <w:r>
        <mc:AlternateContent>
          <mc:Choice Requires="wps">
            <w:drawing>
              <wp:anchor behindDoc="0" distT="774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short sales and delivery of such securities to close out short positions;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any other method permitted pursuant to applicable law.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price our securities 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any sale under this registration statement; </w:t>
      </w:r>
      <w:r>
        <mc:AlternateContent>
          <mc:Choice Requires="wps">
            <w:drawing>
              <wp:anchor behindDoc="0" distT="762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then-current market prices;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change the price of the securities offered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or allow distributors’ or sellers’ commissions that will not exceed those customary in the types of transactions involved.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bLEMA"/>
      <w:bookmarkEnd w:id="31"/>
      <w:r>
        <w:rPr>
          <w:rFonts w:ascii="calibri;arial;sans-serif" w:hAnsi="calibri;arial;sans-serif"/>
          <w:b w:val="false"/>
          <w:i w:val="false"/>
          <w:caps w:val="false"/>
          <w:smallCaps w:val="false"/>
          <w:color w:val="000000"/>
          <w:sz w:val="16"/>
        </w:rPr>
        <w:t>​</w:t>
      </w:r>
      <w:bookmarkStart w:id="32" w:name="bEX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36">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48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$1,500,000,000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1828800" cy="914400"/>
            <wp:effectExtent l="0" t="0" r="0" b="0"/>
            <wp:docPr id="27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 descr=""/>
                    <pic:cNvPicPr>
                      <a:picLocks noChangeAspect="1" noChangeArrowheads="1"/>
                    </pic:cNvPicPr>
                  </pic:nvPicPr>
                  <pic:blipFill>
                    <a:blip r:embed="rId37"/>
                    <a:stretch>
                      <a:fillRect/>
                    </a:stretch>
                  </pic:blipFill>
                  <pic:spPr bwMode="auto">
                    <a:xfrm>
                      <a:off x="0" y="0"/>
                      <a:ext cx="1828800" cy="9144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5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$700,000,000 6.750% Series A Junior Subordinated Notes due 2056</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1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$800,000,000 7.000% Series B Junior Subordinated Notes due 2056</w:t>
      </w:r>
      <w:r>
        <w:rPr>
          <w:rFonts w:ascii="Times New Roman;Times;serif" w:hAnsi="Times New Roman;Times;serif"/>
          <w:b/>
          <w:i w:val="false"/>
          <w:caps w:val="false"/>
          <w:smallCaps w:val="false"/>
          <w:color w:val="000000"/>
          <w:spacing w:val="6"/>
          <w:sz w:val="28"/>
        </w:rPr>
        <w:t xml:space="preserve"> </w:t>
      </w:r>
    </w:p>
    <w:p>
      <w:pPr>
        <w:pStyle w:val="TextBody"/>
        <w:bidi w:val="0"/>
        <w:spacing w:before="66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70" w:before="35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September 9, 2026</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2"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p>
      <w:pPr>
        <w:pStyle w:val="TextBody"/>
        <w:bidi w:val="0"/>
        <w:spacing w:lineRule="atLeast" w:line="27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J.P. Morgan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Citigroup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Mizuho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MUFG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 xml:space="preserve">Truist Securities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Barclays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BMO Capital Markets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BofA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CIBC Capital Markets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Fifth Third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Morgan Stanley</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PNC Capital Markets LLC</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RBC Capital Markets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Regions Securities LLC</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Scotiabank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SMBC Nikko</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TD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US Bancorp</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Wells Fargo Securities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8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Co-Manager</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Zions Capital Markets</w:t>
      </w:r>
      <w:r>
        <w:rPr>
          <w:rFonts w:ascii="Times New Roman;Times;serif" w:hAnsi="Times New Roman;Times;serif"/>
          <w:b/>
          <w:i w:val="false"/>
          <w:caps w:val="false"/>
          <w:smallCaps w:val="false"/>
          <w:color w:val="000000"/>
          <w:spacing w:val="4"/>
          <w:sz w:val="20"/>
        </w:rPr>
        <w:t xml:space="preserve"> </w:t>
      </w:r>
    </w:p>
    <w:p>
      <w:pPr>
        <w:pStyle w:val="TextBody"/>
        <w:bidi w:val="0"/>
        <w:spacing w:before="5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3" w:name="tm2624900d2_ex-filingfees.htm"/>
      <w:bookmarkStart w:id="34" w:name="kstm2624900d2_exfilingfees"/>
      <w:bookmarkStart w:id="35" w:name="tm2624900d2_ex-filingfees.htm"/>
      <w:bookmarkStart w:id="36" w:name="kstm2624900d2_exfilingfees"/>
      <w:bookmarkEnd w:id="35"/>
      <w:bookmarkEnd w:id="36"/>
      <w:r>
        <w:br w:type="page"/>
      </w:r>
    </w:p>
    <w:tbl>
      <w:tblPr>
        <w:tblW w:w="4835" w:type="dxa"/>
        <w:jc w:val="left"/>
        <w:tblInd w:w="0" w:type="dxa"/>
        <w:tblLayout w:type="fixed"/>
        <w:tblCellMar>
          <w:top w:w="28" w:type="dxa"/>
          <w:left w:w="28" w:type="dxa"/>
          <w:bottom w:w="28" w:type="dxa"/>
          <w:right w:w="28" w:type="dxa"/>
        </w:tblCellMar>
      </w:tblPr>
      <w:tblGrid>
        <w:gridCol w:w="4681"/>
        <w:gridCol w:w="154"/>
      </w:tblGrid>
      <w:tr>
        <w:trPr/>
        <w:tc>
          <w:tcPr>
            <w:tcW w:w="483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68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b/>
              </w:rPr>
            </w:pPr>
            <w:r>
              <w:rPr>
                <w:b/>
              </w:rPr>
              <w:t xml:space="preserve">PLAINS ALL AMERICAN PIPELINE LP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244" w:type="dxa"/>
        <w:jc w:val="left"/>
        <w:tblInd w:w="0" w:type="dxa"/>
        <w:tblLayout w:type="fixed"/>
        <w:tblCellMar>
          <w:top w:w="28" w:type="dxa"/>
          <w:left w:w="28" w:type="dxa"/>
          <w:bottom w:w="28" w:type="dxa"/>
          <w:right w:w="28" w:type="dxa"/>
        </w:tblCellMar>
      </w:tblPr>
      <w:tblGrid>
        <w:gridCol w:w="1126"/>
        <w:gridCol w:w="226"/>
        <w:gridCol w:w="946"/>
        <w:gridCol w:w="136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2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6.750% Series A Junior Subordinated Notes due 2056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700,000,000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$ 700,000,000.00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$ 96,670.00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366" w:type="dxa"/>
            <w:tcBorders/>
            <w:shd w:fill="E7E7E2" w:val="clear"/>
            <w:vAlign w:val="center"/>
          </w:tcPr>
          <w:p>
            <w:pPr>
              <w:pStyle w:val="TableContents"/>
              <w:bidi w:val="0"/>
              <w:spacing w:before="0" w:after="283"/>
              <w:jc w:val="left"/>
              <w:rPr/>
            </w:pPr>
            <w:r>
              <w:rPr/>
              <w:t xml:space="preserve">7.000% Series B Junior Subordinated Notes due 2056 </w:t>
            </w:r>
          </w:p>
        </w:tc>
        <w:tc>
          <w:tcPr>
            <w:tcW w:w="1276" w:type="dxa"/>
            <w:tcBorders/>
            <w:shd w:fill="E7E7E2" w:val="clear"/>
            <w:vAlign w:val="center"/>
          </w:tcPr>
          <w:p>
            <w:pPr>
              <w:pStyle w:val="TableContents"/>
              <w:bidi w:val="0"/>
              <w:spacing w:before="0" w:after="283"/>
              <w:jc w:val="center"/>
              <w:rPr/>
            </w:pPr>
            <w:r>
              <w:rPr/>
              <w:t xml:space="preserve">457(o) </w:t>
            </w:r>
          </w:p>
        </w:tc>
        <w:tc>
          <w:tcPr>
            <w:tcW w:w="1306" w:type="dxa"/>
            <w:tcBorders/>
            <w:shd w:fill="E7E7E2" w:val="clear"/>
            <w:vAlign w:val="center"/>
          </w:tcPr>
          <w:p>
            <w:pPr>
              <w:pStyle w:val="TableContents"/>
              <w:bidi w:val="0"/>
              <w:spacing w:before="0" w:after="283"/>
              <w:jc w:val="right"/>
              <w:rPr/>
            </w:pPr>
            <w:r>
              <w:rPr/>
              <w:t xml:space="preserve">800,000,000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$ 800,000,000.00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$ 110,480.00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2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7" w:name="MaxAggtOfferingPrice"/>
            <w:bookmarkEnd w:id="37"/>
            <w:r>
              <w:rPr/>
              <w:t xml:space="preserve">$ 1,500,000,000.00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$ 207,150.00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4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NetFeeAmt"/>
            <w:bookmarkEnd w:id="41"/>
            <w:r>
              <w:rPr/>
              <w:t xml:space="preserve">$ 207,150.00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The maximum aggregate offering price, which is reflective of a proposed maximum aggregate offering price per unit of 100.000% for the 6.750% Series A Junior Subordinated Notes due 2056 and 100.000% for the 7.000% Series B Junior Subordinated Notes due 2056, is being used to calculate the registration fee pursuant to Rule 457(o) under the Securities Act of 1933, as amended. The registration fee is calculated in accordance with Rule 457(r) of the Securities Act. This "Calculation of Filing Fee Tables" shall be deemed to update the "Calculation of Filing Fee Tables" in the registrant's registration statement on Form S-3ASR filed with the U.S. Securities and Exchange Commission on September 6, 2024 (File No. 333-281967).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See Offering Note 1.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$1,500,000,000.00.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70423/000107042326000014/paa-20251231.htm" TargetMode="External"/><Relationship Id="rId4" Type="http://schemas.openxmlformats.org/officeDocument/2006/relationships/hyperlink" Target="https://www.sec.gov/ix?doc=/Archives/edgar/data/1070423/000107042326000014/paa-20251231.htm" TargetMode="External"/><Relationship Id="rId5" Type="http://schemas.openxmlformats.org/officeDocument/2006/relationships/hyperlink" Target="https://www.sec.gov/ix?doc=/Archives/edgar/data/1070423/000107042326000014/paa-20251231.htm" TargetMode="External"/><Relationship Id="rId6" Type="http://schemas.openxmlformats.org/officeDocument/2006/relationships/hyperlink" Target="https://www.sec.gov/ix?doc=/Archives/edgar/data/1070423/000107042326000019/paa-20260331.htm" TargetMode="External"/><Relationship Id="rId7" Type="http://schemas.openxmlformats.org/officeDocument/2006/relationships/hyperlink" Target="https://www.sec.gov/ix?doc=/Archives/edgar/data/1070423/000107042326000031/paa-20260630.htm" TargetMode="External"/><Relationship Id="rId8" Type="http://schemas.openxmlformats.org/officeDocument/2006/relationships/hyperlink" Target="https://www.sec.gov/ix?doc=/Archives/edgar/data/1070423/000107042326000014/paa-20251231.htm" TargetMode="External"/><Relationship Id="rId9" Type="http://schemas.openxmlformats.org/officeDocument/2006/relationships/hyperlink" Target="https://www.sec.gov/ix?doc=/Archives/edgar/data/1070423/000107042326000014/paa-20251231.htm" TargetMode="External"/><Relationship Id="rId10" Type="http://schemas.openxmlformats.org/officeDocument/2006/relationships/hyperlink" Target="https://www.sec.gov/ix?doc=/Archives/edgar/data/1070423/000107042326000014/paa-20251231.htm" TargetMode="External"/><Relationship Id="rId11" Type="http://schemas.openxmlformats.org/officeDocument/2006/relationships/hyperlink" Target="https://www.sec.gov/ix?doc=/Archives/edgar/data/1070423/000107042326000019/paa-20260331.htm" TargetMode="External"/><Relationship Id="rId12" Type="http://schemas.openxmlformats.org/officeDocument/2006/relationships/hyperlink" Target="https://www.sec.gov/ix?doc=/Archives/edgar/data/1070423/000107042326000031/paa-20260630.htm" TargetMode="External"/><Relationship Id="rId13" Type="http://schemas.openxmlformats.org/officeDocument/2006/relationships/hyperlink" Target="https://www.sec.gov/ix?doc=/Archives/edgar/data/1070423/000107042326000006/paa-20251031.htm" TargetMode="External"/><Relationship Id="rId14" Type="http://schemas.openxmlformats.org/officeDocument/2006/relationships/hyperlink" Target="https://www.sec.gov/ix?doc=/Archives/edgar/data/1070423/000110465926022836/tm267812d1_8k.htm" TargetMode="External"/><Relationship Id="rId15" Type="http://schemas.openxmlformats.org/officeDocument/2006/relationships/hyperlink" Target="https://www.sec.gov/ix?doc=/Archives/edgar/data/1070423/000110465926059509/tm2614302d1_8k.htm" TargetMode="External"/><Relationship Id="rId16" Type="http://schemas.openxmlformats.org/officeDocument/2006/relationships/hyperlink" Target="https://www.sec.gov/ix?doc=/Archives/edgar/data/1070423/000110465926060358/tm2614302d2_8k.htm" TargetMode="External"/><Relationship Id="rId17" Type="http://schemas.openxmlformats.org/officeDocument/2006/relationships/hyperlink" Target="https://www.sec.gov/ix?doc=/Archives/edgar/data/1070423/000110465926065738/tm2615397d1_8k.htm" TargetMode="External"/><Relationship Id="rId18" Type="http://schemas.openxmlformats.org/officeDocument/2006/relationships/hyperlink" Target="https://www.sec.gov/ix?doc=/Archives/edgar/data/1070423/000110465926069156/tm2615397d2_8k.htm" TargetMode="External"/><Relationship Id="rId19" Type="http://schemas.openxmlformats.org/officeDocument/2006/relationships/hyperlink" Target="https://www.sec.gov/ix?doc=/Archives/edgar/data/1070423/000110465926075186/tm2618132d1_8k.htm" TargetMode="External"/><Relationship Id="rId20" Type="http://schemas.openxmlformats.org/officeDocument/2006/relationships/hyperlink" Target="http://www.sec.gov/ix?doc=/Archives/edgar/data/1070423/000110465926105984/tm2624813d1_8k.htm" TargetMode="External"/><Relationship Id="rId21" Type="http://schemas.openxmlformats.org/officeDocument/2006/relationships/hyperlink" Target="https://www.sec.gov/ix?doc=/Archives/edgar/data/1070423/000107042324000008/paa-20231231.htm" TargetMode="External"/><Relationship Id="rId22" Type="http://schemas.openxmlformats.org/officeDocument/2006/relationships/hyperlink" Target="https://www.sec.gov/ix?doc=/Archives/edgar/data/1070423/000107042324000014/paa-20240331.htm" TargetMode="External"/><Relationship Id="rId23" Type="http://schemas.openxmlformats.org/officeDocument/2006/relationships/hyperlink" Target="https://www.sec.gov/ix?doc=/Archives/edgar/data/1070423/000107042324000020/paa-20240630.htm" TargetMode="External"/><Relationship Id="rId24" Type="http://schemas.openxmlformats.org/officeDocument/2006/relationships/hyperlink" Target="https://www.sec.gov/ix?doc=/Archives/edgar/data/1070423/000110465924065666/tm2415729d1_8k.htm" TargetMode="External"/><Relationship Id="rId25" Type="http://schemas.openxmlformats.org/officeDocument/2006/relationships/hyperlink" Target="https://www.sec.gov/ix?doc=/Archives/edgar/data/1070423/000110465924073377/tm2416478d4_8k.htm" TargetMode="External"/><Relationship Id="rId26" Type="http://schemas.openxmlformats.org/officeDocument/2006/relationships/hyperlink" Target="https://www.sec.gov/ix?doc=/Archives/edgar/data/1070423/000110465924075672/tm2418387d1_8k.htm" TargetMode="External"/><Relationship Id="rId27" Type="http://schemas.openxmlformats.org/officeDocument/2006/relationships/hyperlink" Target="https://www.sec.gov/ix?doc=/Archives/edgar/data/1070423/000110465924092056/tm2422213d1_8k.htm" TargetMode="External"/><Relationship Id="rId28" Type="http://schemas.openxmlformats.org/officeDocument/2006/relationships/hyperlink" Target="https://www.sec.gov/ix?doc=/Archives/edgar/data/1070423/000107042324000008/paa-20231231.htm" TargetMode="External"/><Relationship Id="rId29" Type="http://schemas.openxmlformats.org/officeDocument/2006/relationships/hyperlink" Target="https://www.sec.gov/ix?doc=/Archives/edgar/data/1070423/000110465924046387/tm242707d2_def14a.htm" TargetMode="External"/><Relationship Id="rId30" Type="http://schemas.openxmlformats.org/officeDocument/2006/relationships/hyperlink" Target="https://www.sec.gov/Archives/edgar/data/1070423/000107042324000008/paa202310-kexhibit416.htm" TargetMode="External"/><Relationship Id="rId31" Type="http://schemas.openxmlformats.org/officeDocument/2006/relationships/hyperlink" Target="https://www.sec.gov/Archives/edgar/data/1070423/000110465916157335/a16-21667_38a12ba.htm" TargetMode="External"/><Relationship Id="rId32" Type="http://schemas.openxmlformats.org/officeDocument/2006/relationships/hyperlink" Target="https://www.sec.gov/Archives/edgar/data/1070423/000110465920134597/tm2037363-3_8a12b.htm" TargetMode="External"/><Relationship Id="rId33" Type="http://schemas.openxmlformats.org/officeDocument/2006/relationships/hyperlink" Target="https://www.sec.gov/ix?doc=/Archives/edgar/data/1070423/000107042324000008/paa-20231231.htm" TargetMode="External"/><Relationship Id="rId34" Type="http://schemas.openxmlformats.org/officeDocument/2006/relationships/hyperlink" Target="https://www.sec.gov/ix?doc=/Archives/edgar/data/1070423/000107042324000008/paa-20231231.htm" TargetMode="External"/><Relationship Id="rId35" Type="http://schemas.openxmlformats.org/officeDocument/2006/relationships/hyperlink" Target="https://www.sec.gov/ix?doc=/Archives/edgar/data/1070423/000107042324000008/paa-20231231.htm" TargetMode="External"/><Relationship Id="rId36" Type="http://schemas.openxmlformats.org/officeDocument/2006/relationships/hyperlink" Target="https://www.sec.gov/ix?doc=/Archives/edgar/data/1070423/000107042324000008/paa-20231231.htm" TargetMode="External"/><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60604</Words>
  <Characters>314769</Characters>
  <CharactersWithSpaces>377423</CharactersWithSpaces>
  <Paragraphs>3393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