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1-36132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PLAINS GP HOLDINGS,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90-1005472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333 Clay Street, Suite 1600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77002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(713) 646-4100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Shares</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PAGP</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left"/>
        <w:rPr/>
      </w:pPr>
      <w:r>
        <w:rPr>
          <w:color w:val="000000"/>
        </w:rPr>
        <w:t>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there were 197,904,124 Class A Shares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8"/>
        <w:gridCol w:w="3080"/>
        <w:gridCol w:w="3094"/>
        <w:gridCol w:w="149"/>
        <w:gridCol w:w="149"/>
        <w:gridCol w:w="215"/>
      </w:tblGrid>
      <w:tr>
        <w:trPr/>
        <w:tc>
          <w:tcPr>
            <w:tcW w:w="3518"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896c3386c3f4d339aa465e9b2203ee5_10">
              <w:r>
                <w:rPr>
                  <w:rStyle w:val="InternetLink"/>
                  <w:rFonts w:ascii="Times New Roman;serif" w:hAnsi="Times New Roman;serif"/>
                  <w:b/>
                  <w:color w:val="0000FF"/>
                  <w:sz w:val="20"/>
                  <w:u w:val="single"/>
                </w:rPr>
                <w:t>PART I. FINANCIAL INFORMATION</w:t>
              </w:r>
            </w:hyperlink>
          </w:p>
        </w:tc>
        <w:tc>
          <w:tcPr>
            <w:tcW w:w="51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3">
              <w:r>
                <w:rPr>
                  <w:rStyle w:val="InternetLink"/>
                  <w:rFonts w:ascii="Times New Roman;serif" w:hAnsi="Times New Roman;serif"/>
                  <w:b w:val="false"/>
                  <w:color w:val="0000FF"/>
                  <w:sz w:val="20"/>
                  <w:u w:val="single"/>
                </w:rPr>
                <w:t>Item 1. UNAUDITED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6">
              <w:r>
                <w:rPr>
                  <w:rStyle w:val="InternetLink"/>
                  <w:rFonts w:ascii="Times New Roman;serif" w:hAnsi="Times New Roman;serif"/>
                  <w:b w:val="false"/>
                  <w:color w:val="000080"/>
                  <w:sz w:val="20"/>
                  <w:u w:val="single"/>
                </w:rPr>
                <w:t xml:space="preserve">Condensed Consolidated Balance Sheets: As of </w:t>
              </w:r>
            </w:hyperlink>
            <w:hyperlink w:anchor="i7896c3386c3f4d339aa465e9b2203ee5_16">
              <w:r>
                <w:rPr>
                  <w:rStyle w:val="InternetLink"/>
                  <w:rFonts w:ascii="Times New Roman;serif" w:hAnsi="Times New Roman;serif"/>
                  <w:b w:val="false"/>
                  <w:color w:val="000080"/>
                  <w:sz w:val="20"/>
                  <w:u w:val="single"/>
                </w:rPr>
                <w:t>June</w:t>
              </w:r>
            </w:hyperlink>
            <w:hyperlink w:anchor="i7896c3386c3f4d339aa465e9b2203ee5_16">
              <w:r>
                <w:rPr>
                  <w:rStyle w:val="InternetLink"/>
                  <w:rFonts w:ascii="Times New Roman;serif" w:hAnsi="Times New Roman;serif"/>
                  <w:b w:val="false"/>
                  <w:color w:val="000080"/>
                  <w:sz w:val="20"/>
                  <w:u w:val="single"/>
                </w:rPr>
                <w:t xml:space="preserve"> 3</w:t>
              </w:r>
            </w:hyperlink>
            <w:hyperlink w:anchor="i7896c3386c3f4d339aa465e9b2203ee5_16">
              <w:r>
                <w:rPr>
                  <w:rStyle w:val="InternetLink"/>
                  <w:rFonts w:ascii="Times New Roman;serif" w:hAnsi="Times New Roman;serif"/>
                  <w:b w:val="false"/>
                  <w:color w:val="000080"/>
                  <w:sz w:val="20"/>
                  <w:u w:val="single"/>
                </w:rPr>
                <w:t>0</w:t>
              </w:r>
            </w:hyperlink>
            <w:hyperlink w:anchor="i7896c3386c3f4d339aa465e9b2203ee5_16">
              <w:r>
                <w:rPr>
                  <w:rStyle w:val="InternetLink"/>
                  <w:rFonts w:ascii="Times New Roman;serif" w:hAnsi="Times New Roman;serif"/>
                  <w:b w:val="false"/>
                  <w:color w:val="000080"/>
                  <w:sz w:val="20"/>
                  <w:u w:val="single"/>
                </w:rPr>
                <w:t>,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6">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896c3386c3f4d339aa465e9b2203ee5_22">
              <w:r>
                <w:rPr>
                  <w:rStyle w:val="InternetLink"/>
                  <w:rFonts w:ascii="Times New Roman;serif" w:hAnsi="Times New Roman;serif"/>
                  <w:b w:val="false"/>
                  <w:color w:val="000080"/>
                  <w:sz w:val="20"/>
                  <w:u w:val="single"/>
                </w:rPr>
                <w:t>Condensed Consolidated Statements of Operations: For the three</w:t>
              </w:r>
            </w:hyperlink>
            <w:hyperlink w:anchor="i7896c3386c3f4d339aa465e9b2203ee5_22">
              <w:r>
                <w:rPr>
                  <w:rStyle w:val="InternetLink"/>
                  <w:rFonts w:ascii="Times New Roman;serif" w:hAnsi="Times New Roman;serif"/>
                  <w:b w:val="false"/>
                  <w:color w:val="000080"/>
                  <w:sz w:val="20"/>
                  <w:u w:val="single"/>
                </w:rPr>
                <w:t xml:space="preserve"> and six</w:t>
              </w:r>
            </w:hyperlink>
            <w:hyperlink w:anchor="i7896c3386c3f4d339aa465e9b2203ee5_22">
              <w:r>
                <w:rPr>
                  <w:rStyle w:val="InternetLink"/>
                  <w:rFonts w:ascii="Times New Roman;serif" w:hAnsi="Times New Roman;serif"/>
                  <w:b w:val="false"/>
                  <w:color w:val="000080"/>
                  <w:sz w:val="20"/>
                  <w:u w:val="single"/>
                </w:rPr>
                <w:t xml:space="preserve"> months ended </w:t>
              </w:r>
            </w:hyperlink>
            <w:hyperlink w:anchor="i7896c3386c3f4d339aa465e9b2203ee5_22">
              <w:r>
                <w:rPr>
                  <w:rStyle w:val="InternetLink"/>
                  <w:rFonts w:ascii="Times New Roman;serif" w:hAnsi="Times New Roman;serif"/>
                  <w:b w:val="false"/>
                  <w:color w:val="000080"/>
                  <w:sz w:val="20"/>
                  <w:u w:val="single"/>
                </w:rPr>
                <w:t>June</w:t>
              </w:r>
            </w:hyperlink>
            <w:hyperlink w:anchor="i7896c3386c3f4d339aa465e9b2203ee5_22">
              <w:r>
                <w:rPr>
                  <w:rStyle w:val="InternetLink"/>
                  <w:rFonts w:ascii="Times New Roman;serif" w:hAnsi="Times New Roman;serif"/>
                  <w:b w:val="false"/>
                  <w:color w:val="000080"/>
                  <w:sz w:val="20"/>
                  <w:u w:val="single"/>
                </w:rPr>
                <w:t xml:space="preserve"> 3</w:t>
              </w:r>
            </w:hyperlink>
            <w:hyperlink w:anchor="i7896c3386c3f4d339aa465e9b2203ee5_22">
              <w:r>
                <w:rPr>
                  <w:rStyle w:val="InternetLink"/>
                  <w:rFonts w:ascii="Times New Roman;serif" w:hAnsi="Times New Roman;serif"/>
                  <w:b w:val="false"/>
                  <w:color w:val="000080"/>
                  <w:sz w:val="20"/>
                  <w:u w:val="single"/>
                </w:rPr>
                <w:t>0</w:t>
              </w:r>
            </w:hyperlink>
            <w:hyperlink w:anchor="i7896c3386c3f4d339aa465e9b2203ee5_22">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22">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896c3386c3f4d339aa465e9b2203ee5_25">
              <w:r>
                <w:rPr>
                  <w:rStyle w:val="InternetLink"/>
                  <w:rFonts w:ascii="Times New Roman;serif" w:hAnsi="Times New Roman;serif"/>
                  <w:b w:val="false"/>
                  <w:color w:val="000080"/>
                  <w:sz w:val="20"/>
                  <w:u w:val="single"/>
                </w:rPr>
                <w:t>Condensed Consolidated Statements of Comprehensive Income: For the three</w:t>
              </w:r>
            </w:hyperlink>
            <w:hyperlink w:anchor="i7896c3386c3f4d339aa465e9b2203ee5_25">
              <w:r>
                <w:rPr>
                  <w:rStyle w:val="InternetLink"/>
                  <w:rFonts w:ascii="Times New Roman;serif" w:hAnsi="Times New Roman;serif"/>
                  <w:b w:val="false"/>
                  <w:color w:val="000080"/>
                  <w:sz w:val="20"/>
                  <w:u w:val="single"/>
                </w:rPr>
                <w:t xml:space="preserve"> </w:t>
              </w:r>
            </w:hyperlink>
            <w:hyperlink w:anchor="i7896c3386c3f4d339aa465e9b2203ee5_25">
              <w:r>
                <w:rPr>
                  <w:rStyle w:val="InternetLink"/>
                  <w:rFonts w:ascii="Times New Roman;serif" w:hAnsi="Times New Roman;serif"/>
                  <w:b w:val="false"/>
                  <w:color w:val="000080"/>
                  <w:sz w:val="20"/>
                  <w:u w:val="single"/>
                </w:rPr>
                <w:t>a</w:t>
              </w:r>
            </w:hyperlink>
            <w:hyperlink w:anchor="i7896c3386c3f4d339aa465e9b2203ee5_25">
              <w:r>
                <w:rPr>
                  <w:rStyle w:val="InternetLink"/>
                  <w:rFonts w:ascii="Times New Roman;serif" w:hAnsi="Times New Roman;serif"/>
                  <w:b w:val="false"/>
                  <w:color w:val="000080"/>
                  <w:sz w:val="20"/>
                  <w:u w:val="single"/>
                </w:rPr>
                <w:t>nd six</w:t>
              </w:r>
            </w:hyperlink>
            <w:hyperlink w:anchor="i7896c3386c3f4d339aa465e9b2203ee5_25">
              <w:r>
                <w:rPr>
                  <w:rStyle w:val="InternetLink"/>
                  <w:rFonts w:ascii="Times New Roman;serif" w:hAnsi="Times New Roman;serif"/>
                  <w:b w:val="false"/>
                  <w:color w:val="000080"/>
                  <w:sz w:val="20"/>
                  <w:u w:val="single"/>
                </w:rPr>
                <w:t xml:space="preserve"> months ended </w:t>
              </w:r>
            </w:hyperlink>
            <w:hyperlink w:anchor="i7896c3386c3f4d339aa465e9b2203ee5_25">
              <w:r>
                <w:rPr>
                  <w:rStyle w:val="InternetLink"/>
                  <w:rFonts w:ascii="Times New Roman;serif" w:hAnsi="Times New Roman;serif"/>
                  <w:b w:val="false"/>
                  <w:color w:val="000080"/>
                  <w:sz w:val="20"/>
                  <w:u w:val="single"/>
                </w:rPr>
                <w:t>June</w:t>
              </w:r>
            </w:hyperlink>
            <w:hyperlink w:anchor="i7896c3386c3f4d339aa465e9b2203ee5_25">
              <w:r>
                <w:rPr>
                  <w:rStyle w:val="InternetLink"/>
                  <w:rFonts w:ascii="Times New Roman;serif" w:hAnsi="Times New Roman;serif"/>
                  <w:b w:val="false"/>
                  <w:color w:val="000080"/>
                  <w:sz w:val="20"/>
                  <w:u w:val="single"/>
                </w:rPr>
                <w:t xml:space="preserve"> 3</w:t>
              </w:r>
            </w:hyperlink>
            <w:hyperlink w:anchor="i7896c3386c3f4d339aa465e9b2203ee5_25">
              <w:r>
                <w:rPr>
                  <w:rStyle w:val="InternetLink"/>
                  <w:rFonts w:ascii="Times New Roman;serif" w:hAnsi="Times New Roman;serif"/>
                  <w:b w:val="false"/>
                  <w:color w:val="000080"/>
                  <w:sz w:val="20"/>
                  <w:u w:val="single"/>
                </w:rPr>
                <w:t>0</w:t>
              </w:r>
            </w:hyperlink>
            <w:hyperlink w:anchor="i7896c3386c3f4d339aa465e9b2203ee5_25">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25">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896c3386c3f4d339aa465e9b2203ee5_28">
              <w:r>
                <w:rPr>
                  <w:rStyle w:val="InternetLink"/>
                  <w:rFonts w:ascii="Times New Roman;serif" w:hAnsi="Times New Roman;serif"/>
                  <w:b w:val="false"/>
                  <w:color w:val="000080"/>
                  <w:sz w:val="20"/>
                  <w:u w:val="single"/>
                </w:rPr>
                <w:t xml:space="preserve">Condensed Consolidated Statements of Changes in Accumulated Other Comprehensive Income/(Loss): For the </w:t>
              </w:r>
            </w:hyperlink>
            <w:hyperlink w:anchor="i7896c3386c3f4d339aa465e9b2203ee5_28">
              <w:r>
                <w:rPr>
                  <w:rStyle w:val="InternetLink"/>
                  <w:rFonts w:ascii="Times New Roman;serif" w:hAnsi="Times New Roman;serif"/>
                  <w:b w:val="false"/>
                  <w:color w:val="000080"/>
                  <w:sz w:val="20"/>
                  <w:u w:val="single"/>
                </w:rPr>
                <w:t>six</w:t>
              </w:r>
            </w:hyperlink>
            <w:hyperlink w:anchor="i7896c3386c3f4d339aa465e9b2203ee5_28">
              <w:r>
                <w:rPr>
                  <w:rStyle w:val="InternetLink"/>
                  <w:rFonts w:ascii="Times New Roman;serif" w:hAnsi="Times New Roman;serif"/>
                  <w:b w:val="false"/>
                  <w:color w:val="000080"/>
                  <w:sz w:val="20"/>
                  <w:u w:val="single"/>
                </w:rPr>
                <w:t xml:space="preserve"> months ended </w:t>
              </w:r>
            </w:hyperlink>
            <w:hyperlink w:anchor="i7896c3386c3f4d339aa465e9b2203ee5_28">
              <w:r>
                <w:rPr>
                  <w:rStyle w:val="InternetLink"/>
                  <w:rFonts w:ascii="Times New Roman;serif" w:hAnsi="Times New Roman;serif"/>
                  <w:b w:val="false"/>
                  <w:color w:val="000080"/>
                  <w:sz w:val="20"/>
                  <w:u w:val="single"/>
                </w:rPr>
                <w:t>June</w:t>
              </w:r>
            </w:hyperlink>
            <w:hyperlink w:anchor="i7896c3386c3f4d339aa465e9b2203ee5_28">
              <w:r>
                <w:rPr>
                  <w:rStyle w:val="InternetLink"/>
                  <w:rFonts w:ascii="Times New Roman;serif" w:hAnsi="Times New Roman;serif"/>
                  <w:b w:val="false"/>
                  <w:color w:val="000080"/>
                  <w:sz w:val="20"/>
                  <w:u w:val="single"/>
                </w:rPr>
                <w:t xml:space="preserve"> 3</w:t>
              </w:r>
            </w:hyperlink>
            <w:hyperlink w:anchor="i7896c3386c3f4d339aa465e9b2203ee5_28">
              <w:r>
                <w:rPr>
                  <w:rStyle w:val="InternetLink"/>
                  <w:rFonts w:ascii="Times New Roman;serif" w:hAnsi="Times New Roman;serif"/>
                  <w:b w:val="false"/>
                  <w:color w:val="000080"/>
                  <w:sz w:val="20"/>
                  <w:u w:val="single"/>
                </w:rPr>
                <w:t>0</w:t>
              </w:r>
            </w:hyperlink>
            <w:hyperlink w:anchor="i7896c3386c3f4d339aa465e9b2203ee5_28">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28">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34">
              <w:r>
                <w:rPr>
                  <w:rStyle w:val="InternetLink"/>
                  <w:rFonts w:ascii="Times New Roman;serif" w:hAnsi="Times New Roman;serif"/>
                  <w:b w:val="false"/>
                  <w:color w:val="000080"/>
                  <w:sz w:val="20"/>
                  <w:u w:val="single"/>
                </w:rPr>
                <w:t xml:space="preserve">Condensed Consolidated Statements of Cash Flows: For the </w:t>
              </w:r>
            </w:hyperlink>
            <w:hyperlink w:anchor="i7896c3386c3f4d339aa465e9b2203ee5_34">
              <w:r>
                <w:rPr>
                  <w:rStyle w:val="InternetLink"/>
                  <w:rFonts w:ascii="Times New Roman;serif" w:hAnsi="Times New Roman;serif"/>
                  <w:b w:val="false"/>
                  <w:color w:val="000080"/>
                  <w:sz w:val="20"/>
                  <w:u w:val="single"/>
                </w:rPr>
                <w:t>six</w:t>
              </w:r>
            </w:hyperlink>
            <w:hyperlink w:anchor="i7896c3386c3f4d339aa465e9b2203ee5_34">
              <w:r>
                <w:rPr>
                  <w:rStyle w:val="InternetLink"/>
                  <w:rFonts w:ascii="Times New Roman;serif" w:hAnsi="Times New Roman;serif"/>
                  <w:b w:val="false"/>
                  <w:color w:val="000080"/>
                  <w:sz w:val="20"/>
                  <w:u w:val="single"/>
                </w:rPr>
                <w:t xml:space="preserve"> months ended </w:t>
              </w:r>
            </w:hyperlink>
            <w:hyperlink w:anchor="i7896c3386c3f4d339aa465e9b2203ee5_34">
              <w:r>
                <w:rPr>
                  <w:rStyle w:val="InternetLink"/>
                  <w:rFonts w:ascii="Times New Roman;serif" w:hAnsi="Times New Roman;serif"/>
                  <w:b w:val="false"/>
                  <w:color w:val="000080"/>
                  <w:sz w:val="20"/>
                  <w:u w:val="single"/>
                </w:rPr>
                <w:t>June</w:t>
              </w:r>
            </w:hyperlink>
            <w:hyperlink w:anchor="i7896c3386c3f4d339aa465e9b2203ee5_34">
              <w:r>
                <w:rPr>
                  <w:rStyle w:val="InternetLink"/>
                  <w:rFonts w:ascii="Times New Roman;serif" w:hAnsi="Times New Roman;serif"/>
                  <w:b w:val="false"/>
                  <w:color w:val="000080"/>
                  <w:sz w:val="20"/>
                  <w:u w:val="single"/>
                </w:rPr>
                <w:t xml:space="preserve"> 3</w:t>
              </w:r>
            </w:hyperlink>
            <w:hyperlink w:anchor="i7896c3386c3f4d339aa465e9b2203ee5_34">
              <w:r>
                <w:rPr>
                  <w:rStyle w:val="InternetLink"/>
                  <w:rFonts w:ascii="Times New Roman;serif" w:hAnsi="Times New Roman;serif"/>
                  <w:b w:val="false"/>
                  <w:color w:val="000080"/>
                  <w:sz w:val="20"/>
                  <w:u w:val="single"/>
                </w:rPr>
                <w:t>0</w:t>
              </w:r>
            </w:hyperlink>
            <w:hyperlink w:anchor="i7896c3386c3f4d339aa465e9b2203ee5_34">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34">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896c3386c3f4d339aa465e9b2203ee5_37">
              <w:r>
                <w:rPr>
                  <w:rStyle w:val="InternetLink"/>
                  <w:rFonts w:ascii="Times New Roman;serif" w:hAnsi="Times New Roman;serif"/>
                  <w:b w:val="false"/>
                  <w:color w:val="000080"/>
                  <w:sz w:val="20"/>
                  <w:u w:val="single"/>
                </w:rPr>
                <w:t>Condensed Consolidated Statements of Changes in Partners’ Capital: For the three</w:t>
              </w:r>
            </w:hyperlink>
            <w:hyperlink w:anchor="i7896c3386c3f4d339aa465e9b2203ee5_37">
              <w:r>
                <w:rPr>
                  <w:rStyle w:val="InternetLink"/>
                  <w:rFonts w:ascii="Times New Roman;serif" w:hAnsi="Times New Roman;serif"/>
                  <w:b w:val="false"/>
                  <w:color w:val="000080"/>
                  <w:sz w:val="20"/>
                  <w:u w:val="single"/>
                </w:rPr>
                <w:t xml:space="preserve"> and six</w:t>
              </w:r>
            </w:hyperlink>
            <w:hyperlink w:anchor="i7896c3386c3f4d339aa465e9b2203ee5_37">
              <w:r>
                <w:rPr>
                  <w:rStyle w:val="InternetLink"/>
                  <w:rFonts w:ascii="Times New Roman;serif" w:hAnsi="Times New Roman;serif"/>
                  <w:b w:val="false"/>
                  <w:color w:val="000080"/>
                  <w:sz w:val="20"/>
                  <w:u w:val="single"/>
                </w:rPr>
                <w:t xml:space="preserve"> months ended </w:t>
              </w:r>
            </w:hyperlink>
            <w:hyperlink w:anchor="i7896c3386c3f4d339aa465e9b2203ee5_37">
              <w:r>
                <w:rPr>
                  <w:rStyle w:val="InternetLink"/>
                  <w:rFonts w:ascii="Times New Roman;serif" w:hAnsi="Times New Roman;serif"/>
                  <w:b w:val="false"/>
                  <w:color w:val="000080"/>
                  <w:sz w:val="20"/>
                  <w:u w:val="single"/>
                </w:rPr>
                <w:t>June</w:t>
              </w:r>
            </w:hyperlink>
            <w:hyperlink w:anchor="i7896c3386c3f4d339aa465e9b2203ee5_37">
              <w:r>
                <w:rPr>
                  <w:rStyle w:val="InternetLink"/>
                  <w:rFonts w:ascii="Times New Roman;serif" w:hAnsi="Times New Roman;serif"/>
                  <w:b w:val="false"/>
                  <w:color w:val="000080"/>
                  <w:sz w:val="20"/>
                  <w:u w:val="single"/>
                </w:rPr>
                <w:t xml:space="preserve"> 3</w:t>
              </w:r>
            </w:hyperlink>
            <w:hyperlink w:anchor="i7896c3386c3f4d339aa465e9b2203ee5_37">
              <w:r>
                <w:rPr>
                  <w:rStyle w:val="InternetLink"/>
                  <w:rFonts w:ascii="Times New Roman;serif" w:hAnsi="Times New Roman;serif"/>
                  <w:b w:val="false"/>
                  <w:color w:val="000080"/>
                  <w:sz w:val="20"/>
                  <w:u w:val="single"/>
                </w:rPr>
                <w:t>0</w:t>
              </w:r>
            </w:hyperlink>
            <w:hyperlink w:anchor="i7896c3386c3f4d339aa465e9b2203ee5_37">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37">
              <w:r>
                <w:rPr>
                  <w:rStyle w:val="InternetLink"/>
                  <w:rFonts w:ascii="Times New Roman;serif" w:hAnsi="Times New Roman;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40">
              <w:r>
                <w:rPr>
                  <w:rStyle w:val="InternetLink"/>
                  <w:rFonts w:ascii="Times New Roman;serif" w:hAnsi="Times New Roman;serif"/>
                  <w:b w:val="false"/>
                  <w:color w:val="0000FF"/>
                  <w:sz w:val="20"/>
                  <w:u w:val="single"/>
                </w:rPr>
                <w:t>Notes to the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43">
              <w:r>
                <w:rPr>
                  <w:rStyle w:val="InternetLink"/>
                  <w:rFonts w:ascii="Times New Roman;serif" w:hAnsi="Times New Roman;serif"/>
                  <w:b w:val="false"/>
                  <w:color w:val="0000FF"/>
                  <w:sz w:val="20"/>
                  <w:u w:val="single"/>
                </w:rPr>
                <w:t>1. Organization and Basis of Consolidation and Presentation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43">
              <w:r>
                <w:rPr>
                  <w:rStyle w:val="InternetLink"/>
                  <w:rFonts w:ascii="Times New Roman;serif" w:hAnsi="Times New Roman;serif"/>
                  <w:b w:val="false"/>
                  <w:color w:val="0000FF"/>
                  <w:sz w:val="20"/>
                  <w:u w:val="single"/>
                </w:rPr>
                <w:t>8</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49">
              <w:r>
                <w:rPr>
                  <w:rStyle w:val="InternetLink"/>
                  <w:rFonts w:ascii="Times New Roman;serif" w:hAnsi="Times New Roman;serif"/>
                  <w:b w:val="false"/>
                  <w:color w:val="0000FF"/>
                  <w:sz w:val="20"/>
                  <w:u w:val="single"/>
                </w:rPr>
                <w:t>2. Canadian NGL Business Divestiture and Discontinued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49">
              <w:r>
                <w:rPr>
                  <w:rStyle w:val="InternetLink"/>
                  <w:rFonts w:ascii="Times New Roman;serif" w:hAnsi="Times New Roman;serif"/>
                  <w:b w:val="false"/>
                  <w:color w:val="0000FF"/>
                  <w:sz w:val="20"/>
                  <w:u w:val="single"/>
                </w:rPr>
                <w:t>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52">
              <w:r>
                <w:rPr>
                  <w:rStyle w:val="InternetLink"/>
                  <w:rFonts w:ascii="Times New Roman;serif" w:hAnsi="Times New Roman;serif"/>
                  <w:b w:val="false"/>
                  <w:color w:val="0000FF"/>
                  <w:sz w:val="20"/>
                  <w:u w:val="single"/>
                </w:rPr>
                <w:t>3. Revenues and Accounts Receivable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52">
              <w:r>
                <w:rPr>
                  <w:rStyle w:val="InternetLink"/>
                  <w:rFonts w:ascii="Times New Roman;serif" w:hAnsi="Times New Roman;serif"/>
                  <w:b w:val="false"/>
                  <w:color w:val="0000FF"/>
                  <w:sz w:val="20"/>
                  <w:u w:val="single"/>
                </w:rPr>
                <w:t>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58">
              <w:r>
                <w:rPr>
                  <w:rStyle w:val="InternetLink"/>
                  <w:rFonts w:ascii="Times New Roman;serif" w:hAnsi="Times New Roman;serif"/>
                  <w:b w:val="false"/>
                  <w:color w:val="0000FF"/>
                  <w:sz w:val="20"/>
                  <w:u w:val="single"/>
                </w:rPr>
                <w:t>4. Net Income Per Class A Share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58">
              <w:r>
                <w:rPr>
                  <w:rStyle w:val="InternetLink"/>
                  <w:rFonts w:ascii="Times New Roman;serif" w:hAnsi="Times New Roman;serif"/>
                  <w:b w:val="false"/>
                  <w:color w:val="0000FF"/>
                  <w:sz w:val="20"/>
                  <w:u w:val="single"/>
                </w:rPr>
                <w:t>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61">
              <w:r>
                <w:rPr>
                  <w:rStyle w:val="InternetLink"/>
                  <w:rFonts w:ascii="Times New Roman;serif" w:hAnsi="Times New Roman;serif"/>
                  <w:b w:val="false"/>
                  <w:color w:val="0000FF"/>
                  <w:sz w:val="20"/>
                  <w:u w:val="single"/>
                </w:rPr>
                <w:t>5. Inventory, Linefill and Long-term Inventory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61">
              <w:r>
                <w:rPr>
                  <w:rStyle w:val="InternetLink"/>
                  <w:rFonts w:ascii="Times New Roman;serif" w:hAnsi="Times New Roman;serif"/>
                  <w:b w:val="false"/>
                  <w:color w:val="0000FF"/>
                  <w:sz w:val="20"/>
                  <w:u w:val="single"/>
                </w:rPr>
                <w:t>19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64">
              <w:r>
                <w:rPr>
                  <w:rStyle w:val="InternetLink"/>
                  <w:rFonts w:ascii="Times New Roman;serif" w:hAnsi="Times New Roman;serif"/>
                  <w:b w:val="false"/>
                  <w:color w:val="0000FF"/>
                  <w:sz w:val="20"/>
                  <w:u w:val="single"/>
                </w:rPr>
                <w:t>6.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64">
              <w:r>
                <w:rPr>
                  <w:rStyle w:val="InternetLink"/>
                  <w:rFonts w:ascii="Times New Roman;serif" w:hAnsi="Times New Roman;serif"/>
                  <w:b w:val="false"/>
                  <w:color w:val="0000FF"/>
                  <w:sz w:val="20"/>
                  <w:u w:val="single"/>
                </w:rPr>
                <w:t>20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67">
              <w:r>
                <w:rPr>
                  <w:rStyle w:val="InternetLink"/>
                  <w:rFonts w:ascii="Times New Roman;serif" w:hAnsi="Times New Roman;serif"/>
                  <w:b w:val="false"/>
                  <w:color w:val="0000FF"/>
                  <w:sz w:val="20"/>
                  <w:u w:val="single"/>
                </w:rPr>
                <w:t>7. Partners’ Capital and Distributions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67">
              <w:r>
                <w:rPr>
                  <w:rStyle w:val="InternetLink"/>
                  <w:rFonts w:ascii="Times New Roman;serif" w:hAnsi="Times New Roman;serif"/>
                  <w:b w:val="false"/>
                  <w:color w:val="0000FF"/>
                  <w:sz w:val="20"/>
                  <w:u w:val="single"/>
                </w:rPr>
                <w:t>22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70">
              <w:r>
                <w:rPr>
                  <w:rStyle w:val="InternetLink"/>
                  <w:rFonts w:ascii="Times New Roman;serif" w:hAnsi="Times New Roman;serif"/>
                  <w:b w:val="false"/>
                  <w:color w:val="0000FF"/>
                  <w:sz w:val="20"/>
                  <w:u w:val="single"/>
                </w:rPr>
                <w:t>8. Derivatives and Risk Management Activities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70">
              <w:r>
                <w:rPr>
                  <w:rStyle w:val="InternetLink"/>
                  <w:rFonts w:ascii="Times New Roman;serif" w:hAnsi="Times New Roman;serif"/>
                  <w:b w:val="false"/>
                  <w:color w:val="0000FF"/>
                  <w:sz w:val="20"/>
                  <w:u w:val="single"/>
                </w:rPr>
                <w:t>25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73">
              <w:r>
                <w:rPr>
                  <w:rStyle w:val="InternetLink"/>
                  <w:rFonts w:ascii="Times New Roman;serif" w:hAnsi="Times New Roman;serif"/>
                  <w:b w:val="false"/>
                  <w:color w:val="0000FF"/>
                  <w:sz w:val="20"/>
                  <w:u w:val="single"/>
                </w:rPr>
                <w:t>9. Related Party Transactions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73">
              <w:r>
                <w:rPr>
                  <w:rStyle w:val="InternetLink"/>
                  <w:rFonts w:ascii="Times New Roman;serif" w:hAnsi="Times New Roman;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76">
              <w:r>
                <w:rPr>
                  <w:rStyle w:val="InternetLink"/>
                  <w:rFonts w:ascii="Times New Roman;serif" w:hAnsi="Times New Roman;serif"/>
                  <w:b w:val="false"/>
                  <w:color w:val="0000FF"/>
                  <w:sz w:val="20"/>
                  <w:u w:val="single"/>
                </w:rPr>
                <w:t>10. Commitments and Contingencies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76">
              <w:r>
                <w:rPr>
                  <w:rStyle w:val="InternetLink"/>
                  <w:rFonts w:ascii="Times New Roman;serif" w:hAnsi="Times New Roman;serif"/>
                  <w:b w:val="false"/>
                  <w:color w:val="0000FF"/>
                  <w:sz w:val="20"/>
                  <w:u w:val="single"/>
                </w:rPr>
                <w:t>28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79">
              <w:r>
                <w:rPr>
                  <w:rStyle w:val="InternetLink"/>
                  <w:rFonts w:ascii="Times New Roman;serif" w:hAnsi="Times New Roman;serif"/>
                  <w:b w:val="false"/>
                  <w:color w:val="0000FF"/>
                  <w:sz w:val="20"/>
                  <w:u w:val="single"/>
                </w:rPr>
                <w:t>11. Segment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79">
              <w:r>
                <w:rPr>
                  <w:rStyle w:val="InternetLink"/>
                  <w:rFonts w:ascii="Times New Roman;serif" w:hAnsi="Times New Roman;serif"/>
                  <w:b w:val="false"/>
                  <w:color w:val="0000FF"/>
                  <w:sz w:val="20"/>
                  <w:u w:val="single"/>
                </w:rPr>
                <w:t>31</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7896c3386c3f4d339aa465e9b2203ee5_9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91">
              <w:r>
                <w:rPr>
                  <w:rStyle w:val="InternetLink"/>
                  <w:rFonts w:ascii="Times New Roman;serif" w:hAnsi="Times New Roman;serif"/>
                  <w:b w:val="false"/>
                  <w:color w:val="0000FF"/>
                  <w:sz w:val="20"/>
                  <w:u w:val="single"/>
                </w:rPr>
                <w:t>39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24">
              <w:r>
                <w:rPr>
                  <w:rStyle w:val="InternetLink"/>
                  <w:rFonts w:ascii="Times New Roman;serif" w:hAnsi="Times New Roman;serif"/>
                  <w:b w:val="false"/>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24">
              <w:r>
                <w:rPr>
                  <w:rStyle w:val="InternetLink"/>
                  <w:rFonts w:ascii="Times New Roman;serif" w:hAnsi="Times New Roman;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27">
              <w:r>
                <w:rPr>
                  <w:rStyle w:val="InternetLink"/>
                  <w:rFonts w:ascii="Times New Roman;serif" w:hAnsi="Times New Roman;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27">
              <w:r>
                <w:rPr>
                  <w:rStyle w:val="InternetLink"/>
                  <w:rFonts w:ascii="Times New Roman;serif" w:hAnsi="Times New Roman;serif"/>
                  <w:b w:val="false"/>
                  <w:color w:val="0000FF"/>
                  <w:sz w:val="20"/>
                  <w:u w:val="single"/>
                </w:rPr>
                <w:t>59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30">
              <w:r>
                <w:rPr>
                  <w:rStyle w:val="InternetLink"/>
                  <w:rFonts w:ascii="Times New Roman;serif" w:hAnsi="Times New Roman;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33">
              <w:r>
                <w:rPr>
                  <w:rStyle w:val="InternetLink"/>
                  <w:rFonts w:ascii="Times New Roman;serif" w:hAnsi="Times New Roman;serif"/>
                  <w:b w:val="false"/>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33">
              <w:r>
                <w:rPr>
                  <w:rStyle w:val="InternetLink"/>
                  <w:rFonts w:ascii="Times New Roman;serif" w:hAnsi="Times New Roman;serif"/>
                  <w:b w:val="false"/>
                  <w:color w:val="0000FF"/>
                  <w:sz w:val="20"/>
                  <w:u w:val="single"/>
                </w:rPr>
                <w:t>60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36">
              <w:r>
                <w:rPr>
                  <w:rStyle w:val="InternetLink"/>
                  <w:rFonts w:ascii="Times New Roman;serif" w:hAnsi="Times New Roman;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36">
              <w:r>
                <w:rPr>
                  <w:rStyle w:val="InternetLink"/>
                  <w:rFonts w:ascii="Times New Roman;serif" w:hAnsi="Times New Roman;serif"/>
                  <w:b w:val="false"/>
                  <w:color w:val="0000FF"/>
                  <w:sz w:val="20"/>
                  <w:u w:val="single"/>
                </w:rPr>
                <w:t>60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39">
              <w:r>
                <w:rPr>
                  <w:rStyle w:val="InternetLink"/>
                  <w:rFonts w:ascii="Times New Roman;serif" w:hAnsi="Times New Roman;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39">
              <w:r>
                <w:rPr>
                  <w:rStyle w:val="InternetLink"/>
                  <w:rFonts w:ascii="Times New Roman;serif" w:hAnsi="Times New Roman;serif"/>
                  <w:b w:val="false"/>
                  <w:color w:val="0000FF"/>
                  <w:sz w:val="20"/>
                  <w:u w:val="single"/>
                </w:rPr>
                <w:t>60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42">
              <w:r>
                <w:rPr>
                  <w:rStyle w:val="InternetLink"/>
                  <w:rFonts w:ascii="Times New Roman;serif" w:hAnsi="Times New Roman;serif"/>
                  <w:b w:val="false"/>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42">
              <w:r>
                <w:rPr>
                  <w:rStyle w:val="InternetLink"/>
                  <w:rFonts w:ascii="Times New Roman;serif" w:hAnsi="Times New Roman;serif"/>
                  <w:b w:val="false"/>
                  <w:color w:val="0000FF"/>
                  <w:sz w:val="20"/>
                  <w:u w:val="single"/>
                </w:rPr>
                <w:t>60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45">
              <w:r>
                <w:rPr>
                  <w:rStyle w:val="InternetLink"/>
                  <w:rFonts w:ascii="Times New Roman;serif" w:hAnsi="Times New Roman;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45">
              <w:r>
                <w:rPr>
                  <w:rStyle w:val="InternetLink"/>
                  <w:rFonts w:ascii="Times New Roman;serif" w:hAnsi="Times New Roman;serif"/>
                  <w:b w:val="false"/>
                  <w:color w:val="0000FF"/>
                  <w:sz w:val="20"/>
                  <w:u w:val="single"/>
                </w:rPr>
                <w:t>60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48">
              <w:r>
                <w:rPr>
                  <w:rStyle w:val="InternetLink"/>
                  <w:rFonts w:ascii="Times New Roman;serif" w:hAnsi="Times New Roman;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48">
              <w:r>
                <w:rPr>
                  <w:rStyle w:val="InternetLink"/>
                  <w:rFonts w:ascii="Times New Roman;serif" w:hAnsi="Times New Roman;serif"/>
                  <w:b w:val="false"/>
                  <w:color w:val="0000FF"/>
                  <w:sz w:val="20"/>
                  <w:u w:val="single"/>
                </w:rPr>
                <w:t>60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51">
              <w:r>
                <w:rPr>
                  <w:rStyle w:val="InternetLink"/>
                  <w:rFonts w:ascii="Times New Roman;serif" w:hAnsi="Times New Roman;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51">
              <w:r>
                <w:rPr>
                  <w:rStyle w:val="InternetLink"/>
                  <w:rFonts w:ascii="Times New Roman;serif" w:hAnsi="Times New Roman;serif"/>
                  <w:b w:val="false"/>
                  <w:color w:val="0000FF"/>
                  <w:sz w:val="20"/>
                  <w:u w:val="single"/>
                </w:rPr>
                <w:t>61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96c3386c3f4d339aa465e9b2203ee5_157">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96c3386c3f4d339aa465e9b2203ee5_157">
              <w:r>
                <w:rPr>
                  <w:rStyle w:val="InternetLink"/>
                  <w:rFonts w:ascii="Times New Roman;serif" w:hAnsi="Times New Roman;serif"/>
                  <w:b w:val="false"/>
                  <w:color w:val="0000FF"/>
                  <w:sz w:val="20"/>
                  <w:u w:val="single"/>
                </w:rPr>
                <w:t>64</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jc w:val="center"/>
        <w:rPr/>
      </w:pPr>
      <w:r>
        <w:rPr>
          <w:rFonts w:ascii="Times New Roman;serif" w:hAnsi="Times New Roman;serif"/>
          <w:b/>
          <w:color w:val="000000"/>
          <w:sz w:val="20"/>
        </w:rPr>
        <w:t>PART I.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data)</w:t>
      </w:r>
    </w:p>
    <w:p>
      <w:pPr>
        <w:pStyle w:val="TextBody"/>
        <w:bidi w:val="0"/>
        <w:spacing w:before="0" w:after="0"/>
        <w:jc w:val="center"/>
        <w:rPr/>
      </w:pPr>
      <w:r>
        <w:rPr/>
      </w:r>
    </w:p>
    <w:tbl>
      <w:tblPr>
        <w:tblW w:w="9572" w:type="dxa"/>
        <w:jc w:val="left"/>
        <w:tblInd w:w="0" w:type="dxa"/>
        <w:tblLayout w:type="fixed"/>
        <w:tblCellMar>
          <w:top w:w="28" w:type="dxa"/>
          <w:left w:w="28" w:type="dxa"/>
          <w:bottom w:w="28" w:type="dxa"/>
          <w:right w:w="28" w:type="dxa"/>
        </w:tblCellMar>
      </w:tblPr>
      <w:tblGrid>
        <w:gridCol w:w="2554"/>
        <w:gridCol w:w="2246"/>
        <w:gridCol w:w="2265"/>
        <w:gridCol w:w="211"/>
        <w:gridCol w:w="721"/>
        <w:gridCol w:w="109"/>
        <w:gridCol w:w="109"/>
        <w:gridCol w:w="109"/>
        <w:gridCol w:w="109"/>
        <w:gridCol w:w="221"/>
        <w:gridCol w:w="757"/>
        <w:gridCol w:w="161"/>
      </w:tblGrid>
      <w:tr>
        <w:trPr/>
        <w:tc>
          <w:tcPr>
            <w:tcW w:w="2554"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receivable and other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Current assets of discontinued operations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4,704 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Linefill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assets of discontinued operations (Note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31,276 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Current liabilities of discontinued operations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Senior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liabilities of discontinued operations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 and deferred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long-term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12,158 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COMMITMENTS AND CONTINGENCIES (NOTE 10)</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PARTNERS’ CAPITAL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A shareholders (197,904,124 and 197,904,124 shares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partners’ capital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14,216 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partners’ capital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31,276 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before="0" w:after="6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1924"/>
        <w:gridCol w:w="1541"/>
        <w:gridCol w:w="154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92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 of $2, $3, $3 and $5,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TAX</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NET OF TAX</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DISCONTINUED OPERATIONS, NET OF TAX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PAGP</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shared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Income/(Loss) per Class A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Income/(Loss) per Class A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color w:val="000000"/>
        </w:rPr>
      </w:pPr>
      <w:r>
        <w:rPr>
          <w:color w:val="000000"/>
        </w:rPr>
        <w:t> </w:t>
      </w:r>
    </w:p>
    <w:tbl>
      <w:tblPr>
        <w:tblW w:w="9704" w:type="dxa"/>
        <w:jc w:val="center"/>
        <w:tblInd w:w="0" w:type="dxa"/>
        <w:tblLayout w:type="fixed"/>
        <w:tblCellMar>
          <w:top w:w="28" w:type="dxa"/>
          <w:left w:w="28" w:type="dxa"/>
          <w:bottom w:w="28" w:type="dxa"/>
          <w:right w:w="28" w:type="dxa"/>
        </w:tblCellMar>
      </w:tblPr>
      <w:tblGrid>
        <w:gridCol w:w="1894"/>
        <w:gridCol w:w="1662"/>
        <w:gridCol w:w="1678"/>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PAGP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7384"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activity</w:t>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539"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11"/>
        <w:gridCol w:w="691"/>
        <w:gridCol w:w="109"/>
        <w:gridCol w:w="109"/>
        <w:gridCol w:w="109"/>
        <w:gridCol w:w="109"/>
        <w:gridCol w:w="211"/>
        <w:gridCol w:w="406"/>
        <w:gridCol w:w="109"/>
        <w:gridCol w:w="109"/>
        <w:gridCol w:w="109"/>
        <w:gridCol w:w="109"/>
        <w:gridCol w:w="211"/>
        <w:gridCol w:w="69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hedges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activity</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60"/>
        <w:ind w:left="0" w:right="0" w:firstLine="720"/>
        <w:jc w:val="center"/>
        <w:rPr/>
      </w:pPr>
      <w:r>
        <w:rPr/>
      </w:r>
    </w:p>
    <w:tbl>
      <w:tblPr>
        <w:tblW w:w="7641" w:type="dxa"/>
        <w:jc w:val="left"/>
        <w:tblInd w:w="0" w:type="dxa"/>
        <w:tblLayout w:type="fixed"/>
        <w:tblCellMar>
          <w:top w:w="28" w:type="dxa"/>
          <w:left w:w="28" w:type="dxa"/>
          <w:bottom w:w="28" w:type="dxa"/>
          <w:right w:w="28" w:type="dxa"/>
        </w:tblCellMar>
      </w:tblPr>
      <w:tblGrid>
        <w:gridCol w:w="2051"/>
        <w:gridCol w:w="1804"/>
        <w:gridCol w:w="1814"/>
        <w:gridCol w:w="196"/>
        <w:gridCol w:w="556"/>
        <w:gridCol w:w="109"/>
        <w:gridCol w:w="109"/>
        <w:gridCol w:w="109"/>
        <w:gridCol w:w="109"/>
        <w:gridCol w:w="200"/>
        <w:gridCol w:w="430"/>
        <w:gridCol w:w="154"/>
      </w:tblGrid>
      <w:tr>
        <w:trPr/>
        <w:tc>
          <w:tcPr>
            <w:tcW w:w="205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asset sales, asset impairments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expense/(benefit)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on foreign currency revaluation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on earnings from unconsolidated entities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investments in unconsolidated entities,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 - continuing operations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 -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in connection with acquisitions,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equipment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purchases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sales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 continuing operations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by/(used in) investing activities -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investing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borrowings/(repayments) under PAA commercial paper program (Note 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under PAA term loan (Note 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PAA senior notes (Note 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PAA senior notes (Note 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units by a subsidiary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Series A preferred units by a subsidiary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Class A shareholders (Note 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noncontrolling interests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financing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translation adjustment - continuing operations</w:t>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translation adjustment -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 of amounts capitalized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net of amounts refunded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PARTNERS’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60"/>
        <w:ind w:left="0" w:right="0" w:firstLine="720"/>
        <w:jc w:val="center"/>
        <w:rPr/>
      </w:pPr>
      <w:r>
        <w:rPr/>
      </w:r>
    </w:p>
    <w:tbl>
      <w:tblPr>
        <w:tblW w:w="8978" w:type="dxa"/>
        <w:jc w:val="left"/>
        <w:tblInd w:w="0" w:type="dxa"/>
        <w:tblLayout w:type="fixed"/>
        <w:tblCellMar>
          <w:top w:w="28" w:type="dxa"/>
          <w:left w:w="28" w:type="dxa"/>
          <w:bottom w:w="28" w:type="dxa"/>
          <w:right w:w="28" w:type="dxa"/>
        </w:tblCellMar>
      </w:tblPr>
      <w:tblGrid>
        <w:gridCol w:w="1618"/>
        <w:gridCol w:w="1421"/>
        <w:gridCol w:w="1431"/>
        <w:gridCol w:w="109"/>
        <w:gridCol w:w="109"/>
        <w:gridCol w:w="109"/>
        <w:gridCol w:w="236"/>
        <w:gridCol w:w="691"/>
        <w:gridCol w:w="124"/>
        <w:gridCol w:w="109"/>
        <w:gridCol w:w="109"/>
        <w:gridCol w:w="109"/>
        <w:gridCol w:w="243"/>
        <w:gridCol w:w="831"/>
        <w:gridCol w:w="127"/>
        <w:gridCol w:w="109"/>
        <w:gridCol w:w="109"/>
        <w:gridCol w:w="109"/>
        <w:gridCol w:w="247"/>
        <w:gridCol w:w="848"/>
        <w:gridCol w:w="180"/>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Partners’</w:t>
              <w:br/>
              <w:t>Capital</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Partners’</w:t>
              <w:br/>
              <w:t>Capital</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Partners’</w:t>
              <w:br/>
              <w:t>Capital</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units by a subsidiary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 by a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Partners’</w:t>
              <w:br/>
              <w:t>Capital</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8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units by a subsidiary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12,771 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14,125 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Plains GP Holdings, L.P. (“PAGP”) is a publicly-traded Delaware limited partnership formed in 2013 that has elected to be taxed as a corporation for United States federal income tax purposes. PAGP does not directly own any operating assets; as of June 30, 2026, its sole source of cash flow is derived from an indirect investment in Plains All American Pipeline, L.P. (“PAA”), a publicly-traded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owned an approximate 85% limited partner interest in Plains AAP, L.P. (“AAP”) through our ownership of approximately 197.9 million Class A units of AAP (“AAP Units”). We also own a 100% managing member interest in Plains All American GP LLC (“GP LLC”), a Delaware limited liability company that holds the non-economic general partner interest in AAP. AAP is a Delaware limited partnership that, as of June 30, 2026, directly owned a limited partner interest in PAA through its ownership of approximately 233.0 million PAA common units (approximately 31% of PAA’s total outstanding common units and Series A preferred units combined). AAP is the sole member of PAA GP LLC (“PAA GP”), a Delaware limited liability company that directly holds the non-economic general partner interest in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and conducted through two operating segments: Crude Oil and Natural Gas Liquids (“NGL”). See Note 11 for further discussion of our operating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Canada Liquid Pipelines ULC (“PCLP”).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to “Plains Entities,” include us, our general partner, GP LLC, AAP, PAA GP and PAA and its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defined terms may be used in this Form 10-Q and shall have the meanings indicated below:</w:t>
      </w:r>
    </w:p>
    <w:p>
      <w:pPr>
        <w:pStyle w:val="TextBody"/>
        <w:bidi w:val="0"/>
        <w:spacing w:before="0" w:after="0"/>
        <w:ind w:left="0" w:right="0" w:firstLine="72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and amortization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plan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Mercantile Exchange</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interim financial statements and related notes thereto should be read in conjunction with our 2025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have been prepared in accordance with the instructions for interim reporting as set forth by the SEC. The condensed consolidated balance sheet data as of December 31, 2025 was derived from audited financial statements, but does not include all disclosures required by GAAP. The results of operations for the three and six months ended June 30, 2026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determined that our subsidiaries, PAA and AAP, are VIEs and should be consolidated by PAGP because:</w:t>
      </w:r>
    </w:p>
    <w:p>
      <w:pPr>
        <w:pStyle w:val="TextBody"/>
        <w:bidi w:val="0"/>
        <w:spacing w:before="0" w:after="0"/>
        <w:ind w:left="0" w:right="0" w:firstLine="72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AAP is the primary beneficiary of PAA because it has the power to direct the activities that most significantly impact PAA’s performance and the right to receive benefits, and obligation to absorb losses, that could be significant to PAA.</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PAGP is the primary beneficiary of AAP because it has the power to direct the activities that most significantly impact AAP’s performance and the right to receive benefits, and obligation to absorb losses, that could be significant to AAP.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the exception of a deferred tax asset of $1.083 billion and $1.136 billion as of June 30, 2026 and December 31, 2025,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2026 or the year ended December 31, 2025. See Note 17 to our Consolidated Financial Statements included in Part IV of our 2025 Annual Report on Form 10-K for information regarding the Omnibus Agreement entered into by the Plains Entities on November 15, 2016.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May 12, 2026, we completed the sale of the Canadian NGL Business (as defined and discussed in further detail in Note 2). The operations of the Canadian NGL Business met the criteria for classification as held for sale and for discontinued operations reporting. Accordingly, the balance sheet, results of operations and cash flows of the Canadian NGL Business have been presented as discontinued operations in our condensed consolidated financial statements. Unless otherwise indicated, the disclosures included within the accompanying notes to the condensed consolidated financial statements relate to our continuing operations and exclude amounts related to discontinued operations. </w:t>
      </w:r>
      <w:r>
        <w:rPr>
          <w:rFonts w:ascii="Times New Roman;serif" w:hAnsi="Times New Roman;serif"/>
          <w:b w:val="false"/>
          <w:color w:val="000000"/>
          <w:sz w:val="20"/>
          <w:shd w:fill="FFFFFF" w:val="clear"/>
        </w:rPr>
        <w:t>Discontinued operations are not presented separately within our Condensed Consolidated Statements of Comprehensive Income, Condensed Consolidated Statements of Changes in Accumulated Other Comprehensive Income/(Loss) or the Condensed Consolidated Statements of Changes in Partners’ Capital. Through the date of the sale, a</w:t>
      </w:r>
      <w:r>
        <w:rPr>
          <w:rFonts w:ascii="Times New Roman;serif" w:hAnsi="Times New Roman;serif"/>
          <w:b w:val="false"/>
          <w:color w:val="000000"/>
          <w:sz w:val="20"/>
        </w:rPr>
        <w:t>ll significant intercompany balances and transactions between the Canadian NGL Business and our continuing operations have been eliminated.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 Disclosure Rules and Other Legislation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discussed in our 2025 Annual Report on Form 10-K, there have been no new accounting pronouncements that have become effective or have been issued during the six months ended June 30, 2026 that are of significance or potential significance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2</w:t>
      </w:r>
      <w:r>
        <w:rPr>
          <w:color w:val="000000"/>
        </w:rPr>
        <w:t>—</w:t>
      </w:r>
      <w:r>
        <w:rPr>
          <w:rFonts w:ascii="Times New Roman;serif" w:hAnsi="Times New Roman;serif"/>
          <w:b/>
          <w:color w:val="000000"/>
          <w:sz w:val="20"/>
        </w:rPr>
        <w:t>Canadian NGL Business Divestiture and Discontinued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we entered into a definitive Share Purchase Agreement (as amended to date, the “SPA”) with Keyera Corp. (“Keyera”), an Alberta corporation, pursuant to which Keyera agreed to acquire all of the issued and outstanding shares of Plains Midstream Canada ULC (“PMC ULC”), our wholly-owned subsidiary that owned substantially all of our NGL business in Canada (the “Canadian NGL Business”). The transaction closed on May 12, 2026, and, pursuant to the SPA, we received cash consideration of approximately CAD$5.328 billion (approximately $3.883 billion), including estimated working capital and other adjustments, subject to certain post-closing adjustments as defined in the SPA. As part of the sale, we divested the Canadian NGL Business, which included substantially all of our NGL assets; the NGL assets that we retained are located in the United States. The divestiture aligns with management’s strategy to focus on its crude oil operations. Prior to its classification as held for sale and presentation as discontinued operations, the Canadian NGL Business was part of our NGL reportable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we entered into a forward currency instrument to hedge currency exchange risk associated with proceeds from the sale of our Canadian NGL Business. See Note 8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of the Canadian NGL Business divestiture, we and Keyera entered into certain agreements,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tax matters agreement that governs our and Keyera’s tax rights and obligations after closing. We have recognized a liability of approximately $62 million related to our obligation to indemnify Keyera against any exposure to certain tax assessments by the Canadian tax authorities against PMC ULC, which is reflected within “Current liabilities of discontinued operations” on our Condensed Consolidated Balance Sheet;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We have recognized a liability of approximately $15 million for the value of the agreement, based on contracts transferred and market conditions at closing, which is reflected within “Current liabilities of discontinued operations” on our Condensed Consolidated Balance Sheet. This agreement was settled and terminated for $15 million in July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completed certain planning and restructuring activities within our organizational structure in connection with the Canadian NGL Business divestiture. In the first quarter of 2026, PMC ULC contributed its crude oil assets to a newly formed, wholly-owned subsidiary, PCLP. While this transaction was among entities under common control and recorded at a carry-over basis under GAAP, the applicable Canadian tax law recognizes the transaction at fair value, resulting in a new tax basis to PCLP as of the date of the contribution by PMC ULC. These activities created current tax expense of approximately $311 million as a result of basis recapture and capital gains taxed at the applicable rates and withholding taxes on distributions. This also created a partially offsetting $217 million deferred tax benefit primarily resulting from the new tax basis in the assets received by PCLP for the six months ended June 30, 2026. Since the transaction relates to our crude oil business, the tax impacts are presented in “Current income tax expense from continuing operations” and “Deferred income tax (expense)/benefit from continuing operations,” respectively, on our Condensed Consolidated Statements of Operations. Further, we recorded current income tax expense from discontinued operations of $82 million during the six months ended June 30, 2026. As of June 30, 2026, a related liability of $77 million was included in “Current liabilities of discontinued operations” on our Condensed Consolidated Balance Sheet. Management also determined, based on analysis provided by external tax advisors, that there were no liabilities for uncertain tax positions resulting from the restructuring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determined that in conjunction with entering into the SPA, the operations of the Canadian NGL Business met the criteria for classification as held for sale and for discontinued operations reporting, as the sale represented a strategic shift that had a major effect on our operations and financial results. Depreciation and amortization on the long-lived assets of the Canadian NGL Business disposal group ceased upon meeting the criteria to be classified as assets held for sale. The Canadian NGL Business disposal group was recorded at its historical carrying value, as the fair value of the disposal group, less estimated costs to sell, was greater than the carrying value of the Canadian NGL Business disposal group. Upon the completion of the divestiture on May 12, 2026, we derecognized all assets and liabilities of the Canadian NGL Business. We recognized a gain on sale of approximately $1.637 billion and $1.605 billion for the three and six months ended June 30, 2026, respectively, which is reflected within income from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major classes of assets and liabilities of discontinued operations (in millions):</w:t>
      </w:r>
    </w:p>
    <w:p>
      <w:pPr>
        <w:pStyle w:val="TextBody"/>
        <w:bidi w:val="0"/>
        <w:spacing w:before="0" w:after="0"/>
        <w:jc w:val="left"/>
        <w:rPr/>
      </w:pPr>
      <w:r>
        <w:rPr/>
      </w:r>
    </w:p>
    <w:tbl>
      <w:tblPr>
        <w:tblW w:w="6692" w:type="dxa"/>
        <w:jc w:val="left"/>
        <w:tblInd w:w="0" w:type="dxa"/>
        <w:tblLayout w:type="fixed"/>
        <w:tblCellMar>
          <w:top w:w="28" w:type="dxa"/>
          <w:left w:w="28" w:type="dxa"/>
          <w:bottom w:w="28" w:type="dxa"/>
          <w:right w:w="28" w:type="dxa"/>
        </w:tblCellMar>
      </w:tblPr>
      <w:tblGrid>
        <w:gridCol w:w="1599"/>
        <w:gridCol w:w="1411"/>
        <w:gridCol w:w="1429"/>
        <w:gridCol w:w="211"/>
        <w:gridCol w:w="466"/>
        <w:gridCol w:w="109"/>
        <w:gridCol w:w="109"/>
        <w:gridCol w:w="109"/>
        <w:gridCol w:w="109"/>
        <w:gridCol w:w="245"/>
        <w:gridCol w:w="716"/>
        <w:gridCol w:w="179"/>
      </w:tblGrid>
      <w:tr>
        <w:trPr/>
        <w:tc>
          <w:tcPr>
            <w:tcW w:w="159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 of discontinued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and equipment, net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right-of-use assets,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assets of discontinued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 of discontinued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liabilities of discontinued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net of accumulated depreciation of $876 million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line items comprising income from discontinued operations before tax to income from discontinued operations, net of tax (in millions):</w:t>
      </w:r>
    </w:p>
    <w:p>
      <w:pPr>
        <w:pStyle w:val="TextBody"/>
        <w:bidi w:val="0"/>
        <w:spacing w:before="0" w:after="0"/>
        <w:jc w:val="left"/>
        <w:rPr/>
      </w:pPr>
      <w:r>
        <w:rPr/>
      </w:r>
    </w:p>
    <w:tbl>
      <w:tblPr>
        <w:tblW w:w="8475" w:type="dxa"/>
        <w:jc w:val="left"/>
        <w:tblInd w:w="0" w:type="dxa"/>
        <w:tblLayout w:type="fixed"/>
        <w:tblCellMar>
          <w:top w:w="28" w:type="dxa"/>
          <w:left w:w="28" w:type="dxa"/>
          <w:bottom w:w="28" w:type="dxa"/>
          <w:right w:w="28" w:type="dxa"/>
        </w:tblCellMar>
      </w:tblPr>
      <w:tblGrid>
        <w:gridCol w:w="1450"/>
        <w:gridCol w:w="1275"/>
        <w:gridCol w:w="1280"/>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asset sales and 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before tax</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disaggregate our revenues by segment and type of activity. These categories depict how the nature, amount, timing and uncertainty of revenues and cash flows are affected by economic factors.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Revenues from Contracts with Customers.</w:t>
      </w:r>
      <w:r>
        <w:rPr>
          <w:color w:val="000000"/>
        </w:rPr>
        <w:t xml:space="preserve"> </w:t>
      </w:r>
      <w:r>
        <w:rPr>
          <w:rFonts w:ascii="Times New Roman;serif" w:hAnsi="Times New Roman;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831"/>
        <w:gridCol w:w="1588"/>
        <w:gridCol w:w="15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684" w:type="dxa"/>
        <w:jc w:val="left"/>
        <w:tblInd w:w="0" w:type="dxa"/>
        <w:tblLayout w:type="fixed"/>
        <w:tblCellMar>
          <w:top w:w="28" w:type="dxa"/>
          <w:left w:w="28" w:type="dxa"/>
          <w:bottom w:w="28" w:type="dxa"/>
          <w:right w:w="28" w:type="dxa"/>
        </w:tblCellMar>
      </w:tblPr>
      <w:tblGrid>
        <w:gridCol w:w="1785"/>
        <w:gridCol w:w="1572"/>
        <w:gridCol w:w="1577"/>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NGL segment revenues from contracts with customers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NGL segment revenues from contracts with customers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Sales Revenues.</w:t>
      </w:r>
      <w:r>
        <w:rPr>
          <w:color w:val="000000"/>
        </w:rPr>
        <w:t xml:space="preserve"> </w:t>
      </w:r>
      <w:r>
        <w:rPr>
          <w:rFonts w:ascii="Times New Roman;serif" w:hAnsi="Times New Roman;serif"/>
          <w:b w:val="false"/>
          <w:color w:val="000000"/>
          <w:sz w:val="20"/>
        </w:rPr>
        <w:t>Revenues from sales of crude oil and NGL are recognized at the time title to the product sold transfers to the purchaser, which occurs upon delivery of the product to the purchaser or its designee. The consideration received under these contracts is variable based on commodity prices. Inventory exchanges under buy/sell transactions are excluded from sales revenues in our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Transportation Revenues.</w:t>
      </w:r>
      <w:r>
        <w:rPr>
          <w:color w:val="000000"/>
        </w:rPr>
        <w:t xml:space="preserve"> </w:t>
      </w:r>
      <w:r>
        <w:rPr>
          <w:rFonts w:ascii="Times New Roman;serif" w:hAnsi="Times New Roman;serif"/>
          <w:b w:val="false"/>
          <w:color w:val="000000"/>
          <w:sz w:val="20"/>
        </w:rPr>
        <w:t xml:space="preserve">Transportation revenues include revenues from transporting crude oil on pipelines and trucks. Revenues from pipeline 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Terminalling, Storage and Other Revenues.</w:t>
      </w:r>
      <w:r>
        <w:rPr>
          <w:color w:val="000000"/>
        </w:rPr>
        <w:t xml:space="preserve"> </w:t>
      </w:r>
      <w:r>
        <w:rPr>
          <w:rFonts w:ascii="Times New Roman;serif" w:hAnsi="Times New Roman;serif"/>
          <w:b w:val="false"/>
          <w:color w:val="000000"/>
          <w:sz w:val="20"/>
        </w:rPr>
        <w:t>Revenues in this category include (i) fees that are generated when we receive liquids from one 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Reconciliation to Total Revenues of Reportable Segments. </w:t>
      </w:r>
      <w:r>
        <w:rPr>
          <w:rFonts w:ascii="Times New Roman;serif" w:hAnsi="Times New Roman;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Condensed Consolidated Statements of Operations (in millions):</w:t>
      </w:r>
    </w:p>
    <w:p>
      <w:pPr>
        <w:pStyle w:val="TextBody"/>
        <w:bidi w:val="0"/>
        <w:spacing w:before="0" w:after="0"/>
        <w:ind w:left="0" w:right="0" w:firstLine="720"/>
        <w:jc w:val="left"/>
        <w:rPr/>
      </w:pPr>
      <w:r>
        <w:rPr/>
      </w:r>
    </w:p>
    <w:tbl>
      <w:tblPr>
        <w:tblW w:w="7163" w:type="dxa"/>
        <w:jc w:val="left"/>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361"/>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7163" w:type="dxa"/>
        <w:jc w:val="left"/>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361"/>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Minimum Volume Commitments. </w:t>
      </w:r>
      <w:r>
        <w:rPr>
          <w:rFonts w:ascii="Times New Roman;serif" w:hAnsi="Times New Roman;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429"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23"/>
        <w:gridCol w:w="382"/>
        <w:gridCol w:w="115"/>
        <w:gridCol w:w="109"/>
        <w:gridCol w:w="109"/>
        <w:gridCol w:w="109"/>
        <w:gridCol w:w="331"/>
        <w:gridCol w:w="567"/>
        <w:gridCol w:w="242"/>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firstLine="720"/>
        <w:jc w:val="left"/>
        <w:rPr/>
      </w:pPr>
      <w:r>
        <w:rPr>
          <w:rFonts w:ascii="Times New Roman;serif" w:hAnsi="Times New Roman;serif"/>
          <w:b w:val="false"/>
          <w:i/>
          <w:color w:val="000000"/>
          <w:sz w:val="20"/>
        </w:rPr>
        <w:t>Contract Balances</w:t>
      </w:r>
      <w:r>
        <w:rPr>
          <w:rFonts w:ascii="Times New Roman;serif" w:hAnsi="Times New Roman;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7" w:type="dxa"/>
        <w:jc w:val="left"/>
        <w:tblInd w:w="0" w:type="dxa"/>
        <w:tblLayout w:type="fixed"/>
        <w:tblCellMar>
          <w:top w:w="28" w:type="dxa"/>
          <w:left w:w="28" w:type="dxa"/>
          <w:bottom w:w="28" w:type="dxa"/>
          <w:right w:w="28" w:type="dxa"/>
        </w:tblCellMar>
      </w:tblPr>
      <w:tblGrid>
        <w:gridCol w:w="977"/>
        <w:gridCol w:w="859"/>
        <w:gridCol w:w="864"/>
        <w:gridCol w:w="109"/>
        <w:gridCol w:w="109"/>
        <w:gridCol w:w="109"/>
        <w:gridCol w:w="452"/>
        <w:gridCol w:w="775"/>
        <w:gridCol w:w="33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 represents a contract liability that was originally recognized under ASC 606. The underlying contract was subsequently renegotiated and ceased to meet the criteria in ASC 606 for a contract with a customer.</w:t>
      </w:r>
    </w:p>
    <w:p>
      <w:pPr>
        <w:pStyle w:val="TextBody"/>
        <w:bidi w:val="0"/>
        <w:spacing w:before="60" w:after="283"/>
        <w:ind w:left="0" w:right="0" w:hanging="36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Remaining Performance Obligations</w:t>
      </w:r>
      <w:r>
        <w:rPr>
          <w:rFonts w:ascii="Times New Roman;serif" w:hAnsi="Times New Roman;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2026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29"/>
        <w:gridCol w:w="962"/>
        <w:gridCol w:w="965"/>
        <w:gridCol w:w="289"/>
        <w:gridCol w:w="642"/>
        <w:gridCol w:w="1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54"/>
        <w:gridCol w:w="744"/>
        <w:gridCol w:w="190"/>
      </w:tblGrid>
      <w:tr>
        <w:trPr/>
        <w:tc>
          <w:tcPr>
            <w:tcW w:w="12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 and Thereafter</w:t>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Pipeline revenues supported by minimum volume commitments and capacity agreements </w:t>
            </w:r>
            <w:r>
              <w:rPr>
                <w:rFonts w:ascii="Times New Roman;serif" w:hAnsi="Times New Roman;serif"/>
                <w:b w:val="false"/>
                <w:color w:val="000000"/>
                <w:sz w:val="13"/>
              </w:rPr>
              <w:t>(1)</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 agreement revenues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Calculated as volumes committed under contracts multiplied by the current applicable tariff rate.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Contracts within the scope of ASC Topic 842, </w:t>
      </w:r>
      <w:r>
        <w:rPr>
          <w:rFonts w:ascii="Times New Roman;serif" w:hAnsi="Times New Roman;serif"/>
          <w:b w:val="false"/>
          <w:i/>
          <w:color w:val="000000"/>
          <w:sz w:val="20"/>
        </w:rPr>
        <w:t>Leases</w:t>
      </w:r>
      <w:r>
        <w:rPr>
          <w:rFonts w:ascii="Times New Roman;serif" w:hAnsi="Times New Roman;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Contracts within the scope of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trade accounts receivable from revenues from contracts with customers to total “Trade accounts receivable and other receivables, net” as presented on our Condensed Consolidated Balance Sheets (in millions):</w:t>
      </w:r>
    </w:p>
    <w:tbl>
      <w:tblPr>
        <w:tblW w:w="8882" w:type="dxa"/>
        <w:jc w:val="left"/>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trade accounts receivable and other receivables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4—Net Income Per Class A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 is determined by dividing net income attributable to PAGP from continuing operations and net income attributable to PAGP from discontinued operations by the weighted average number of Class A shares outstanding during the period. Our Class B and Class C shares do not share in the earnings of the Partnership; accordingly, basic and diluted net income per Class B and Class C share has not been presented.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 is determined by dividing net income attributable to PAGP from continuing operations and net income attributable to PAGP from discontinued operations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2025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2025 Annual Report on Form 10-K for information regarding PAGP LTIP awards.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 weighted-average basis, the possible exchange of 35 million AAP units did not result in dilution for net income/(loss) per Class A share from continuing operations for all periods presented or from discontinued operations for the three and six months ended June 30, 2026 and for the three months ended June 30, 2025. The possible exchange was dilutive for net income per Class A share from discontinued operations for the six months ended June 30, 2025. Accordingly, the effect of the possible exchange of AAP units was included in the computation of diluted net income per Class A share from discontinued operations for the six months ended June 30, 2025 and excluded from the calculation for all other periods. For the three and six months ended June 30, 2026, our PAGP LTIP awards were dilutive for discontinued operations only. For the three and six months ended June 30, 2025, our PAGP LTIP awards were dilutive for both continuing and discontinued operations. Accordingly, the effect of the LTIP awards were only included in the computation of diluted weighted-average Class A shares outstanding for those periods when the awards were dilutive.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Class A share (in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37"/>
        <w:gridCol w:w="1725"/>
        <w:gridCol w:w="1731"/>
        <w:gridCol w:w="219"/>
        <w:gridCol w:w="573"/>
        <w:gridCol w:w="113"/>
        <w:gridCol w:w="113"/>
        <w:gridCol w:w="113"/>
        <w:gridCol w:w="113"/>
        <w:gridCol w:w="219"/>
        <w:gridCol w:w="531"/>
        <w:gridCol w:w="113"/>
        <w:gridCol w:w="109"/>
        <w:gridCol w:w="109"/>
        <w:gridCol w:w="109"/>
        <w:gridCol w:w="211"/>
        <w:gridCol w:w="550"/>
        <w:gridCol w:w="109"/>
        <w:gridCol w:w="109"/>
        <w:gridCol w:w="109"/>
        <w:gridCol w:w="109"/>
        <w:gridCol w:w="211"/>
        <w:gridCol w:w="511"/>
        <w:gridCol w:w="159"/>
      </w:tblGrid>
      <w:tr>
        <w:trPr/>
        <w:tc>
          <w:tcPr>
            <w:tcW w:w="223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Class A Share</w:t>
            </w:r>
          </w:p>
        </w:tc>
        <w:tc>
          <w:tcPr>
            <w:tcW w:w="9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 from continuing operations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Income/(Loss) per Class A Share: </w:t>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Class A Share</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 from continuing operations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net income attributable to PAGP resulting from assumed exchange of AAP Management Units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 including incremental net income from assumed exchange of AAP Management Units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weighted average Class A shares outstanding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 resulting from assumed exchange of AAP Management Units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Income/(Loss) per Class A Share:</w:t>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linefill and long-term inventory consisted of the following (barrels in thousands and carrying value in millions):</w:t>
      </w:r>
    </w:p>
    <w:p>
      <w:pPr>
        <w:pStyle w:val="TextBody"/>
        <w:bidi w:val="0"/>
        <w:spacing w:before="0" w:after="0"/>
        <w:jc w:val="left"/>
        <w:rPr/>
      </w:pPr>
      <w:r>
        <w:rPr/>
      </w:r>
    </w:p>
    <w:tbl>
      <w:tblPr>
        <w:tblW w:w="10807" w:type="dxa"/>
        <w:jc w:val="left"/>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w:t>
            </w:r>
          </w:p>
        </w:tc>
        <w:tc>
          <w:tcPr>
            <w:tcW w:w="9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828"/>
        <w:gridCol w:w="2488"/>
        <w:gridCol w:w="2491"/>
        <w:gridCol w:w="211"/>
        <w:gridCol w:w="616"/>
        <w:gridCol w:w="109"/>
        <w:gridCol w:w="109"/>
        <w:gridCol w:w="109"/>
        <w:gridCol w:w="109"/>
        <w:gridCol w:w="220"/>
        <w:gridCol w:w="753"/>
        <w:gridCol w:w="162"/>
      </w:tblGrid>
      <w:tr>
        <w:trPr/>
        <w:tc>
          <w:tcPr>
            <w:tcW w:w="282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DEBT</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pPr>
            <w:r>
              <w:rPr>
                <w:rFonts w:ascii="Times New Roman;serif" w:hAnsi="Times New Roman;serif"/>
                <w:b w:val="false"/>
                <w:color w:val="000000"/>
                <w:sz w:val="20"/>
              </w:rPr>
              <w:t xml:space="preserve">PAA commercial paper notes, bearing a weighted-average interest rate of 3.9%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PAA senior notes, net of unamortized discounts and debt issuance costs of $60 and $65, respectively</w:t>
            </w:r>
            <w:r>
              <w:rPr>
                <w:color w:val="000000"/>
              </w:rPr>
              <w:t xml:space="preserve">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PAA commercial paper notes, bearing a weighted-average interest rate of 3.9%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PAA term loan, net of debt issuance costs of $1, and bearing a weighted-average interest rate of 5.0%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erif" w:hAnsi="Times New Roman;serif"/>
                <w:b w:val="false"/>
                <w:color w:val="000000"/>
                <w:sz w:val="20"/>
              </w:rPr>
              <w:t xml:space="preserve">Total debt </w:t>
            </w:r>
            <w:r>
              <w:rPr>
                <w:rFonts w:ascii="Times New Roman;serif" w:hAnsi="Times New Roman;serif"/>
                <w:b w:val="false"/>
                <w:color w:val="000000"/>
                <w:sz w:val="13"/>
              </w:rPr>
              <w:t>(4)</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classified these PAA commercial paper notes as short-term as of December 31, 2025, as these notes were primarily designated as working capital borrowings, were required to be repaid within one year and were primarily for hedged inventory and NYMEX and ICE margin deposits.</w:t>
      </w:r>
    </w:p>
    <w:p>
      <w:pPr>
        <w:pStyle w:val="TextBody"/>
        <w:bidi w:val="0"/>
        <w:spacing w:lineRule="auto" w:line="288" w:before="12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As of December 31, 2025, PAA classified its $750 million, 4.50% senior notes due December 2026 as long-term based on its ability and intent to refinance the notes on a long-term basis at that time. PAA redeemed these senior notes on June 25, 2026.</w:t>
      </w:r>
    </w:p>
    <w:p>
      <w:pPr>
        <w:pStyle w:val="TextBody"/>
        <w:bidi w:val="0"/>
        <w:spacing w:lineRule="auto" w:line="288" w:before="12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As of December 31, 2025, PAA classified a portion of its commercial paper notes as long-term based on its ability and intent to refinance such amounts on a long-term basis.</w:t>
      </w:r>
    </w:p>
    <w:p>
      <w:pPr>
        <w:pStyle w:val="TextBody"/>
        <w:bidi w:val="0"/>
        <w:spacing w:lineRule="auto" w:line="288" w:before="12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PAA’s fixed-rate senior notes had a face value of approximately $8.4 billion and $9.2 billion at June 30, 2026 and December 31, 2025, respectively. We estimated the aggregate fair value of these notes as of June 30, 2026 and December 31, 2025 to be approximately $8.2 billion and $9.0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and term loan approximate fair value as interest rates reflect current market rates. The fair value estimates for PAA’s senior notes, commercial paper program and term loan are based upon observable market data and are classified in Level 2 of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2026, PAA entered into a new credit agreement that provides for a senior unsecured revolving credit facility with a committed borrowing capacity of $2.7 billion, of which $800 million is available for the issuance of letters of credit and $225 million is available for the swing line loans. The new credit agreement replaced PAA’s previous credit agreements that provided for a $1.35 billion senior secured hedged inventory facility and a $1.35 billion senior unsecured revolving credit facility, which were scheduled to mature in August 2027 and August 2029, respectively. Subject to obtaining additional or increased lender commitments and other terms and conditions, the committed capacity may be increased to $4.0 billion. Borrowings accrue interest based, at our selection, on certain floating rate indices, in each case, plus an applicable margin. The new credit agreement has an initial maturity date of June 2031 and provides for one or more one-year extensions, subject to applicable approval and other terms and conditions. The covenants and events of default under this new credit agreement remain substantially unchanged from the previous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 closing of the new credit agreement in June 2026, we repaid in full and terminated all outstanding obligations under the $1.35 billion senior secured hedged inventory facility and $1.35 billion senior unsecured revolving credit facility. See Note 11 to our Consolidated Financial Statements included in Part IV of our 2025 Annual Report on Form 10-K for additional information regarding these agreements.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Term Loan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26, 2025, PAA entered into a term loan agreement that provided for a $1.1 billion senior unsecured term loan. The closing of the Canadian NGL Business divestiture triggered mandatory prepayment of all amounts outstanding under the term loan agreement. See Note 2 for additional information about the Canadian NGL Business divestiture. Effective May 14, 2026, PAA terminated the term loan agreement and repaid all amounts outstanding thereunder.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25, 2026, PAA redeemed its $750 million, 4.50% senior notes that were due December 2026. PAA repaid these senior notes with proceeds from the sale of the Canadian NGL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borrowings under the PAA credit facilities and commercial paper program for the six months ended June 30, 2026 and 2025 were approximately $37.1 billion and $27.6 billion, respectively. Total repayments under the PAA credit facilities and the PAA commercial paper program were approximately $38.1 billion and $27.5 billion for the six months ended June 30, 2026 and 2025,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Additionally, we issue letters of credit to support insurance programs, derivative transactions, including hedging-related margin obligations, and construction activities. At June 30, 2026 and December 31, 2025, we had outstanding letters of credit of $63 million and $95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activity for our Class A, Class B and Class C shares: </w:t>
      </w:r>
    </w:p>
    <w:p>
      <w:pPr>
        <w:pStyle w:val="TextBody"/>
        <w:bidi w:val="0"/>
        <w:spacing w:before="0" w:after="0"/>
        <w:jc w:val="left"/>
        <w:rPr/>
      </w:pPr>
      <w:r>
        <w:rPr/>
      </w:r>
    </w:p>
    <w:tbl>
      <w:tblPr>
        <w:tblW w:w="8330" w:type="dxa"/>
        <w:jc w:val="left"/>
        <w:tblInd w:w="0" w:type="dxa"/>
        <w:tblLayout w:type="fixed"/>
        <w:tblCellMar>
          <w:top w:w="28" w:type="dxa"/>
          <w:left w:w="28" w:type="dxa"/>
          <w:bottom w:w="28" w:type="dxa"/>
          <w:right w:w="28" w:type="dxa"/>
        </w:tblCellMar>
      </w:tblPr>
      <w:tblGrid>
        <w:gridCol w:w="1065"/>
        <w:gridCol w:w="935"/>
        <w:gridCol w:w="940"/>
        <w:gridCol w:w="593"/>
        <w:gridCol w:w="593"/>
        <w:gridCol w:w="391"/>
        <w:gridCol w:w="109"/>
        <w:gridCol w:w="109"/>
        <w:gridCol w:w="109"/>
        <w:gridCol w:w="540"/>
        <w:gridCol w:w="541"/>
        <w:gridCol w:w="386"/>
        <w:gridCol w:w="109"/>
        <w:gridCol w:w="109"/>
        <w:gridCol w:w="109"/>
        <w:gridCol w:w="593"/>
        <w:gridCol w:w="593"/>
        <w:gridCol w:w="506"/>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 Shares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197,904,124 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35,096,306 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530,932,175 </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50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197,904,124 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35,096,306 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530,943,161 </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34,777 </w:t>
            </w:r>
          </w:p>
        </w:tc>
        <w:tc>
          <w:tcPr>
            <w:tcW w:w="50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197,904,124 </w:t>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35,096,306 </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530,977,938 </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57"/>
        <w:gridCol w:w="1630"/>
        <w:gridCol w:w="1639"/>
        <w:gridCol w:w="593"/>
        <w:gridCol w:w="593"/>
        <w:gridCol w:w="294"/>
        <w:gridCol w:w="109"/>
        <w:gridCol w:w="109"/>
        <w:gridCol w:w="109"/>
        <w:gridCol w:w="540"/>
        <w:gridCol w:w="541"/>
        <w:gridCol w:w="291"/>
        <w:gridCol w:w="109"/>
        <w:gridCol w:w="109"/>
        <w:gridCol w:w="109"/>
        <w:gridCol w:w="593"/>
        <w:gridCol w:w="593"/>
        <w:gridCol w:w="387"/>
      </w:tblGrid>
      <w:tr>
        <w:trPr/>
        <w:tc>
          <w:tcPr>
            <w:tcW w:w="1857"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 Shares</w:t>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197,465,699 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35,390,231 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542,004,838 </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Exchange Right exercises </w:t>
            </w:r>
            <w:r>
              <w:rPr>
                <w:rFonts w:ascii="Times New Roman;serif" w:hAnsi="Times New Roman;serif"/>
                <w:b w:val="false"/>
                <w:color w:val="000000"/>
                <w:sz w:val="13"/>
              </w:rPr>
              <w:t>(1)</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277,925 </w:t>
            </w:r>
          </w:p>
        </w:tc>
        <w:tc>
          <w:tcPr>
            <w:tcW w:w="29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(277,925)</w:t>
            </w:r>
          </w:p>
        </w:tc>
        <w:tc>
          <w:tcPr>
            <w:tcW w:w="29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 by a subsidiary</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(12,678,560)</w:t>
            </w:r>
          </w:p>
        </w:tc>
        <w:tc>
          <w:tcPr>
            <w:tcW w:w="3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197,743,624 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35,112,306 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529,331,928 </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cancellation of common units by a subsidiary under the Common Equity Repurchase Program</w:t>
            </w:r>
          </w:p>
        </w:tc>
        <w:tc>
          <w:tcPr>
            <w:tcW w:w="1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(476,695)</w:t>
            </w:r>
          </w:p>
        </w:tc>
        <w:tc>
          <w:tcPr>
            <w:tcW w:w="38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197,743,624 </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35,112,306 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528,860,430 </w:t>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12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See Note 12 to our Consolidated Financial Statements included in Part IV of our 2025 Annual Report on Form 10-K for information regarding conversions of AAP Management Units, Exchange Rights and Redemption Rights.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Distributions to Our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distributions to our Class A shareholders paid during or pertaining to the first six months of 2026 (in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9"/>
        <w:gridCol w:w="614"/>
        <w:gridCol w:w="616"/>
        <w:gridCol w:w="109"/>
        <w:gridCol w:w="109"/>
        <w:gridCol w:w="109"/>
        <w:gridCol w:w="432"/>
        <w:gridCol w:w="394"/>
        <w:gridCol w:w="396"/>
        <w:gridCol w:w="109"/>
        <w:gridCol w:w="109"/>
        <w:gridCol w:w="109"/>
        <w:gridCol w:w="907"/>
        <w:gridCol w:w="907"/>
        <w:gridCol w:w="912"/>
        <w:gridCol w:w="109"/>
        <w:gridCol w:w="109"/>
        <w:gridCol w:w="109"/>
        <w:gridCol w:w="381"/>
        <w:gridCol w:w="653"/>
        <w:gridCol w:w="198"/>
        <w:gridCol w:w="109"/>
        <w:gridCol w:w="109"/>
        <w:gridCol w:w="109"/>
        <w:gridCol w:w="109"/>
        <w:gridCol w:w="109"/>
        <w:gridCol w:w="109"/>
        <w:gridCol w:w="282"/>
        <w:gridCol w:w="966"/>
        <w:gridCol w:w="213"/>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Shareholders</w:t>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shareholders of record at the close of business on the applicable Record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Noncontrolling Interests in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noncontrolling interests in our subsidiaries consisted of (i) limited partner interests in PAA including a 69% interest PAA’s common units and PAA’s Series A preferred units combined and 100% of PAA’s Series B preferred units, (ii) an approximate 15% limited partner interest in AAP, (iii) a 35% interest in Plains Oryx Permian Basin LLC (the “Permian JV”), (iv) a 30% interest in Cactus II Pipeline LLC (“Cactus II”) and (v) a 33% interest in Red River Pipeline Company LLC (“Red River”).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Subsidiary Distributions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Series A Preferred Unit Distributions</w:t>
      </w:r>
      <w:r>
        <w:rPr>
          <w:rFonts w:ascii="Times New Roman;serif" w:hAnsi="Times New Roman;serif"/>
          <w:b w:val="false"/>
          <w:color w:val="000000"/>
          <w:sz w:val="20"/>
        </w:rPr>
        <w:t>. Distributions on PAA’s Series A preferred units accumulate and are payable quarterly within 45 days following the end of each quarter. See Note 12 to our Consolidated Financial Statements included in Part IV of our 2025 Annual Report on Form 10-K for additional information regarding the PAA Series A preferred unit distributions. The following table details distributions to PAA’s Series A preferred unitholders paid during or pertaining to the first six months of 2026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7"/>
        <w:gridCol w:w="612"/>
        <w:gridCol w:w="614"/>
        <w:gridCol w:w="109"/>
        <w:gridCol w:w="109"/>
        <w:gridCol w:w="109"/>
        <w:gridCol w:w="430"/>
        <w:gridCol w:w="391"/>
        <w:gridCol w:w="393"/>
        <w:gridCol w:w="109"/>
        <w:gridCol w:w="109"/>
        <w:gridCol w:w="109"/>
        <w:gridCol w:w="898"/>
        <w:gridCol w:w="898"/>
        <w:gridCol w:w="902"/>
        <w:gridCol w:w="109"/>
        <w:gridCol w:w="109"/>
        <w:gridCol w:w="109"/>
        <w:gridCol w:w="380"/>
        <w:gridCol w:w="651"/>
        <w:gridCol w:w="197"/>
        <w:gridCol w:w="121"/>
        <w:gridCol w:w="121"/>
        <w:gridCol w:w="121"/>
        <w:gridCol w:w="121"/>
        <w:gridCol w:w="121"/>
        <w:gridCol w:w="121"/>
        <w:gridCol w:w="318"/>
        <w:gridCol w:w="886"/>
        <w:gridCol w:w="231"/>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PAA Series A Preferred Unitholders</w:t>
            </w:r>
          </w:p>
        </w:tc>
      </w:tr>
      <w:tr>
        <w:trPr/>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Distribution</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August 14, 2026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Payable to unitholders of record at the close of business on the applicable Record Date. </w:t>
      </w:r>
    </w:p>
    <w:p>
      <w:pPr>
        <w:pStyle w:val="TextBody"/>
        <w:bidi w:val="0"/>
        <w:spacing w:lineRule="auto" w:line="288" w:before="0" w:after="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At June 30, 2026, such amount was accrued as distributions payable in “Other current liabilities” on our Condensed Consolidated Balance Sheet.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Series B Preferred Unit Distributions</w:t>
      </w:r>
      <w:r>
        <w:rPr>
          <w:rFonts w:ascii="Times New Roman;serif" w:hAnsi="Times New Roman;serif"/>
          <w:b w:val="false"/>
          <w:color w:val="000000"/>
          <w:sz w:val="20"/>
        </w:rPr>
        <w:t>. Distributions on PAA’s Series B preferred units accumulate and are payable quarterly in arrears on the 15th day of February, May, August and November (or the immediately succeeding Business Day). See Note 12 to our Consolidated Financial Statements included in Part IV of our 2025 Annual Report on Form 10-K for additional information regarding the PAA Series B preferred unit distributions. The following table details distributions paid or to be paid to PAA’s Series B preferred unitholders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2"/>
        <w:gridCol w:w="608"/>
        <w:gridCol w:w="610"/>
        <w:gridCol w:w="109"/>
        <w:gridCol w:w="109"/>
        <w:gridCol w:w="109"/>
        <w:gridCol w:w="457"/>
        <w:gridCol w:w="378"/>
        <w:gridCol w:w="379"/>
        <w:gridCol w:w="109"/>
        <w:gridCol w:w="109"/>
        <w:gridCol w:w="109"/>
        <w:gridCol w:w="907"/>
        <w:gridCol w:w="907"/>
        <w:gridCol w:w="911"/>
        <w:gridCol w:w="109"/>
        <w:gridCol w:w="109"/>
        <w:gridCol w:w="109"/>
        <w:gridCol w:w="384"/>
        <w:gridCol w:w="658"/>
        <w:gridCol w:w="199"/>
        <w:gridCol w:w="120"/>
        <w:gridCol w:w="120"/>
        <w:gridCol w:w="120"/>
        <w:gridCol w:w="120"/>
        <w:gridCol w:w="120"/>
        <w:gridCol w:w="120"/>
        <w:gridCol w:w="314"/>
        <w:gridCol w:w="871"/>
        <w:gridCol w:w="229"/>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PAA Series B Preferred Unitholders</w:t>
            </w:r>
          </w:p>
        </w:tc>
      </w:tr>
      <w:tr>
        <w:trPr/>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Cash Distribution </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August 17, 2026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 through August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15, 2026 through 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15, 2025 through February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unitholders of record at the close of business on the applicable Record Date.</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At June 30, 2026, approximately $8 million of accrued distributions payable to PAA’s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Common Unit Distributions</w:t>
      </w:r>
      <w:r>
        <w:rPr>
          <w:rFonts w:ascii="Times New Roman;serif" w:hAnsi="Times New Roman;serif"/>
          <w:b w:val="false"/>
          <w:color w:val="000000"/>
          <w:sz w:val="20"/>
        </w:rPr>
        <w:t>. The following table details distributions to PAA’s common unitholders paid during or pertaining to the first six months of 2026 (in millions, except per unit data):</w:t>
      </w:r>
    </w:p>
    <w:tbl>
      <w:tblPr>
        <w:tblW w:w="10205" w:type="dxa"/>
        <w:jc w:val="left"/>
        <w:tblInd w:w="0" w:type="dxa"/>
        <w:tblLayout w:type="fixed"/>
        <w:tblCellMar>
          <w:top w:w="28" w:type="dxa"/>
          <w:left w:w="28" w:type="dxa"/>
          <w:bottom w:w="28" w:type="dxa"/>
          <w:right w:w="28" w:type="dxa"/>
        </w:tblCellMar>
      </w:tblPr>
      <w:tblGrid>
        <w:gridCol w:w="631"/>
        <w:gridCol w:w="554"/>
        <w:gridCol w:w="556"/>
        <w:gridCol w:w="109"/>
        <w:gridCol w:w="109"/>
        <w:gridCol w:w="109"/>
        <w:gridCol w:w="344"/>
        <w:gridCol w:w="255"/>
        <w:gridCol w:w="257"/>
        <w:gridCol w:w="109"/>
        <w:gridCol w:w="109"/>
        <w:gridCol w:w="109"/>
        <w:gridCol w:w="469"/>
        <w:gridCol w:w="469"/>
        <w:gridCol w:w="471"/>
        <w:gridCol w:w="109"/>
        <w:gridCol w:w="109"/>
        <w:gridCol w:w="109"/>
        <w:gridCol w:w="215"/>
        <w:gridCol w:w="476"/>
        <w:gridCol w:w="111"/>
        <w:gridCol w:w="111"/>
        <w:gridCol w:w="111"/>
        <w:gridCol w:w="111"/>
        <w:gridCol w:w="215"/>
        <w:gridCol w:w="368"/>
        <w:gridCol w:w="111"/>
        <w:gridCol w:w="109"/>
        <w:gridCol w:w="109"/>
        <w:gridCol w:w="109"/>
        <w:gridCol w:w="297"/>
        <w:gridCol w:w="656"/>
        <w:gridCol w:w="154"/>
        <w:gridCol w:w="109"/>
        <w:gridCol w:w="109"/>
        <w:gridCol w:w="109"/>
        <w:gridCol w:w="109"/>
        <w:gridCol w:w="109"/>
        <w:gridCol w:w="109"/>
        <w:gridCol w:w="250"/>
        <w:gridCol w:w="856"/>
        <w:gridCol w:w="195"/>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 Common Unit</w:t>
            </w:r>
          </w:p>
        </w:tc>
      </w:tr>
      <w:tr>
        <w:trPr/>
        <w:tc>
          <w:tcPr>
            <w:tcW w:w="1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PAA 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Public</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unitholders of record at the close of business on the applicable Record Date.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AAP Distributions</w:t>
      </w:r>
      <w:r>
        <w:rPr>
          <w:rFonts w:ascii="Times New Roman;serif" w:hAnsi="Times New Roman;serif"/>
          <w:b w:val="false"/>
          <w:color w:val="000000"/>
          <w:sz w:val="20"/>
        </w:rPr>
        <w:t>. The following table details the distributions to AAP’s partners paid during or pertaining to the first six months of 2026 from distributions received from PAA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49"/>
        <w:gridCol w:w="482"/>
        <w:gridCol w:w="485"/>
        <w:gridCol w:w="109"/>
        <w:gridCol w:w="109"/>
        <w:gridCol w:w="109"/>
        <w:gridCol w:w="404"/>
        <w:gridCol w:w="350"/>
        <w:gridCol w:w="352"/>
        <w:gridCol w:w="109"/>
        <w:gridCol w:w="109"/>
        <w:gridCol w:w="109"/>
        <w:gridCol w:w="769"/>
        <w:gridCol w:w="769"/>
        <w:gridCol w:w="773"/>
        <w:gridCol w:w="109"/>
        <w:gridCol w:w="109"/>
        <w:gridCol w:w="109"/>
        <w:gridCol w:w="471"/>
        <w:gridCol w:w="806"/>
        <w:gridCol w:w="244"/>
        <w:gridCol w:w="109"/>
        <w:gridCol w:w="109"/>
        <w:gridCol w:w="109"/>
        <w:gridCol w:w="211"/>
        <w:gridCol w:w="361"/>
        <w:gridCol w:w="109"/>
        <w:gridCol w:w="109"/>
        <w:gridCol w:w="109"/>
        <w:gridCol w:w="109"/>
        <w:gridCol w:w="414"/>
        <w:gridCol w:w="710"/>
        <w:gridCol w:w="311"/>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to AAP’s Partners</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Distribution</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Consolidated Joint Venture Distributions.</w:t>
      </w:r>
      <w:r>
        <w:rPr>
          <w:color w:val="000000"/>
        </w:rPr>
        <w:t xml:space="preserve"> </w:t>
      </w:r>
      <w:r>
        <w:rPr>
          <w:rFonts w:ascii="Times New Roman;serif" w:hAnsi="Times New Roman;serif"/>
          <w:b w:val="false"/>
          <w:color w:val="000000"/>
          <w:sz w:val="20"/>
        </w:rPr>
        <w:t>The following table details distributions paid to noncontrolling interests in consolidated joint ventures during the periods presented (in millions):</w:t>
      </w:r>
    </w:p>
    <w:p>
      <w:pPr>
        <w:pStyle w:val="TextBody"/>
        <w:bidi w:val="0"/>
        <w:spacing w:before="0" w:after="0"/>
        <w:jc w:val="left"/>
        <w:rPr/>
      </w:pPr>
      <w:r>
        <w:rPr/>
      </w:r>
    </w:p>
    <w:tbl>
      <w:tblPr>
        <w:tblW w:w="5317" w:type="dxa"/>
        <w:jc w:val="left"/>
        <w:tblInd w:w="0" w:type="dxa"/>
        <w:tblLayout w:type="fixed"/>
        <w:tblCellMar>
          <w:top w:w="28" w:type="dxa"/>
          <w:left w:w="28" w:type="dxa"/>
          <w:bottom w:w="28" w:type="dxa"/>
          <w:right w:w="28" w:type="dxa"/>
        </w:tblCellMar>
      </w:tblPr>
      <w:tblGrid>
        <w:gridCol w:w="375"/>
        <w:gridCol w:w="328"/>
        <w:gridCol w:w="331"/>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 JV</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Cactus II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 River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8—Derivatives and Risk Management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our operations, we purchase and sell commodities. We use derivatives to manage the associated risks and, in certain circumstances, to optimize profits. As of June 30, 2026,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net long position of 8.1 million barrels associated with our crude oil purchases, which will be unwound ratably through September 2026 to match monthly average pricing.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short time spread position of 2.1 million barrels, which hedges a portion of our anticipated crude oil lease gathering purchases through October 2026.</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crude oil basis spread position of 2.6 million barrels at multiple locations through March 2027.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short position of 7.8 million barrels through December 2027 related to anticipated net sales of crude oil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jc w:val="left"/>
        <w:rPr/>
      </w:pPr>
      <w:r>
        <w:rPr/>
      </w:r>
    </w:p>
    <w:tbl>
      <w:tblPr>
        <w:tblW w:w="8669" w:type="dxa"/>
        <w:jc w:val="left"/>
        <w:tblInd w:w="0" w:type="dxa"/>
        <w:tblLayout w:type="fixed"/>
        <w:tblCellMar>
          <w:top w:w="28" w:type="dxa"/>
          <w:left w:w="28" w:type="dxa"/>
          <w:bottom w:w="28" w:type="dxa"/>
          <w:right w:w="28" w:type="dxa"/>
        </w:tblCellMar>
      </w:tblPr>
      <w:tblGrid>
        <w:gridCol w:w="1686"/>
        <w:gridCol w:w="1485"/>
        <w:gridCol w:w="1493"/>
        <w:gridCol w:w="211"/>
        <w:gridCol w:w="361"/>
        <w:gridCol w:w="109"/>
        <w:gridCol w:w="109"/>
        <w:gridCol w:w="109"/>
        <w:gridCol w:w="109"/>
        <w:gridCol w:w="211"/>
        <w:gridCol w:w="436"/>
        <w:gridCol w:w="109"/>
        <w:gridCol w:w="109"/>
        <w:gridCol w:w="109"/>
        <w:gridCol w:w="109"/>
        <w:gridCol w:w="211"/>
        <w:gridCol w:w="466"/>
        <w:gridCol w:w="109"/>
        <w:gridCol w:w="109"/>
        <w:gridCol w:w="109"/>
        <w:gridCol w:w="109"/>
        <w:gridCol w:w="211"/>
        <w:gridCol w:w="436"/>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income/(loss) from commodity derivative activity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pStyle w:val="TextBody"/>
        <w:bidi w:val="0"/>
        <w:spacing w:before="0" w:after="0"/>
        <w:jc w:val="left"/>
        <w:rPr/>
      </w:pPr>
      <w:r>
        <w:rPr/>
      </w:r>
    </w:p>
    <w:tbl>
      <w:tblPr>
        <w:tblW w:w="4272" w:type="dxa"/>
        <w:jc w:val="left"/>
        <w:tblInd w:w="0" w:type="dxa"/>
        <w:tblLayout w:type="fixed"/>
        <w:tblCellMar>
          <w:top w:w="28" w:type="dxa"/>
          <w:left w:w="28" w:type="dxa"/>
          <w:bottom w:w="28" w:type="dxa"/>
          <w:right w:w="28" w:type="dxa"/>
        </w:tblCellMar>
      </w:tblPr>
      <w:tblGrid>
        <w:gridCol w:w="755"/>
        <w:gridCol w:w="663"/>
        <w:gridCol w:w="667"/>
        <w:gridCol w:w="223"/>
        <w:gridCol w:w="382"/>
        <w:gridCol w:w="115"/>
        <w:gridCol w:w="109"/>
        <w:gridCol w:w="109"/>
        <w:gridCol w:w="109"/>
        <w:gridCol w:w="331"/>
        <w:gridCol w:w="567"/>
        <w:gridCol w:w="24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margin</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Variation margin posted</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broker receivable</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jc w:val="left"/>
        <w:rPr/>
      </w:pPr>
      <w:r>
        <w:rPr/>
      </w:r>
    </w:p>
    <w:tbl>
      <w:tblPr>
        <w:tblW w:w="10297"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361"/>
        <w:gridCol w:w="109"/>
        <w:gridCol w:w="109"/>
        <w:gridCol w:w="109"/>
        <w:gridCol w:w="109"/>
        <w:gridCol w:w="211"/>
        <w:gridCol w:w="491"/>
        <w:gridCol w:w="109"/>
        <w:gridCol w:w="109"/>
        <w:gridCol w:w="109"/>
        <w:gridCol w:w="109"/>
        <w:gridCol w:w="260"/>
        <w:gridCol w:w="445"/>
        <w:gridCol w:w="136"/>
        <w:gridCol w:w="109"/>
        <w:gridCol w:w="109"/>
        <w:gridCol w:w="109"/>
        <w:gridCol w:w="245"/>
        <w:gridCol w:w="438"/>
        <w:gridCol w:w="128"/>
        <w:gridCol w:w="109"/>
        <w:gridCol w:w="109"/>
        <w:gridCol w:w="109"/>
        <w:gridCol w:w="109"/>
        <w:gridCol w:w="109"/>
        <w:gridCol w:w="109"/>
        <w:gridCol w:w="211"/>
        <w:gridCol w:w="361"/>
        <w:gridCol w:w="109"/>
        <w:gridCol w:w="109"/>
        <w:gridCol w:w="109"/>
        <w:gridCol w:w="109"/>
        <w:gridCol w:w="245"/>
        <w:gridCol w:w="438"/>
        <w:gridCol w:w="128"/>
        <w:gridCol w:w="109"/>
        <w:gridCol w:w="109"/>
        <w:gridCol w:w="109"/>
        <w:gridCol w:w="260"/>
        <w:gridCol w:w="445"/>
        <w:gridCol w:w="136"/>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 net loss of $27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unrealized gain recognized in AOCI for derivatives (in millions):</w:t>
      </w:r>
    </w:p>
    <w:p>
      <w:pPr>
        <w:pStyle w:val="TextBody"/>
        <w:bidi w:val="0"/>
        <w:spacing w:before="0" w:after="0"/>
        <w:jc w:val="left"/>
        <w:rPr/>
      </w:pPr>
      <w:r>
        <w:rPr/>
      </w:r>
    </w:p>
    <w:tbl>
      <w:tblPr>
        <w:tblW w:w="5985" w:type="dxa"/>
        <w:jc w:val="left"/>
        <w:tblInd w:w="0" w:type="dxa"/>
        <w:tblLayout w:type="fixed"/>
        <w:tblCellMar>
          <w:top w:w="28" w:type="dxa"/>
          <w:left w:w="28" w:type="dxa"/>
          <w:bottom w:w="28" w:type="dxa"/>
          <w:right w:w="28" w:type="dxa"/>
        </w:tblCellMar>
      </w:tblPr>
      <w:tblGrid>
        <w:gridCol w:w="853"/>
        <w:gridCol w:w="749"/>
        <w:gridCol w:w="753"/>
        <w:gridCol w:w="211"/>
        <w:gridCol w:w="406"/>
        <w:gridCol w:w="109"/>
        <w:gridCol w:w="109"/>
        <w:gridCol w:w="109"/>
        <w:gridCol w:w="109"/>
        <w:gridCol w:w="211"/>
        <w:gridCol w:w="256"/>
        <w:gridCol w:w="109"/>
        <w:gridCol w:w="109"/>
        <w:gridCol w:w="109"/>
        <w:gridCol w:w="109"/>
        <w:gridCol w:w="211"/>
        <w:gridCol w:w="406"/>
        <w:gridCol w:w="109"/>
        <w:gridCol w:w="109"/>
        <w:gridCol w:w="109"/>
        <w:gridCol w:w="109"/>
        <w:gridCol w:w="211"/>
        <w:gridCol w:w="25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we did not have any interest rate hedges recorded on our Condensed Consolidated Balance Sheets.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Currency Exchange Rate Risk Hedging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Canadian NGL Business divestiture, we entered into a forward currency instrument (CAD$4.5 billion notional amount) to hedge currency exchange risk. The instrument was contingent upon the sale of the Canadian NGL Business occurring and settled at closing. The cost of the deal-contingent structure was embedded in the hedge rate. We settled this instrument and received net cash proceeds of $20 million at the closing of the Canadian NGL Business divestiture. As of December 31, 2025, the fair value of the instrument was an asset of $8 million, presented in “Other current assets” on our Condensed Consolidated Balance Sheet. For the three and six months ended June 30, 2026, we recognized a loss of $41 million and a gain of $12 million, respectively, which were included in “Losses on asset sales, asset impairments and other, net” on our Condensed Consolidated Statements of Operations. For each of the three and six months ended June 30, 2025, we recognized a loss of $49 million. See Note 2 for additional information regarding the Canadian NGL Business divestiture.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3"/>
        <w:gridCol w:w="925"/>
        <w:gridCol w:w="927"/>
        <w:gridCol w:w="109"/>
        <w:gridCol w:w="109"/>
        <w:gridCol w:w="109"/>
        <w:gridCol w:w="229"/>
        <w:gridCol w:w="463"/>
        <w:gridCol w:w="118"/>
        <w:gridCol w:w="118"/>
        <w:gridCol w:w="118"/>
        <w:gridCol w:w="118"/>
        <w:gridCol w:w="235"/>
        <w:gridCol w:w="286"/>
        <w:gridCol w:w="118"/>
        <w:gridCol w:w="118"/>
        <w:gridCol w:w="118"/>
        <w:gridCol w:w="118"/>
        <w:gridCol w:w="118"/>
        <w:gridCol w:w="109"/>
        <w:gridCol w:w="211"/>
        <w:gridCol w:w="423"/>
        <w:gridCol w:w="109"/>
        <w:gridCol w:w="124"/>
        <w:gridCol w:w="124"/>
        <w:gridCol w:w="124"/>
        <w:gridCol w:w="124"/>
        <w:gridCol w:w="124"/>
        <w:gridCol w:w="124"/>
        <w:gridCol w:w="251"/>
        <w:gridCol w:w="367"/>
        <w:gridCol w:w="124"/>
        <w:gridCol w:w="124"/>
        <w:gridCol w:w="124"/>
        <w:gridCol w:w="124"/>
        <w:gridCol w:w="251"/>
        <w:gridCol w:w="367"/>
        <w:gridCol w:w="124"/>
        <w:gridCol w:w="109"/>
        <w:gridCol w:w="109"/>
        <w:gridCol w:w="109"/>
        <w:gridCol w:w="109"/>
        <w:gridCol w:w="109"/>
        <w:gridCol w:w="211"/>
        <w:gridCol w:w="318"/>
        <w:gridCol w:w="172"/>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December 31, 2025</w:t>
            </w:r>
          </w:p>
        </w:tc>
        <w:tc>
          <w:tcPr>
            <w:tcW w:w="1246" w:type="dxa"/>
            <w:gridSpan w:val="8"/>
            <w:tcBorders/>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Recurring Fair Value Measures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derivative asset/(liability)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17 to our Consolidated Financial Statements included in Part IV of our 2025 Annual Report on Form 10-K for a complete discussion of related parties, including the determination of our related parties and nature of involvement with such related parties.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we recognized sales and transportation revenues, purchased petroleum products and utilized transportation and storage services from related parties. These transactions were conducted at posted tariff rates or prices that we believe approximate market.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to our Condensed Consolidated Statements of Operations from these transactions is included below (in millions):</w:t>
      </w:r>
    </w:p>
    <w:tbl>
      <w:tblPr>
        <w:tblW w:w="7874" w:type="dxa"/>
        <w:jc w:val="left"/>
        <w:tblInd w:w="0" w:type="dxa"/>
        <w:tblLayout w:type="fixed"/>
        <w:tblCellMar>
          <w:top w:w="28" w:type="dxa"/>
          <w:left w:w="28" w:type="dxa"/>
          <w:bottom w:w="28" w:type="dxa"/>
          <w:right w:w="28" w:type="dxa"/>
        </w:tblCellMar>
      </w:tblPr>
      <w:tblGrid>
        <w:gridCol w:w="1419"/>
        <w:gridCol w:w="1243"/>
        <w:gridCol w:w="1252"/>
        <w:gridCol w:w="211"/>
        <w:gridCol w:w="361"/>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related parties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receivable and payable amounts with these related parties as reflected on our Condensed Consolidated Balance Sheets were as follows (in millions): </w:t>
      </w:r>
    </w:p>
    <w:p>
      <w:pPr>
        <w:pStyle w:val="TextBody"/>
        <w:bidi w:val="0"/>
        <w:spacing w:before="0" w:after="0"/>
        <w:jc w:val="left"/>
        <w:rPr/>
      </w:pPr>
      <w:r>
        <w:rPr/>
      </w:r>
    </w:p>
    <w:tbl>
      <w:tblPr>
        <w:tblW w:w="8352" w:type="dxa"/>
        <w:jc w:val="left"/>
        <w:tblInd w:w="0" w:type="dxa"/>
        <w:tblLayout w:type="fixed"/>
        <w:tblCellMar>
          <w:top w:w="28" w:type="dxa"/>
          <w:left w:w="28" w:type="dxa"/>
          <w:bottom w:w="28" w:type="dxa"/>
          <w:right w:w="28" w:type="dxa"/>
        </w:tblCellMar>
      </w:tblPr>
      <w:tblGrid>
        <w:gridCol w:w="2230"/>
        <w:gridCol w:w="1962"/>
        <w:gridCol w:w="1973"/>
        <w:gridCol w:w="223"/>
        <w:gridCol w:w="382"/>
        <w:gridCol w:w="115"/>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receivable and other receivables, net from related parties </w:t>
            </w:r>
            <w:r>
              <w:rPr>
                <w:rFonts w:ascii="Times New Roman;serif" w:hAnsi="Times New Roman;serif"/>
                <w:b w:val="false"/>
                <w:color w:val="000000"/>
                <w:sz w:val="13"/>
              </w:rPr>
              <w:t>(1)</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payable to related parties </w:t>
            </w:r>
            <w:r>
              <w:rPr>
                <w:rFonts w:ascii="Times New Roman;serif" w:hAnsi="Times New Roman;serif"/>
                <w:b w:val="false"/>
                <w:color w:val="000000"/>
                <w:sz w:val="13"/>
              </w:rPr>
              <w:t>(1) (2)</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Primarily includes amounts related to transportation and storage services. </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10—Commitments and Contingencies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Loss Contingencies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Environmental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estimated undiscounted reserves for environmental liabilities (excluding liabilities related to the Line 901 incident, as discussed further below) were reflected on our Condensed Consolidated Balance Sheets as follows (in millions):</w:t>
      </w:r>
    </w:p>
    <w:p>
      <w:pPr>
        <w:pStyle w:val="TextBody"/>
        <w:bidi w:val="0"/>
        <w:spacing w:before="0" w:after="0"/>
        <w:jc w:val="left"/>
        <w:rPr/>
      </w:pPr>
      <w:r>
        <w:rPr/>
      </w:r>
    </w:p>
    <w:tbl>
      <w:tblPr>
        <w:tblW w:w="6123" w:type="dxa"/>
        <w:jc w:val="left"/>
        <w:tblInd w:w="0" w:type="dxa"/>
        <w:tblLayout w:type="fixed"/>
        <w:tblCellMar>
          <w:top w:w="28" w:type="dxa"/>
          <w:left w:w="28" w:type="dxa"/>
          <w:bottom w:w="28" w:type="dxa"/>
          <w:right w:w="28" w:type="dxa"/>
        </w:tblCellMar>
      </w:tblPr>
      <w:tblGrid>
        <w:gridCol w:w="1400"/>
        <w:gridCol w:w="1233"/>
        <w:gridCol w:w="1237"/>
        <w:gridCol w:w="211"/>
        <w:gridCol w:w="466"/>
        <w:gridCol w:w="109"/>
        <w:gridCol w:w="109"/>
        <w:gridCol w:w="109"/>
        <w:gridCol w:w="109"/>
        <w:gridCol w:w="331"/>
        <w:gridCol w:w="567"/>
        <w:gridCol w:w="242"/>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Specific Legal, Environmental or Regulatory Matters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Line 901 Incident</w:t>
      </w:r>
      <w:r>
        <w:rPr>
          <w:rFonts w:ascii="Times New Roman;serif" w:hAnsi="Times New Roman;serif"/>
          <w:b w:val="false"/>
          <w:color w:val="000000"/>
          <w:sz w:val="20"/>
        </w:rPr>
        <w:t>. In May 2015 we experienced a release of crude oil from our Las Flores to Gaviota Pipeline (Line 901) in Santa Barbara County, California. Effective as of June 30, 2026,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we did not recognize any costs related to the Line 901 incident. As of June 30, 2026 and December 31, 2025, we had a remaining undiscounted gross liability of approximately $23 million and $22 million, respectively, related to the Line 901 incident, which aggregate amounts are reflected in “Current liabilities” on our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insurance coverage, which is subject to certain exclusions and deductibles, in the event of such liabilities. To date, we have collected approximately $295 million of the $500 million available under our 2015 insurance program. With respect to the Line 901 incident, we do not have any amounts recorded as receivables that are recognized on our Condensed Consolidated Balance Sheets as of June 30, 2026 and December 31, 2025.</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completed the required clean-up and remediation work with respect to the Line 901 incident; however, we expect to make payments for additional legal and professional costs during future periods. The only remaining Line 901 lawsuit is pending in California Superior Court in Santa Barbara County, in which a landowner on an adjacent pipeline is alleging property damage from the “stigma” of the Line 901 incident. We are vigorously defending this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L48 Pipeline Release. </w:t>
      </w:r>
      <w:r>
        <w:rPr>
          <w:rFonts w:ascii="Times New Roman;serif" w:hAnsi="Times New Roman;serif"/>
          <w:b w:val="false"/>
          <w:color w:val="000000"/>
          <w:sz w:val="20"/>
        </w:rPr>
        <w:t>In March 2025, our subsidiary, Pacific Pipeline System LLC, experienced a crude oil release of approximately 125 barrels on a segment of the Line 48 pipeline in Carson, California. Clean-up and remediation activities were conducted in cooperation with applicable state and federal regulatory agencies. An investigation by the California Office of the State Fire Marshall was initiated. To date no charges, fines or penalties have been assessed against us with respect to this release; however, it is possible that charges, fines or penalties may be assessed against us in the future. We provided notification to our applicable insurance carriers and are subject to a $10 million self-insured retention. Through June 30, 2026, we incurred $13 million in connection with clean-up and remediation activities. We do not currently anticipate any additional costs associated with the site.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Line 63 Pipeline Strike.</w:t>
      </w:r>
      <w:r>
        <w:rPr>
          <w:color w:val="000000"/>
        </w:rPr>
        <w:t xml:space="preserve"> </w:t>
      </w:r>
      <w:r>
        <w:rPr>
          <w:rFonts w:ascii="Times New Roman;serif" w:hAnsi="Times New Roman;serif"/>
          <w:b w:val="false"/>
          <w:color w:val="000000"/>
          <w:sz w:val="20"/>
        </w:rPr>
        <w:t>In May 2026, our subsidiary, Pacific Pipeline System LLC, experienced a crude oil release of approximately 585 barrels on a segment of the Line 63 pipeline in Los Angeles, California, resulting from a strike by a construction crew drilling for a fiber-optic line. Clean-up and remediation activities were conducted in cooperation with applicable state and federal regulatory agencies. Investigations were initiated by the California Office of the State Fire Marshall and the California Underground Safety Board. To date no charges, fines or penalties have been assessed against us with respect to this release; however, it is possible that charges, fines or penalties may be assessed against us in the future. We provided notification to our applicable insurance carriers and are subject to a $10 million self-insured retention. We estimate that the aggregate cost to clean-up and remediate the site will be approximately $40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Canadian Competition Bureau Lawsuit. </w:t>
      </w:r>
      <w:r>
        <w:rPr>
          <w:rFonts w:ascii="Times New Roman;serif" w:hAnsi="Times New Roman;serif"/>
          <w:b w:val="false"/>
          <w:color w:val="000000"/>
          <w:sz w:val="20"/>
        </w:rPr>
        <w:t>In connection with the closing of the sale of our Canadian NGL Business to Keyera, on May 5, 2026, the Canadian Commissioner of Competition (“Commissioner”) filed a lawsuit against Keyera, PMC ULC and Plains challenging the transaction on the basis that it allegedly harms competition in the NGL fractionation and storage market at Fort Saskatchewan. Because the lawsuit did not prevent the parties from closing, Keyera and Plains closed the transaction on May 12, 2026. In its lawsuit, the Commissioner seeks remedies that it believes would restore competition at Fort Saskatchewan to pre-transaction levels. As the owner of PMC ULC and the Canadian NGL Business, Keyera is primarily responsible for the lawsuit and we do not believe the ultimate resolution of the lawsuit will have a material adverse effect on our consolidated financial condition,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NGL assets located in the United States.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uses Segment Adjusted EBITDA to evaluate the performance of each segment, including analyzing actual results compared to budget and guidance, to assess investment opportunities and to optimize and align assets to maximize returns to stakeholders.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data from continuing operations for each segment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084"/>
        <w:gridCol w:w="1547"/>
        <w:gridCol w:w="1552"/>
        <w:gridCol w:w="211"/>
        <w:gridCol w:w="721"/>
        <w:gridCol w:w="109"/>
        <w:gridCol w:w="109"/>
        <w:gridCol w:w="109"/>
        <w:gridCol w:w="109"/>
        <w:gridCol w:w="211"/>
        <w:gridCol w:w="406"/>
        <w:gridCol w:w="109"/>
        <w:gridCol w:w="109"/>
        <w:gridCol w:w="109"/>
        <w:gridCol w:w="109"/>
        <w:gridCol w:w="325"/>
        <w:gridCol w:w="581"/>
        <w:gridCol w:w="170"/>
        <w:gridCol w:w="109"/>
        <w:gridCol w:w="109"/>
        <w:gridCol w:w="109"/>
        <w:gridCol w:w="211"/>
        <w:gridCol w:w="721"/>
        <w:gridCol w:w="109"/>
        <w:gridCol w:w="157"/>
      </w:tblGrid>
      <w:tr>
        <w:trPr/>
        <w:tc>
          <w:tcPr>
            <w:tcW w:w="208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Impact from exit of Canadian NGL Business </w:t>
            </w:r>
            <w:r>
              <w:rPr>
                <w:rFonts w:ascii="Times New Roman;serif" w:hAnsi="Times New Roman;serif"/>
                <w:b w:val="false"/>
                <w:color w:val="000000"/>
                <w:sz w:val="13"/>
              </w:rPr>
              <w:t>(9)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in consolidated joint ventures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84"/>
        <w:gridCol w:w="1547"/>
        <w:gridCol w:w="1552"/>
        <w:gridCol w:w="211"/>
        <w:gridCol w:w="721"/>
        <w:gridCol w:w="109"/>
        <w:gridCol w:w="109"/>
        <w:gridCol w:w="109"/>
        <w:gridCol w:w="109"/>
        <w:gridCol w:w="211"/>
        <w:gridCol w:w="406"/>
        <w:gridCol w:w="109"/>
        <w:gridCol w:w="109"/>
        <w:gridCol w:w="109"/>
        <w:gridCol w:w="109"/>
        <w:gridCol w:w="282"/>
        <w:gridCol w:w="647"/>
        <w:gridCol w:w="147"/>
        <w:gridCol w:w="109"/>
        <w:gridCol w:w="109"/>
        <w:gridCol w:w="109"/>
        <w:gridCol w:w="211"/>
        <w:gridCol w:w="721"/>
        <w:gridCol w:w="109"/>
        <w:gridCol w:w="157"/>
      </w:tblGrid>
      <w:tr>
        <w:trPr/>
        <w:tc>
          <w:tcPr>
            <w:tcW w:w="208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Impact from exit of Canadian NGL Business </w:t>
            </w:r>
            <w:r>
              <w:rPr>
                <w:rFonts w:ascii="Times New Roman;serif" w:hAnsi="Times New Roman;serif"/>
                <w:b w:val="false"/>
                <w:color w:val="000000"/>
                <w:sz w:val="13"/>
              </w:rPr>
              <w:t>(9)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in consolidated joint ventures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70"/>
        <w:gridCol w:w="1496"/>
        <w:gridCol w:w="1500"/>
        <w:gridCol w:w="211"/>
        <w:gridCol w:w="721"/>
        <w:gridCol w:w="109"/>
        <w:gridCol w:w="109"/>
        <w:gridCol w:w="109"/>
        <w:gridCol w:w="109"/>
        <w:gridCol w:w="211"/>
        <w:gridCol w:w="423"/>
        <w:gridCol w:w="109"/>
        <w:gridCol w:w="109"/>
        <w:gridCol w:w="109"/>
        <w:gridCol w:w="109"/>
        <w:gridCol w:w="384"/>
        <w:gridCol w:w="492"/>
        <w:gridCol w:w="199"/>
        <w:gridCol w:w="109"/>
        <w:gridCol w:w="109"/>
        <w:gridCol w:w="109"/>
        <w:gridCol w:w="211"/>
        <w:gridCol w:w="721"/>
        <w:gridCol w:w="109"/>
        <w:gridCol w:w="158"/>
      </w:tblGrid>
      <w:tr>
        <w:trPr/>
        <w:tc>
          <w:tcPr>
            <w:tcW w:w="217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Transaction-related expenses </w:t>
            </w:r>
            <w:r>
              <w:rPr>
                <w:rFonts w:ascii="Times New Roman;serif" w:hAnsi="Times New Roman;serif"/>
                <w:b w:val="false"/>
                <w:color w:val="000000"/>
                <w:sz w:val="13"/>
              </w:rPr>
              <w:t>(13)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in consolidated joint ventures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70"/>
        <w:gridCol w:w="1496"/>
        <w:gridCol w:w="1500"/>
        <w:gridCol w:w="211"/>
        <w:gridCol w:w="721"/>
        <w:gridCol w:w="109"/>
        <w:gridCol w:w="109"/>
        <w:gridCol w:w="109"/>
        <w:gridCol w:w="109"/>
        <w:gridCol w:w="211"/>
        <w:gridCol w:w="423"/>
        <w:gridCol w:w="109"/>
        <w:gridCol w:w="109"/>
        <w:gridCol w:w="109"/>
        <w:gridCol w:w="109"/>
        <w:gridCol w:w="384"/>
        <w:gridCol w:w="492"/>
        <w:gridCol w:w="199"/>
        <w:gridCol w:w="109"/>
        <w:gridCol w:w="109"/>
        <w:gridCol w:w="109"/>
        <w:gridCol w:w="211"/>
        <w:gridCol w:w="721"/>
        <w:gridCol w:w="109"/>
        <w:gridCol w:w="158"/>
      </w:tblGrid>
      <w:tr>
        <w:trPr/>
        <w:tc>
          <w:tcPr>
            <w:tcW w:w="217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Transaction-related expenses </w:t>
            </w:r>
            <w:r>
              <w:rPr>
                <w:rFonts w:ascii="Times New Roman;serif" w:hAnsi="Times New Roman;serif"/>
                <w:b w:val="false"/>
                <w:color w:val="000000"/>
                <w:sz w:val="13"/>
              </w:rPr>
              <w:t>(13)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in consolidated joint ventures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lineRule="auto" w:line="288" w:before="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adjustments utilized by our CODM in the evaluation of segment results.</w:t>
      </w:r>
    </w:p>
    <w:p>
      <w:pPr>
        <w:pStyle w:val="TextBody"/>
        <w:bidi w:val="0"/>
        <w:spacing w:lineRule="auto" w:line="288" w:before="0" w:after="6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our proportionate share of the depreciation and amortization expense (including write-downs related to cancelled projects and impairments) of unconsolidated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pStyle w:val="TextBody"/>
        <w:bidi w:val="0"/>
        <w:spacing w:lineRule="auto" w:line="288" w:before="0" w:after="120"/>
        <w:ind w:left="0" w:right="0" w:hanging="720"/>
        <w:jc w:val="left"/>
        <w:rPr/>
      </w:pPr>
      <w:r>
        <w:rPr>
          <w:rFonts w:ascii="Times New Roman;serif" w:hAnsi="Times New Roman;serif"/>
          <w:b w:val="false"/>
          <w:color w:val="000000"/>
          <w:sz w:val="13"/>
        </w:rPr>
        <w:t>(7)</w:t>
      </w:r>
      <w:r>
        <w:rPr>
          <w:rFonts w:ascii="Times New Roman;serif" w:hAnsi="Times New Roman;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18 to our Consolidated Financial Statements included in Part IV of our 2025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erif" w:hAnsi="Times New Roman;serif"/>
          <w:b w:val="false"/>
          <w:color w:val="000000"/>
          <w:sz w:val="13"/>
        </w:rPr>
        <w:t>(8)</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(9)</w:t>
      </w:r>
      <w:r>
        <w:rPr>
          <w:rFonts w:ascii="Times New Roman;serif" w:hAnsi="Times New Roman;serif"/>
          <w:b w:val="false"/>
          <w:color w:val="000000"/>
          <w:sz w:val="20"/>
        </w:rPr>
        <w:t>Represents the acceleration of certain general and administrative expenses associated with exit activities related to the Canadian NGL Business divestiture in May 2026. Such costs are not integral to our core operating performance and were therefore excluded in determining Segment Adjusted EBITDA. See Note 2 for additional information regarding the Canadian NGL Business divestiture.</w:t>
      </w:r>
    </w:p>
    <w:p>
      <w:pPr>
        <w:pStyle w:val="TextBody"/>
        <w:bidi w:val="0"/>
        <w:spacing w:lineRule="auto" w:line="288" w:before="0" w:after="120"/>
        <w:ind w:left="0" w:right="0" w:hanging="720"/>
        <w:jc w:val="left"/>
        <w:rPr/>
      </w:pPr>
      <w:r>
        <w:rPr>
          <w:rFonts w:ascii="Times New Roman;serif" w:hAnsi="Times New Roman;serif"/>
          <w:b w:val="false"/>
          <w:color w:val="000000"/>
          <w:sz w:val="13"/>
        </w:rPr>
        <w:t>(10)</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lineRule="auto" w:line="288" w:before="0" w:after="120"/>
        <w:ind w:left="0" w:right="0" w:hanging="720"/>
        <w:jc w:val="left"/>
        <w:rPr/>
      </w:pPr>
      <w:r>
        <w:rPr>
          <w:rFonts w:ascii="Times New Roman;serif" w:hAnsi="Times New Roman;serif"/>
          <w:b w:val="false"/>
          <w:color w:val="000000"/>
          <w:sz w:val="13"/>
        </w:rPr>
        <w:t>(11)</w:t>
      </w:r>
      <w:r>
        <w:rPr>
          <w:rFonts w:ascii="Times New Roman;serif" w:hAnsi="Times New Roman;serif"/>
          <w:b w:val="false"/>
          <w:color w:val="000000"/>
          <w:sz w:val="20"/>
        </w:rPr>
        <w:t>Investment capital and acquisition capital expenditures, including investments in unconsolidated entities.</w:t>
      </w:r>
    </w:p>
    <w:p>
      <w:pPr>
        <w:pStyle w:val="TextBody"/>
        <w:bidi w:val="0"/>
        <w:spacing w:lineRule="auto" w:line="288" w:before="0" w:after="120"/>
        <w:ind w:left="0" w:right="0" w:hanging="720"/>
        <w:jc w:val="left"/>
        <w:rPr/>
      </w:pPr>
      <w:r>
        <w:rPr>
          <w:rFonts w:ascii="Times New Roman;serif" w:hAnsi="Times New Roman;serif"/>
          <w:b w:val="false"/>
          <w:color w:val="000000"/>
          <w:sz w:val="13"/>
        </w:rPr>
        <w:t>(12)</w:t>
      </w:r>
      <w:r>
        <w:rPr>
          <w:rFonts w:ascii="Times New Roman;serif" w:hAnsi="Times New Roman;serif"/>
          <w:b w:val="false"/>
          <w:color w:val="000000"/>
          <w:sz w:val="20"/>
        </w:rPr>
        <w:t>These amounts combined represent total capital expenditures.</w:t>
      </w:r>
    </w:p>
    <w:p>
      <w:pPr>
        <w:pStyle w:val="TextBody"/>
        <w:bidi w:val="0"/>
        <w:spacing w:lineRule="auto" w:line="288" w:before="0" w:after="120"/>
        <w:ind w:left="0" w:right="0" w:hanging="720"/>
        <w:jc w:val="left"/>
        <w:rPr/>
      </w:pPr>
      <w:r>
        <w:rPr>
          <w:rFonts w:ascii="Times New Roman;serif" w:hAnsi="Times New Roman;serif"/>
          <w:b w:val="false"/>
          <w:color w:val="000000"/>
          <w:sz w:val="13"/>
        </w:rPr>
        <w:t>(13)</w:t>
      </w:r>
      <w:r>
        <w:rPr>
          <w:rFonts w:ascii="Times New Roman;serif" w:hAnsi="Times New Roman;serif"/>
          <w:b w:val="false"/>
          <w:color w:val="000000"/>
          <w:sz w:val="20"/>
        </w:rPr>
        <w:t>Primarily related to deal-specific costs incurred during the periods presented.</w:t>
      </w:r>
    </w:p>
    <w:p>
      <w:pPr>
        <w:pStyle w:val="TextBody"/>
        <w:bidi w:val="0"/>
        <w:spacing w:before="0" w:after="12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Segment Adjusted EBITDA to Income from continuing operations, net of tax (in millions):</w:t>
      </w:r>
    </w:p>
    <w:p>
      <w:pPr>
        <w:pStyle w:val="TextBody"/>
        <w:bidi w:val="0"/>
        <w:spacing w:before="0" w:after="0"/>
        <w:ind w:left="0" w:right="0" w:firstLine="720"/>
        <w:jc w:val="left"/>
        <w:rPr/>
      </w:pPr>
      <w:r>
        <w:rPr/>
      </w:r>
    </w:p>
    <w:tbl>
      <w:tblPr>
        <w:tblW w:w="8940" w:type="dxa"/>
        <w:jc w:val="left"/>
        <w:tblInd w:w="0" w:type="dxa"/>
        <w:tblLayout w:type="fixed"/>
        <w:tblCellMar>
          <w:top w:w="28" w:type="dxa"/>
          <w:left w:w="28" w:type="dxa"/>
          <w:bottom w:w="28" w:type="dxa"/>
          <w:right w:w="28" w:type="dxa"/>
        </w:tblCellMar>
      </w:tblPr>
      <w:tblGrid>
        <w:gridCol w:w="1619"/>
        <w:gridCol w:w="1420"/>
        <w:gridCol w:w="1431"/>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other segment items </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general and administrative expenses </w:t>
            </w:r>
            <w:r>
              <w:rPr>
                <w:rFonts w:ascii="Times New Roman;serif" w:hAnsi="Times New Roman;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See footnotes to the segment financial data tables above for a more detailed discussion of Other segment items.</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general and administrative expenses incremental to those of PAA, which are not allocated to our reporting segments in determining Segment Adjusted EBITDA.</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of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Executive Summary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publicly-traded Delaware limited partnership that has elected to be taxed as a corporation for United States federal income tax purposes. As of June 30, 2026, our sole cash-generating assets consisted of an approximate 85% limited partner interest in AAP. We also own a 100% managing member interest in GP LLC, which holds the non-economic general partner interest in AAP. As of June 30, 2026, AAP directly owned a limited partner interest in PAA through its ownership of approximately 233.0 million PAA common units (approximately 31% of PAA’s total outstanding common units and Series A preferred units combined). AAP is the sole member of PAA GP, which holds the non-economic general partner interest in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crude oil.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On May 12, 2026, we completed the sale of our Canadian NGL Business, pursuant to a definitive SPA with Keyera entered into on June 17, 2025. We determined that in conjunction with entering into the SPA, the operations of the Canadian NGL Business met the criteria for classification as held for sale and for discontinued operations reporting, as the sale represented a strategic shift that had a major effect on our operations and financial results. See Note 1 and</w:t>
      </w:r>
      <w:r>
        <w:rPr>
          <w:color w:val="000000"/>
        </w:rPr>
        <w:t xml:space="preserve"> </w:t>
      </w:r>
      <w:r>
        <w:rPr>
          <w:rFonts w:ascii="Times New Roman;serif" w:hAnsi="Times New Roman;serif"/>
          <w:b w:val="false"/>
          <w:color w:val="000000"/>
          <w:sz w:val="20"/>
        </w:rPr>
        <w:t>Note 2 to our Condensed Consolidated Financial Statements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discussion below relates to our continuing operations and excludes amounts related to discontinued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Overview of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net income of $2.037 billion for the six months ended June 30, 2026 compared to net income of $775 million for the first six months of 2025. See the “—Results of Operations” section below for discussion of significant drivers of our results from continuing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an overview of our consolidated financial results calculated in accordance with GAAP (in millions, except per share data):</w:t>
      </w:r>
    </w:p>
    <w:p>
      <w:pPr>
        <w:pStyle w:val="TextBody"/>
        <w:bidi w:val="0"/>
        <w:spacing w:before="0" w:after="0"/>
        <w:ind w:left="0" w:right="0" w:firstLine="720"/>
        <w:jc w:val="left"/>
        <w:rPr/>
      </w:pPr>
      <w:r>
        <w:rPr/>
      </w:r>
    </w:p>
    <w:tbl>
      <w:tblPr>
        <w:tblW w:w="11582" w:type="dxa"/>
        <w:jc w:val="left"/>
        <w:tblInd w:w="0" w:type="dxa"/>
        <w:tblLayout w:type="fixed"/>
        <w:tblCellMar>
          <w:top w:w="28" w:type="dxa"/>
          <w:left w:w="28" w:type="dxa"/>
          <w:bottom w:w="28" w:type="dxa"/>
          <w:right w:w="28" w:type="dxa"/>
        </w:tblCellMar>
      </w:tblPr>
      <w:tblGrid>
        <w:gridCol w:w="844"/>
        <w:gridCol w:w="268"/>
        <w:gridCol w:w="26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8"/>
        <w:gridCol w:w="243"/>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9"/>
        <w:gridCol w:w="242"/>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Income from discontinued operations, net of tax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income/(loss) per Class A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income/(loss) per Class A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60" w:after="120"/>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6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See Note 2 to our Condensed Consolidated Financial Statements for a reconciliation of the line items comprising income from discontinued operations, net of tax.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our results of operations focuses on PAA’s 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Revenues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majority of our crude oil sales and purchases are indexed to the prompt month price of the NYMEX Light, Sweet crude oil futures contract (“NYMEX Price”). The following table presents the range of the NYMEX Price over the last two years (in dollars per barrel):</w:t>
      </w:r>
    </w:p>
    <w:p>
      <w:pPr>
        <w:pStyle w:val="TextBody"/>
        <w:bidi w:val="0"/>
        <w:spacing w:before="0" w:after="0"/>
        <w:ind w:left="0" w:right="0" w:firstLine="720"/>
        <w:jc w:val="left"/>
        <w:rPr/>
      </w:pPr>
      <w:r>
        <w:rPr/>
      </w:r>
    </w:p>
    <w:tbl>
      <w:tblPr>
        <w:tblW w:w="5901" w:type="dxa"/>
        <w:jc w:val="left"/>
        <w:tblInd w:w="0" w:type="dxa"/>
        <w:tblLayout w:type="fixed"/>
        <w:tblCellMar>
          <w:top w:w="28" w:type="dxa"/>
          <w:left w:w="28" w:type="dxa"/>
          <w:bottom w:w="28" w:type="dxa"/>
          <w:right w:w="28" w:type="dxa"/>
        </w:tblCellMar>
      </w:tblPr>
      <w:tblGrid>
        <w:gridCol w:w="1092"/>
        <w:gridCol w:w="959"/>
        <w:gridCol w:w="963"/>
        <w:gridCol w:w="211"/>
        <w:gridCol w:w="361"/>
        <w:gridCol w:w="109"/>
        <w:gridCol w:w="109"/>
        <w:gridCol w:w="109"/>
        <w:gridCol w:w="109"/>
        <w:gridCol w:w="211"/>
        <w:gridCol w:w="466"/>
        <w:gridCol w:w="109"/>
        <w:gridCol w:w="109"/>
        <w:gridCol w:w="109"/>
        <w:gridCol w:w="109"/>
        <w:gridCol w:w="222"/>
        <w:gridCol w:w="380"/>
        <w:gridCol w:w="16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NYMEX Price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sales revenues (including the impact of derivative mark-to-market valuations) and purchases increased for the three and six months ended June 30, 2026 compared to the same periods in 2025 primarily due to higher crude oil sales volumes and commodity prices in the 2026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Services revenues for the three and six months ended June 30, 2026 increased compared to the same periods in 2025 primarily due to the impact of our acquisition of the Cactus III pipeline in the fourth quarter of 2025, partially offset by the impact from certain Permian long-haul pipeline contract rates resetting to market during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further discussion of net revenues (defined as revenues less purchases and related costs)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for the three and six months ended June 30, 2026 compared to the same periods in 2025 was primarily due to the acceleration of certain expenses during the second quarter of 2026 resulting from exit costs associated with the Canadian NGL Business. This increase was partially offset by the impact of (i) the recognition in the 2025 period of acquisition-related transaction costs and (ii) lower information systems costs in the 2026 periods primarily due to the completion of certain systems conversion and integration work in the second quarter of 2025. The exit costs associated with the Canadian NGL Business are excluded from our Non-GAAP, adjusted results. See “Non-GAAP Financial Measures” below for additional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depreciation and amortization for the three and six months ended June 30, 2026 compared to the same periods in 2025 was largely driven by recently completed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Losses on Asset Sales, Asset Impairments and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anticipation of the closing of the sale of the Canadian NGL Business, which was completed on May 12, 2026, we entered into a deal-contingent forward currency instrument to hedge the currency exchange risk associated with the sale in CAD. The periods presented were impacted by the mark-to-market of this instrument. See Note 8 to our Condensed Consolidated Financial Statements for additional information regarding this instrument and our derivatives and hedging activities. See Note 2 to our Condensed Consolidated Financial Statements for additional information regarding the sale of the Canadian NGL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Equity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Equity earnings in unconsolidated entities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 on Investments in Unconsolidated Entities,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we recognized a gain of $31 million related to our acquisition of the remaining 50% interest in Cheyenne Pipeline LLC through a non-monetary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impacting Interest expense, net (in millions):</w:t>
      </w:r>
    </w:p>
    <w:p>
      <w:pPr>
        <w:pStyle w:val="TextBody"/>
        <w:bidi w:val="0"/>
        <w:spacing w:before="0" w:after="0"/>
        <w:ind w:left="0" w:right="0" w:firstLine="720"/>
        <w:jc w:val="left"/>
        <w:rPr/>
      </w:pPr>
      <w:r>
        <w:rPr/>
      </w:r>
    </w:p>
    <w:tbl>
      <w:tblPr>
        <w:tblW w:w="7346" w:type="dxa"/>
        <w:jc w:val="left"/>
        <w:tblInd w:w="0" w:type="dxa"/>
        <w:tblLayout w:type="fixed"/>
        <w:tblCellMar>
          <w:top w:w="28" w:type="dxa"/>
          <w:left w:w="28" w:type="dxa"/>
          <w:bottom w:w="28" w:type="dxa"/>
          <w:right w:w="28" w:type="dxa"/>
        </w:tblCellMar>
      </w:tblPr>
      <w:tblGrid>
        <w:gridCol w:w="1031"/>
        <w:gridCol w:w="908"/>
        <w:gridCol w:w="910"/>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on borrowings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increase in interest expense for the three and six-month 2026 periods compared to the same periods in 2025 was primarily driven by higher weighted-average debt outstanding in the 2026 periods. See Note 6 to our Condensed Consolidated Financial Statements for additional information regarding outstanding debt. </w:t>
      </w:r>
    </w:p>
    <w:p>
      <w:pPr>
        <w:pStyle w:val="TextBody"/>
        <w:bidi w:val="0"/>
        <w:spacing w:before="60" w:after="283"/>
        <w:ind w:left="0" w:right="0" w:firstLine="108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Other Income, Net</w:t>
      </w:r>
    </w:p>
    <w:p>
      <w:pPr>
        <w:pStyle w:val="TextBody"/>
        <w:bidi w:val="0"/>
        <w:spacing w:before="0" w:after="0"/>
        <w:ind w:left="0" w:right="0" w:firstLine="720"/>
        <w:jc w:val="left"/>
        <w:rPr/>
      </w:pPr>
      <w:r>
        <w:rPr/>
      </w:r>
    </w:p>
    <w:tbl>
      <w:tblPr>
        <w:tblW w:w="8054" w:type="dxa"/>
        <w:jc w:val="left"/>
        <w:tblInd w:w="0" w:type="dxa"/>
        <w:tblLayout w:type="fixed"/>
        <w:tblCellMar>
          <w:top w:w="28" w:type="dxa"/>
          <w:left w:w="28" w:type="dxa"/>
          <w:bottom w:w="28" w:type="dxa"/>
          <w:right w:w="28" w:type="dxa"/>
        </w:tblCellMar>
      </w:tblPr>
      <w:tblGrid>
        <w:gridCol w:w="1512"/>
        <w:gridCol w:w="1325"/>
        <w:gridCol w:w="1333"/>
        <w:gridCol w:w="109"/>
        <w:gridCol w:w="109"/>
        <w:gridCol w:w="109"/>
        <w:gridCol w:w="213"/>
        <w:gridCol w:w="366"/>
        <w:gridCol w:w="110"/>
        <w:gridCol w:w="110"/>
        <w:gridCol w:w="110"/>
        <w:gridCol w:w="110"/>
        <w:gridCol w:w="213"/>
        <w:gridCol w:w="259"/>
        <w:gridCol w:w="110"/>
        <w:gridCol w:w="109"/>
        <w:gridCol w:w="109"/>
        <w:gridCol w:w="109"/>
        <w:gridCol w:w="211"/>
        <w:gridCol w:w="256"/>
        <w:gridCol w:w="109"/>
        <w:gridCol w:w="109"/>
        <w:gridCol w:w="109"/>
        <w:gridCol w:w="109"/>
        <w:gridCol w:w="211"/>
        <w:gridCol w:w="361"/>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gain on foreign currency revaluation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consideration fair value adjustment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activity during the periods presented was primarily related to the impact from the change in the CAD to USD exchange rate on the portion of our intercompany net investment that is not long-term in nature.</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the change in the estimated fair value during the period of certain potential earnout payments primarily associated with our Cactus III acquisition.</w:t>
      </w:r>
    </w:p>
    <w:p>
      <w:pPr>
        <w:pStyle w:val="TextBody"/>
        <w:bidi w:val="0"/>
        <w:spacing w:before="6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Income Tax Expense from 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unfavorable income tax variance from continuing operations for the three and six months ended June 30, 2026 compared to the same periods in 2025 was primarily due to tax impacts from certain planning and restructuring activities within our organizational structure in connection with the Canadian NGL Business divestiture. For the three months ended June 30, 2026, these included current income tax expense of approximately $95 million primarily related to withholding taxes on distributions. For the six months ended June 30, 2026, these included (i) current income tax expense of $311 million as a result of basis recapture and capital gains taxed at the applicable rates and withholding taxes on distributions and (ii) a partially offsetting $217 million deferred tax benefit primarily resulting from the transfer of the crude oil assets from PMC ULC to PCLP. See Note 2 to our Condensed Consolidated Financial Statements for additional information regarding the Canadian NGL Business divestiture.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adjusted for certain selected items impacting comparability. Adjusted EBITDA attributable to PAA excludes the portion of Adjusted EBITDA that is attributable to noncontrolling interests in consolidated joint venture entities.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Discontinued Operations.</w:t>
      </w:r>
      <w:r>
        <w:rPr>
          <w:color w:val="000000"/>
        </w:rPr>
        <w:t xml:space="preserve"> </w:t>
      </w:r>
      <w:r>
        <w:rPr>
          <w:rFonts w:ascii="Times New Roman;serif" w:hAnsi="Times New Roman;serif"/>
          <w:b w:val="false"/>
          <w:color w:val="000000"/>
          <w:sz w:val="20"/>
        </w:rPr>
        <w:t>From June 17, 2025, the date we entered into the SPA with Keyera to sell the Canadian NGL Business, through the closing of the divestiture on May 12, 2026, management reviewed such business as a component of our overall company performance. As such, certain Non-GAAP financial performance measures, such as Adjusted EBITDA and Adjusted EBITDA attributable to PAA, are presented on a consolidated basis (e.g., the aggregate of continuing operations and discontinued operations) to provide relevant and useful information regarding our historical performance and results of operations and to assist in reconciling results presented in historical periods.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of the non-GAAP financial performance measures Adjusted EBITDA and Adjusted EBITDA attributable to PAA to Net Income (in millions):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tbl>
      <w:tblPr>
        <w:tblW w:w="11438" w:type="dxa"/>
        <w:jc w:val="left"/>
        <w:tblInd w:w="0" w:type="dxa"/>
        <w:tblLayout w:type="fixed"/>
        <w:tblCellMar>
          <w:top w:w="28" w:type="dxa"/>
          <w:left w:w="28" w:type="dxa"/>
          <w:bottom w:w="28" w:type="dxa"/>
          <w:right w:w="28" w:type="dxa"/>
        </w:tblCellMar>
      </w:tblPr>
      <w:tblGrid>
        <w:gridCol w:w="1135"/>
        <w:gridCol w:w="172"/>
        <w:gridCol w:w="173"/>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39"/>
        <w:gridCol w:w="242"/>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40"/>
        <w:gridCol w:w="241"/>
        <w:gridCol w:w="316"/>
      </w:tblGrid>
      <w:tr>
        <w:trPr/>
        <w:tc>
          <w:tcPr>
            <w:tcW w:w="113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Net income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Income tax expense from discontinued operations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Depreciation and amortization from discontinued operations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Losses on asset sales, asset impairments and other, net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(Gains)/losses on asset sales and other, net from discontinued operations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Unallocated general and administrative expenses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Selected Items Impacting Comparability</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Derivative activities and inventory valuation adjustments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 xml:space="preserve">Long-term inventory costing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Rail fleet amortization expense related to discontinued operations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 xml:space="preserve">Equity-indexed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from exit of Canadian NGL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Selected Items Impacting Comparability - Segment Adjusted EBITDA</w:t>
            </w:r>
            <w:r>
              <w:rPr>
                <w:color w:val="000000"/>
              </w:rPr>
              <w:t xml:space="preserve"> </w:t>
            </w:r>
            <w:r>
              <w:rPr>
                <w:rFonts w:ascii="Times New Roman;serif" w:hAnsi="Times New Roman;serif"/>
                <w:b w:val="false"/>
                <w:color w:val="000000"/>
                <w:sz w:val="13"/>
              </w:rPr>
              <w:t>(1)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Contingent consideration fair value adjustment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Selected Items Impacting Comparability - Adjusted EBITDA </w:t>
            </w:r>
            <w:r>
              <w:rPr>
                <w:rFonts w:ascii="Times New Roman;serif" w:hAnsi="Times New Roman;serif"/>
                <w:b w:val="false"/>
                <w:color w:val="000000"/>
                <w:sz w:val="13"/>
              </w:rPr>
              <w:t>(1)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Adjusted EBITDA attributable to noncontrolling interests in consolidated joint ventures </w:t>
            </w:r>
            <w:r>
              <w:rPr>
                <w:rFonts w:ascii="Times New Roman;serif" w:hAnsi="Times New Roman;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attributable to PAA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results from continuing operations and discontinued operations.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See Note 2 to our Condensed Consolidated Financial Statements for additional information.</w:t>
      </w:r>
    </w:p>
    <w:p>
      <w:pPr>
        <w:pStyle w:val="TextBody"/>
        <w:bidi w:val="0"/>
        <w:spacing w:lineRule="auto" w:line="288" w:before="6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6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general and administrative expenses incremental to those of PAA, which are not allocated to our reporting segments in determining Segment Adjusted EBITDA and are excluded in the non-GAAP financial performance measures utilized by management.</w:t>
      </w:r>
    </w:p>
    <w:p>
      <w:pPr>
        <w:pStyle w:val="TextBody"/>
        <w:bidi w:val="0"/>
        <w:spacing w:lineRule="auto" w:line="288" w:before="60" w:after="12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Depreciation and amortization on the long-lived assets of the Canadian NGL Business disposal group ceased upon meeting the criteria to be classified as assets held for sale. Management believes that the presentation of Adjusted EBITDA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2 to our Condensed Consolidated Financial Statements for additional information regarding the sale of the Canadian NGL Business. Also see the “—Non-GAAP Financial Measures” section above.</w:t>
      </w:r>
    </w:p>
    <w:p>
      <w:pPr>
        <w:pStyle w:val="TextBody"/>
        <w:bidi w:val="0"/>
        <w:spacing w:lineRule="auto" w:line="288" w:before="60" w:after="12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For a more detailed discussion of these selected items impacting comparability, see the footnotes to the segment financial data tables in Note 11 to our Condensed Consolidated Financial Statements.</w:t>
      </w:r>
    </w:p>
    <w:p>
      <w:pPr>
        <w:pStyle w:val="TextBody"/>
        <w:bidi w:val="0"/>
        <w:spacing w:lineRule="auto" w:line="288" w:before="60" w:after="120"/>
        <w:ind w:left="0" w:right="0" w:hanging="720"/>
        <w:jc w:val="left"/>
        <w:rPr/>
      </w:pPr>
      <w:r>
        <w:rPr>
          <w:rFonts w:ascii="Times New Roman;serif" w:hAnsi="Times New Roman;serif"/>
          <w:b w:val="false"/>
          <w:color w:val="000000"/>
          <w:sz w:val="13"/>
        </w:rPr>
        <w:t>(7)</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60" w:after="120"/>
        <w:ind w:left="0" w:right="0" w:hanging="720"/>
        <w:jc w:val="left"/>
        <w:rPr/>
      </w:pPr>
      <w:r>
        <w:rPr>
          <w:rFonts w:ascii="Times New Roman;serif" w:hAnsi="Times New Roman;serif"/>
          <w:b w:val="false"/>
          <w:color w:val="000000"/>
          <w:sz w:val="13"/>
        </w:rPr>
        <w:t>(8)</w:t>
      </w:r>
      <w:r>
        <w:rPr>
          <w:rFonts w:ascii="Times New Roman;serif" w:hAnsi="Times New Roman;serif"/>
          <w:b w:val="false"/>
          <w:color w:val="000000"/>
          <w:sz w:val="20"/>
        </w:rPr>
        <w:t>We agreed to potential earnout payments associated with recently completed acquisitions, primarily our Cactus III acquisition. We consider the non-cash change in the estimated fair value of such earnout payments as a selected item impacting comparability.</w:t>
      </w:r>
    </w:p>
    <w:p>
      <w:pPr>
        <w:pStyle w:val="TextBody"/>
        <w:bidi w:val="0"/>
        <w:spacing w:lineRule="auto" w:line="288" w:before="0" w:after="120"/>
        <w:ind w:left="0" w:right="0" w:hanging="720"/>
        <w:jc w:val="left"/>
        <w:rPr/>
      </w:pPr>
      <w:r>
        <w:rPr>
          <w:rFonts w:ascii="Times New Roman;serif" w:hAnsi="Times New Roman;serif"/>
          <w:b w:val="false"/>
          <w:color w:val="000000"/>
          <w:sz w:val="13"/>
        </w:rPr>
        <w:t>(9)</w:t>
      </w:r>
      <w:r>
        <w:rPr>
          <w:color w:val="000000"/>
        </w:rPr>
        <w:t>“</w:t>
      </w:r>
      <w:r>
        <w:rPr>
          <w:rFonts w:ascii="Times New Roman;serif" w:hAnsi="Times New Roman;serif"/>
          <w:b w:val="false"/>
          <w:color w:val="000000"/>
          <w:sz w:val="20"/>
        </w:rPr>
        <w:t>Other income, net” on our Condensed Consolidated Statements of Operations, adjusted for selected items impacting comparability (“Adjusted other income, net”) is included in Adjusted EBITDA and excluded from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(10)</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operations through two operating segments: Crude Oil and NGL. Our CODM (our Chief Executive Officer) evaluates segment performance based on measures including Segment Adjusted EBITDA. See Note 11 to our Condensed Consolidated Financial Statements for our definition of Segment Adjusted EBITDA and a reconciliation of Segment Adjusted EBITDA to Income from Continuing Operations, Net of Tax. See Note 20 to our Consolidated Financial Statements included in Part IV of our 2025 Annual Report on Form 10-K for our definition of maintenance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operating results from our Crude Oil segment:</w:t>
      </w:r>
    </w:p>
    <w:p>
      <w:pPr>
        <w:pStyle w:val="TextBody"/>
        <w:bidi w:val="0"/>
        <w:spacing w:before="0" w:after="0"/>
        <w:jc w:val="left"/>
        <w:rPr/>
      </w:pPr>
      <w:r>
        <w:rPr/>
      </w:r>
    </w:p>
    <w:tbl>
      <w:tblPr>
        <w:tblW w:w="12014" w:type="dxa"/>
        <w:jc w:val="left"/>
        <w:tblInd w:w="0" w:type="dxa"/>
        <w:tblLayout w:type="fixed"/>
        <w:tblCellMar>
          <w:top w:w="28" w:type="dxa"/>
          <w:left w:w="28" w:type="dxa"/>
          <w:bottom w:w="28" w:type="dxa"/>
          <w:right w:w="28" w:type="dxa"/>
        </w:tblCellMar>
      </w:tblPr>
      <w:tblGrid>
        <w:gridCol w:w="700"/>
        <w:gridCol w:w="497"/>
        <w:gridCol w:w="49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316"/>
      </w:tblGrid>
      <w:tr>
        <w:trPr/>
        <w:tc>
          <w:tcPr>
            <w:tcW w:w="70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from exit of Canadian NGL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amounts attributable to noncontrolling interests in 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10247" w:type="dxa"/>
        <w:jc w:val="left"/>
        <w:tblInd w:w="0" w:type="dxa"/>
        <w:tblLayout w:type="fixed"/>
        <w:tblCellMar>
          <w:top w:w="28" w:type="dxa"/>
          <w:left w:w="28" w:type="dxa"/>
          <w:bottom w:w="28" w:type="dxa"/>
          <w:right w:w="28" w:type="dxa"/>
        </w:tblCellMar>
      </w:tblPr>
      <w:tblGrid>
        <w:gridCol w:w="881"/>
        <w:gridCol w:w="234"/>
        <w:gridCol w:w="236"/>
        <w:gridCol w:w="109"/>
        <w:gridCol w:w="109"/>
        <w:gridCol w:w="109"/>
        <w:gridCol w:w="360"/>
        <w:gridCol w:w="361"/>
        <w:gridCol w:w="110"/>
        <w:gridCol w:w="109"/>
        <w:gridCol w:w="109"/>
        <w:gridCol w:w="109"/>
        <w:gridCol w:w="308"/>
        <w:gridCol w:w="308"/>
        <w:gridCol w:w="110"/>
        <w:gridCol w:w="109"/>
        <w:gridCol w:w="109"/>
        <w:gridCol w:w="109"/>
        <w:gridCol w:w="240"/>
        <w:gridCol w:w="240"/>
        <w:gridCol w:w="241"/>
        <w:gridCol w:w="109"/>
        <w:gridCol w:w="109"/>
        <w:gridCol w:w="109"/>
        <w:gridCol w:w="180"/>
        <w:gridCol w:w="181"/>
        <w:gridCol w:w="271"/>
        <w:gridCol w:w="109"/>
        <w:gridCol w:w="109"/>
        <w:gridCol w:w="109"/>
        <w:gridCol w:w="109"/>
        <w:gridCol w:w="109"/>
        <w:gridCol w:w="109"/>
        <w:gridCol w:w="360"/>
        <w:gridCol w:w="361"/>
        <w:gridCol w:w="154"/>
        <w:gridCol w:w="109"/>
        <w:gridCol w:w="109"/>
        <w:gridCol w:w="109"/>
        <w:gridCol w:w="308"/>
        <w:gridCol w:w="308"/>
        <w:gridCol w:w="154"/>
        <w:gridCol w:w="109"/>
        <w:gridCol w:w="109"/>
        <w:gridCol w:w="109"/>
        <w:gridCol w:w="240"/>
        <w:gridCol w:w="240"/>
        <w:gridCol w:w="241"/>
        <w:gridCol w:w="109"/>
        <w:gridCol w:w="109"/>
        <w:gridCol w:w="109"/>
        <w:gridCol w:w="180"/>
        <w:gridCol w:w="181"/>
        <w:gridCol w:w="316"/>
      </w:tblGrid>
      <w:tr>
        <w:trPr/>
        <w:tc>
          <w:tcPr>
            <w:tcW w:w="8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Crude oil pipeline tariff (by region)</w:t>
            </w:r>
            <w:r>
              <w:rPr>
                <w:color w:val="000000"/>
              </w:rPr>
              <w:t xml:space="preserve"> </w:t>
            </w:r>
            <w:r>
              <w:rPr>
                <w:rFonts w:ascii="Times New Roman;serif" w:hAnsi="Times New Roman;serif"/>
                <w:b w:val="false"/>
                <w:color w:val="000000"/>
                <w:sz w:val="13"/>
              </w:rPr>
              <w:t>(4)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Permian Basin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South Texas / Eagle 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Mid-Continent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crude oil pipeline tariff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adjustments included in the performance measure utilized by our CODM in the evaluation of segment results. See Note 11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 </w:t>
      </w:r>
    </w:p>
    <w:p>
      <w:pPr>
        <w:pStyle w:val="TextBody"/>
        <w:bidi w:val="0"/>
        <w:spacing w:lineRule="auto" w:line="288" w:before="0" w:after="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Includes volumes (attributable to our interest) from assets owned by unconsolidated entities.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Crude Oil Segment Adjusted EBITDA for the three and six months ended June 30, 2026 increased versus comparable results for the three and six months ended June 30, 2025. The benefit to the 2026 period results from (i) contributions from recently completed acquisitions, (ii) volume growth across our pipeline systems and (iii) market opportunities and optimization initiatives was partially offset by (iii) the impact from certain Permian long-haul contract rates resetting to market in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more detailed discussion of the significant factors impacting Segment Adjusted EBITDA for the three and six months ended June 30, 2026 compared to the same periods in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Net Revenues and Equity Earnings. </w:t>
      </w:r>
      <w:r>
        <w:rPr>
          <w:rFonts w:ascii="Times New Roman;serif" w:hAnsi="Times New Roman;serif"/>
          <w:b w:val="false"/>
          <w:color w:val="000000"/>
          <w:sz w:val="20"/>
        </w:rPr>
        <w:t>Our results were favorably impacted by (i) contributions from the Cactus III acquisition completed in the fourth quarter of 2025, (ii) volume growth across our pipeline systems largely driven by increased production in the Permian Basin region and (iii) market opportunities and optimization initiatives. These favorable impacts were partially offset by (iv) the impact from certain Permian long-haul contract rates resetting to market in 2025, including rates on certain of our equity method investments.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Field Operating Costs.</w:t>
      </w:r>
      <w:r>
        <w:rPr>
          <w:color w:val="000000"/>
        </w:rPr>
        <w:t xml:space="preserve"> </w:t>
      </w:r>
      <w:r>
        <w:rPr>
          <w:rFonts w:ascii="Times New Roman;serif" w:hAnsi="Times New Roman;serif"/>
          <w:b w:val="false"/>
          <w:color w:val="000000"/>
          <w:sz w:val="20"/>
        </w:rPr>
        <w:t>Field operating costs increased for the three and six months ended June 30, 2026 compared to the same periods in 2025. The 2026 periods were primarily impacted by recently completed acquisitions, with recurring period-over-period cost increases being driven by (i) higher volumes, (ii) higher property taxes and (iii) higher environmental remediation costs, all partially offset by (iv) lower employee-related costs associated with the divestiture of certain trucking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NGL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NGL segment operations involve NGL storage and terminalling from our NGL assets located in the United States.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operating results from our NGL segment:</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96"/>
        <w:gridCol w:w="525"/>
        <w:gridCol w:w="527"/>
        <w:gridCol w:w="109"/>
        <w:gridCol w:w="109"/>
        <w:gridCol w:w="109"/>
        <w:gridCol w:w="211"/>
        <w:gridCol w:w="406"/>
        <w:gridCol w:w="109"/>
        <w:gridCol w:w="109"/>
        <w:gridCol w:w="109"/>
        <w:gridCol w:w="109"/>
        <w:gridCol w:w="211"/>
        <w:gridCol w:w="377"/>
        <w:gridCol w:w="109"/>
        <w:gridCol w:w="109"/>
        <w:gridCol w:w="109"/>
        <w:gridCol w:w="109"/>
        <w:gridCol w:w="211"/>
        <w:gridCol w:w="361"/>
        <w:gridCol w:w="109"/>
        <w:gridCol w:w="109"/>
        <w:gridCol w:w="109"/>
        <w:gridCol w:w="109"/>
        <w:gridCol w:w="240"/>
        <w:gridCol w:w="241"/>
        <w:gridCol w:w="271"/>
        <w:gridCol w:w="109"/>
        <w:gridCol w:w="109"/>
        <w:gridCol w:w="109"/>
        <w:gridCol w:w="109"/>
        <w:gridCol w:w="109"/>
        <w:gridCol w:w="109"/>
        <w:gridCol w:w="211"/>
        <w:gridCol w:w="361"/>
        <w:gridCol w:w="109"/>
        <w:gridCol w:w="109"/>
        <w:gridCol w:w="109"/>
        <w:gridCol w:w="109"/>
        <w:gridCol w:w="211"/>
        <w:gridCol w:w="377"/>
        <w:gridCol w:w="109"/>
        <w:gridCol w:w="109"/>
        <w:gridCol w:w="109"/>
        <w:gridCol w:w="109"/>
        <w:gridCol w:w="211"/>
        <w:gridCol w:w="361"/>
        <w:gridCol w:w="109"/>
        <w:gridCol w:w="109"/>
        <w:gridCol w:w="109"/>
        <w:gridCol w:w="109"/>
        <w:gridCol w:w="186"/>
        <w:gridCol w:w="190"/>
        <w:gridCol w:w="323"/>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Field operating costs and segment general and administrative expenses include certain costs that are part of the overhead of continuing operations.</w:t>
      </w:r>
    </w:p>
    <w:p>
      <w:pPr>
        <w:pStyle w:val="TextBody"/>
        <w:bidi w:val="0"/>
        <w:spacing w:lineRule="auto" w:line="288" w:before="0" w:after="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NGL Segment Adjusted EBITDA for the periods presented was largely driven by costs that are part of the overhead of our NGL activities and are included in continuing operations as they are not related to contracts or arrangements included in the sale of the Canadian NGL Business. These costs include information technology, insurance and other shared services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(i) cash flow from operating activities and (ii) borrowings under PAA’s credit facility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and other products, payment of other expenses and interest payments on outstanding debt, (ii) investment and maintenance capital activities, (iii) acquisitions of assets or businesses, (iv) repayment of principal on our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facility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a working capital surplus of $679 million and approximately $3.7 billion of liquidity available to meet our ongoing operating, investing and financing needs, subject to continued covenant compliance, as noted below (in millions): </w:t>
      </w:r>
    </w:p>
    <w:p>
      <w:pPr>
        <w:pStyle w:val="TextBody"/>
        <w:bidi w:val="0"/>
        <w:spacing w:before="0" w:after="0"/>
        <w:jc w:val="left"/>
        <w:rPr/>
      </w:pPr>
      <w:r>
        <w:rPr/>
      </w:r>
    </w:p>
    <w:tbl>
      <w:tblPr>
        <w:tblW w:w="7003" w:type="dxa"/>
        <w:jc w:val="left"/>
        <w:tblInd w:w="0" w:type="dxa"/>
        <w:tblLayout w:type="fixed"/>
        <w:tblCellMar>
          <w:top w:w="28" w:type="dxa"/>
          <w:left w:w="28" w:type="dxa"/>
          <w:bottom w:w="28" w:type="dxa"/>
          <w:right w:w="28" w:type="dxa"/>
        </w:tblCellMar>
      </w:tblPr>
      <w:tblGrid>
        <w:gridCol w:w="2111"/>
        <w:gridCol w:w="1859"/>
        <w:gridCol w:w="1864"/>
        <w:gridCol w:w="251"/>
        <w:gridCol w:w="735"/>
        <w:gridCol w:w="183"/>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Availability under PAA senior unsecured revolving credit facility </w:t>
            </w:r>
            <w:r>
              <w:rPr>
                <w:rFonts w:ascii="Times New Roman;serif" w:hAnsi="Times New Roman;serif"/>
                <w:b w:val="false"/>
                <w:color w:val="000000"/>
                <w:sz w:val="13"/>
              </w:rPr>
              <w:t>(1) (2)</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outstanding under PAA commercial paper program</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availability prior to giving effect to borrowings outstanding under the PAA commercial paper program, which reduce available capacity under the credit facility.</w:t>
      </w:r>
    </w:p>
    <w:p>
      <w:pPr>
        <w:pStyle w:val="TextBody"/>
        <w:bidi w:val="0"/>
        <w:spacing w:lineRule="auto" w:line="288" w:before="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Available capacity under the PAA credit facility was reduced by outstanding letters of credit issued under the facility of $29 million.</w:t>
      </w:r>
    </w:p>
    <w:p>
      <w:pPr>
        <w:pStyle w:val="TextBody"/>
        <w:bidi w:val="0"/>
        <w:spacing w:before="0" w:after="6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2026, PAA entered into a new credit agreement to facilitate the renewal and extension of its credit facilities. The PAA $1.35 billion senior secured hedged inventory facility with maturity date of August 2027 and the PAA $1.35 billion senior unsecured revolving credit facility with maturity date of August 2029 were replaced with a $2.7 billion senior unsecured revolving credit facility with an initial maturity in June 2031. The new credit agreement provides for one or more one-year extensions and have accordion features which, subject to receipt of incremental lender approval and other terms and conditions, permit PAA to increase borrowing capacity to $4.0 billion. The covenants and events of default under the new credit agreement remain substantially unchanged from the previous agreements. See Note 6 to our Condensed Consolidated Financial Statements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Usage of PAA’s credit facility, and, in turn, its commercial paper program, is subject to ongoing compliance with covenants. The credit agreement for PAA’s revolving credit facility (which impact PAA’s ability to access its commercial paper program because it provides the financial backstop that supports its short-term credit ratings) and the indentures governing its senior notes contain cross-default provisions. A default under PAA’s credit agreement or indentures would permit the lenders to accelerate the maturity of the outstanding debt. As long as PAA is in compliance with the provisions in its credit agreement, its ability to make distributions of available cash is not restricted. PAA was in compliance with the covenants contained in its credit agreement and indentures as of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we have, and will continue to have, the ability to access the PAA commercial paper program and credit facility,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2025 Annual Report on Form 10-K for further discussion regarding risks that may impact our liquidity and capital resources.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comprehensive discussion of the primary drivers of cash flow from operating activities, including the impact of varying market conditions and the timing of settlement of our derivatives, see Item 7. “Management’s Discussion and Analysis of Financial Condition and Results of Operations—Liquidity and Capital Resources—Cash Flow from Operating Activities” included in our 2025 Annual Report on Form 10-K.</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continuing operations for the first six months of 2026 and 2025 was $1.211 billion and $1.029 billion, respectively, and primarily resulted from earnings from our operations. In addition, both periods were also impacted by changes in net operating working capital items, while the 2026 period was impacted by higher margin requirements related to our hedging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Capital Expenditures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related to continuing operations and discontinued operations (in millions):</w:t>
      </w:r>
    </w:p>
    <w:p>
      <w:pPr>
        <w:pStyle w:val="TextBody"/>
        <w:bidi w:val="0"/>
        <w:spacing w:before="0" w:after="0"/>
        <w:ind w:left="0" w:right="0" w:firstLine="720"/>
        <w:jc w:val="left"/>
        <w:rPr/>
      </w:pPr>
      <w:r>
        <w:rPr/>
      </w:r>
    </w:p>
    <w:tbl>
      <w:tblPr>
        <w:tblW w:w="9573"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211"/>
        <w:gridCol w:w="46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109"/>
        <w:gridCol w:w="109"/>
        <w:gridCol w:w="109"/>
        <w:gridCol w:w="109"/>
        <w:gridCol w:w="211"/>
        <w:gridCol w:w="466"/>
        <w:gridCol w:w="109"/>
        <w:gridCol w:w="109"/>
        <w:gridCol w:w="109"/>
        <w:gridCol w:w="109"/>
        <w:gridCol w:w="211"/>
        <w:gridCol w:w="61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to PAA </w:t>
            </w:r>
            <w:r>
              <w:rPr>
                <w:rFonts w:ascii="Times New Roman;serif" w:hAnsi="Times New Roman;serif"/>
                <w:b/>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Consolidated </w:t>
            </w:r>
            <w:r>
              <w:rPr>
                <w:rFonts w:ascii="Times New Roman;serif" w:hAnsi="Times New Roman;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Continuing Operations</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Capital Expenditures </w:t>
            </w:r>
            <w:r>
              <w:rPr>
                <w:rFonts w:ascii="Times New Roman;serif" w:hAnsi="Times New Roman;serif"/>
                <w:b w:val="false"/>
                <w:color w:val="000000"/>
                <w:sz w:val="10"/>
              </w:rPr>
              <w:t>(3)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capital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Excludes expenditures attributable to noncontrolling interests, which primarily relate to the Permian JV. Includes results from continuing operations and discontinued operations for all periods presented.</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Includes results from continuing operations and discontinued operations for all periods presented. Capital expenditures related to discontinued operations were $10 million and $20 million for investment and maintenance capital for the six months ended June 30, 2026, respectively. Capital expenditures for investment and maintenance capital related to discontinued operations were $68 million and $28 million for the six months ended June 30, 2025, respectively. There was no acquisition capital related to discontinued operations for any period presented.</w:t>
      </w:r>
    </w:p>
    <w:p>
      <w:pPr>
        <w:pStyle w:val="TextBody"/>
        <w:bidi w:val="0"/>
        <w:spacing w:lineRule="auto" w:line="288" w:before="6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Projected 2026 Capital Expenditures. </w:t>
      </w:r>
      <w:r>
        <w:rPr>
          <w:rFonts w:ascii="Times New Roman;serif" w:hAnsi="Times New Roman;serif"/>
          <w:b w:val="false"/>
          <w:color w:val="000000"/>
          <w:sz w:val="20"/>
        </w:rPr>
        <w:t>Total investment capital for the year ending December 31, 2026 is currently projected to be approximately $535 million ($425 million net to our interest), which includes approximately $10 million related to discontinued operations of the Canadian NGL Business prior to the completion of the divestiture in May 2026. Approximately half of our projected investment capital expenditures are expected to be invested in the Permian JV assets. Additionally, maintenance capital for 2026 is currently projected to be approximately $195 million ($175 million net to our interest), which includes approximately $20 million related to discontinued operations of the Canadian NGL Business prior to the completion of the divestiture in May 2026. Note that potential variation to current capital cost estimates may result from (i) changes to project design, (ii) final cost of materials and labor and (iii) timing of incurrence of costs due to uncontrollable factors such as receipt of permits or regulatory approvals and weather.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we entered into a definitive SPA with Keyera, pursuant to which Keyera agreed to acquire all of the issued and outstanding shares of PMC ULC, our wholly-owned subsidiary that owned the Canadian NGL Business. The transaction closed on May 12, 2026, and, pursuant to the SPA, we received cash consideration of approximately CAD$5.328 billion (approximately $3.883 billion, or approximately $3.483 billion, net of cash divested), including estimated working capital and other adjustments, subject to certain post-closing adjustments as defined in the SPA that are expected in the third quarter of 2026. We used the net proceeds to reduce leverage, which included the repayment of outstanding borrowings under PAA’s commercial paper program and term loan, as well as the repayment of its $750 million, 4.50% senior notes that were due December 2026. See Note 2 to our Condensed Consolidated Financial Statements for additional information regarding the sale of the Canadian NGL Business.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continuously engaged in the evaluation of potential transactions that support our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2025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shareholders and noncontrolling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Borrowings and Repayments Under Credit Agreements and Term Loan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had net repayments under the PAA credit facilities and commercial paper program of $970 million. The net repayments resulted primarily from cash flow from operating activities and proceeds from the sale of the Canadian NGL Business, which offset borrowings during the period related to funding needs for capital investments, inventory purchases and other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had net borrowings under the PAA commercial paper program of $69 million. The net borrowings resulted primarily from funding needs for capital investments, inventory purchases and other general partnership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14, 2026, in connection with the closing of the Canadian NGL Business divestiture, PAA terminated the senior unsecured term loan agreement and repaid the outstanding borrowings of $1.1 billion. We used a portion of the proceeds from the sale of the Canadian NGL Business to fund the repayment. See Note 2 and Note 6 to our Condensed Consolidated Financial Statements for additional information regarding the Canadian NGL Business divestiture and the term loan agreement,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25, 2026, PAA redeemed its $750 million, 4.50% senior notes that were due December 2026. We repaid these senior notes with proceeds from the sale of the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Common Equity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repurchases under the Common Equity Repurchase Program (the “Program”) during the six months ended June 30, 2026. PAA repurchased approximately 0.5 million common units under the Program through open market purchases that settled during the six months ended June 30, 2025 for a total purchase price of $8 million, including commissions and fees. The repurchased PAA common units were canceled immediately upon acquisition, as were the Class C shares held by PAA associated with the repurchased common units. At June 30, 2026, the remaining available capacity under the Program was $190 million. See Note 12 to our Consolidated Financial Statements included in Part IV of our 2025 Annual Report on Form 10-K for additional information regarding the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Registration Statements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PAGP Registration Statements.</w:t>
      </w:r>
      <w:r>
        <w:rPr>
          <w:color w:val="000000"/>
        </w:rPr>
        <w:t xml:space="preserve"> </w:t>
      </w:r>
      <w:r>
        <w:rPr>
          <w:rFonts w:ascii="Times New Roman;serif" w:hAnsi="Times New Roman;serif"/>
          <w:b w:val="false"/>
          <w:color w:val="000000"/>
          <w:sz w:val="20"/>
        </w:rPr>
        <w:t>We have filed with the SEC a shelf registration statement that, subject to effectiveness at the time of use, allows us to issue up to a specified amount of equity securities (“PAGP Traditional Shelf”). At June 30, 2026,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six months ended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Registration Statements.</w:t>
      </w:r>
      <w:r>
        <w:rPr>
          <w:color w:val="000000"/>
        </w:rPr>
        <w:t xml:space="preserve"> </w:t>
      </w:r>
      <w:r>
        <w:rPr>
          <w:rFonts w:ascii="Times New Roman;serif" w:hAnsi="Times New Roman;serif"/>
          <w:b w:val="false"/>
          <w:color w:val="000000"/>
          <w:sz w:val="20"/>
        </w:rPr>
        <w:t>PAA periodically accesses the capital markets for both equity and debt financing. PAA has filed with the SEC a shelf registration statement that, subject to effectiveness at the time of use, allows PAA to issue up to a specified amount of debt or equity securities (“PAA Traditional Shelf”), under which PAA had approximately $1.1 billion of unsold securities available at June 30, 2026. PAA also has access to a universal shelf registration statement (“PAA WKSI Shelf”), which provides it with the ability to offer and sell an unlimited amount of debt and equity securities, subject to market conditions and its capital needs. PAA did not conduct any offerings under the PAA Traditional Shelf or PAA WKSI Shelf during the six months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Our Class A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14, 2026, we will pay a quarterly cash distribution of $0.4175 per Class A share ($1.67 per Class A share on an annualized basis) to shareholders of record at the close of business on July 31, 2026 for the period from April 1, 2026 through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7 to our Condensed Consolidated Financial Statements for details of distributions paid during or pertaining to the first six months of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 represent amounts paid on interests in consolidated entities that are not owned by us. As of June 30, 2026, noncontrolling interests in our subsidiaries consisted of (i) limited partner interests in PAA including a 69% interest in PAA’s common units and PAA’s Series A preferred units combined and 100% of PAA’s Series B preferred units, (ii) an approximate 15% limited partner interest in AAP, (iii) a 35% interest in the Permian JV, (iv) a 30% interest in Cactus II and (v) a 33% interest in Red River.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Distributions to PAA’s Series A preferred unitholders.</w:t>
      </w:r>
      <w:r>
        <w:rPr>
          <w:color w:val="000000"/>
        </w:rPr>
        <w:t xml:space="preserve"> </w:t>
      </w:r>
      <w:r>
        <w:rPr>
          <w:rFonts w:ascii="Times New Roman;serif" w:hAnsi="Times New Roman;serif"/>
          <w:b w:val="false"/>
          <w:color w:val="000000"/>
          <w:sz w:val="20"/>
        </w:rPr>
        <w:t>On August 14, 2026, PAA will pay a quarterly cash distribution of approximately $0.615 per unit to its Series A preferred unitholders of record at the close of business on July 31, 2026 for the period from April 1, 2026 through June 30,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Distributions to PAA’s Series B preferred unitholders.</w:t>
      </w:r>
      <w:r>
        <w:rPr>
          <w:color w:val="000000"/>
        </w:rPr>
        <w:t xml:space="preserve"> </w:t>
      </w:r>
      <w:r>
        <w:rPr>
          <w:rFonts w:ascii="Times New Roman;serif" w:hAnsi="Times New Roman;serif"/>
          <w:b w:val="false"/>
          <w:color w:val="000000"/>
          <w:sz w:val="20"/>
        </w:rPr>
        <w:t>On August 17, 2026, PAA will pay a quarterly cash distribution of approximately $20.50 per unit to its Series B preferred unitholders of record at the close of business on August 3, 2026 for the period from May 15, 2026 through August 14,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Distributions to PAA’s common unitholders</w:t>
      </w:r>
      <w:r>
        <w:rPr>
          <w:rFonts w:ascii="Times New Roman;serif" w:hAnsi="Times New Roman;serif"/>
          <w:b w:val="false"/>
          <w:color w:val="000000"/>
          <w:sz w:val="20"/>
        </w:rPr>
        <w:t>. On August 14, 2026, PAA will pay a quarterly cash distribution of $0.4175 per common unit ($1.67 per unit on an annualized basis) to its common unitholders of record at the close of business on July 31, 2026 for the period from April 1, 2026 through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7 to our Condensed Consolidated Financial Statements for details of distributions paid during or pertaining to the first six months of 2026, including distributions to PAA’s preferred unitholders.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contingencies that may impact us, see Note 10 to our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Purchase Obligations.</w:t>
      </w:r>
      <w:r>
        <w:rPr>
          <w:color w:val="000000"/>
        </w:rPr>
        <w:t xml:space="preserve"> </w:t>
      </w:r>
      <w:r>
        <w:rPr>
          <w:rFonts w:ascii="Times New Roman;serif" w:hAnsi="Times New Roman;serif"/>
          <w:b w:val="false"/>
          <w:color w:val="000000"/>
          <w:sz w:val="20"/>
        </w:rPr>
        <w:t xml:space="preserve">In the ordinary course of doing business, we purchase crude oil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our best estimate of the amount and timing of these payments as of June 30, 2026 (in millions):</w:t>
      </w:r>
    </w:p>
    <w:p>
      <w:pPr>
        <w:pStyle w:val="TextBody"/>
        <w:bidi w:val="0"/>
        <w:spacing w:before="0" w:after="0"/>
        <w:jc w:val="left"/>
        <w:rPr/>
      </w:pPr>
      <w:r>
        <w:rPr/>
      </w:r>
    </w:p>
    <w:tbl>
      <w:tblPr>
        <w:tblW w:w="10600" w:type="dxa"/>
        <w:jc w:val="left"/>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Crude oil and other purchases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primarily based on estimated volumes and market prices based on average activity during June 2026.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Letters of Credit.</w:t>
      </w:r>
      <w:r>
        <w:rPr>
          <w:color w:val="000000"/>
        </w:rPr>
        <w:t xml:space="preserve"> </w:t>
      </w: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June 30, 2026 and December 31, 2025, we had outstanding letters of credit of approximately $63 million and $95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 to our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expected receipt of, and amounts of, distributions from Plains AAP, L.P., and the effect thereof on our ability to pay distributions to our Class A shareholders;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declines in global crude oil demand and/or crude oil prices or other factors that correspondingly lead to a significant reduction of North American crude oil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impacts of global geopolitical events, including conflicts in the Middle East and elsewhere, on commodity price volatility and crude oil supply and demand, as well as broader impacts on financial markets and the global macroeconomic environment;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refinery capacity and other factors affecting demand for various grades of crude oil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unanticipated changes in crude oil market structure, grade differentials and volatility (or lack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availability of, and PAA’s ability to consummate, acquisitions, divestitures, joint ventures or other strategic opportunities and realize benefits therefrom;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successful operation of joint ventures and joint operating arrangements PAA enters into from time to time, whether relating to assets operated by PAA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occurrence of a natural disaster, catastrophe, terrorist attack (including eco-terrorist attacks) or other event that materially impacts our operations, including cyber or other attacks on our or our service providers’ electronic and computer systems;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weather interference with business operations or project construction, including the impact of extreme weather events or conditions (including hurricanes, floods, wildfires and drought);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pace of development of natural gas or other infrastructure and its impact on expected crude oil production growth in the Permian Basin;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disruptions to futures markets for crude oil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maintenance of PAA’s credit ratings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incurrence of costs and expenses related to unexpected or unplanned capital or maintenance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to implement or capitalize, or delays in implementing or capitalizing, on investment capital projects, whether due to permitting delays, permitting withdrawals or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to implement or realize anticipated benefits from operational and organizational streamlining and efficiency efforts and initiatives;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amplification of other risks caused by volatile or closed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deferral of current revenue recognition attributable to deficiency payments received from customers who fail to ship or move their minimum contracted volumes;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the debt and equity markets, including the price of PAA’s units at the time of vesting under its long-term incentive plans;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risks related to the development and operation of our assets;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factors and uncertainties inherent in the transportation, storage, terminalling and marketing of crude oil and other petroleum products.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factors described herein, as well as factors that are unknown or unpredictable, could also have a material adverse effect on future results. Please read “Risk Factors” discussed in Item 1A of our 2025 Annual Report on Form 10-K. Except as required by applicable securities laws, we do not intend to update these forward-looking statements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commodity price risk, interest rate risk and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derivative instruments to hedge price risk associated with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8 to our Condensed Consolidated Financial Statements for further discussion regarding our hedging strategies and objectives.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commodity derivatives and the change in fair value as of June 30, 2026 that would be expected from a 10% price increase or decrease is shown in the table below (in millions):</w:t>
      </w:r>
    </w:p>
    <w:p>
      <w:pPr>
        <w:pStyle w:val="TextBody"/>
        <w:bidi w:val="0"/>
        <w:spacing w:before="0" w:after="0"/>
        <w:jc w:val="left"/>
        <w:rPr/>
      </w:pPr>
      <w:r>
        <w:rPr/>
      </w:r>
    </w:p>
    <w:tbl>
      <w:tblPr>
        <w:tblW w:w="5247" w:type="dxa"/>
        <w:jc w:val="left"/>
        <w:tblInd w:w="0" w:type="dxa"/>
        <w:tblLayout w:type="fixed"/>
        <w:tblCellMar>
          <w:top w:w="28" w:type="dxa"/>
          <w:left w:w="28" w:type="dxa"/>
          <w:bottom w:w="28" w:type="dxa"/>
          <w:right w:w="28" w:type="dxa"/>
        </w:tblCellMar>
      </w:tblPr>
      <w:tblGrid>
        <w:gridCol w:w="494"/>
        <w:gridCol w:w="434"/>
        <w:gridCol w:w="437"/>
        <w:gridCol w:w="268"/>
        <w:gridCol w:w="478"/>
        <w:gridCol w:w="140"/>
        <w:gridCol w:w="109"/>
        <w:gridCol w:w="109"/>
        <w:gridCol w:w="109"/>
        <w:gridCol w:w="412"/>
        <w:gridCol w:w="500"/>
        <w:gridCol w:w="214"/>
        <w:gridCol w:w="109"/>
        <w:gridCol w:w="109"/>
        <w:gridCol w:w="109"/>
        <w:gridCol w:w="403"/>
        <w:gridCol w:w="518"/>
        <w:gridCol w:w="295"/>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10%</w:t>
              <w:b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Debt</w:t>
      </w:r>
      <w:r>
        <w:rPr>
          <w:rFonts w:ascii="Times New Roman;serif" w:hAnsi="Times New Roman;serif"/>
          <w:b w:val="false"/>
          <w:color w:val="000000"/>
          <w:sz w:val="20"/>
        </w:rPr>
        <w:t>.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PAA did not have any interest rate derivatives as of June 30, 2026. All of PAA’s senior notes are fixed rate notes and thus are not subject to interest rate risk. PAA did not have any variable rate debt outstanding as of June 30, 2026. The average interest rate on PAA’s variable rate debt that was outstanding during the six months ended June 30, 2026 was approximately 4.4%, based upon rates in effect during such period. See Note 6 to our Condensed Consolidated Financial Statements for additional information regarding our debt arrangements.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B Preferred Units</w:t>
      </w:r>
      <w:r>
        <w:rPr>
          <w:rFonts w:ascii="Times New Roman;serif" w:hAnsi="Times New Roman;serif"/>
          <w:b w:val="false"/>
          <w:color w:val="000000"/>
          <w:sz w:val="20"/>
        </w:rPr>
        <w:t>. Distributions on PAA’s Series B preferred units accumulate and are payable quarterly in arrears on the 15th day of February, May, August and November. Distributions on PAA’s Series B preferred units accumulate based on the applicable three-month SOFR, plus certain adjustments. Based upon the Series B preferred units outstanding at June 30, 2026 and the liquidation preference of $1,000 per unit, a change of 100 basis points in interest rates would increase or decrease the annual distributions on PAA’s Series B preferred units by approximately $8 million. See Note 12 to our Consolidated Financial Statements included in Part IV of our 2025 Annual Report on Form 10-K for additional information regarding PAA’s Series B preferred unit distributions.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June 30, 2026,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second quarter of 2026 that have materially affected, or are reasonably likely to materially affect, our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xml:space="preserve">   </w:t>
      </w:r>
      <w:r>
        <w:rPr>
          <w:rFonts w:ascii="Times New Roman;serif" w:hAnsi="Times New Roman;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included in Note 10 to our Condensed Consolidated Financial Statements, and is incorporated herein by reference thereto.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 discussion of our risk factors, see Item 1A. of our 2025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5.</w:t>
      </w:r>
      <w:r>
        <w:rPr>
          <w:color w:val="000000"/>
        </w:rPr>
        <w:t xml:space="preserve">   </w:t>
      </w:r>
      <w:r>
        <w:rPr>
          <w:rFonts w:ascii="Times New Roman;serif" w:hAnsi="Times New Roman;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Rule 16a-1(f) of the Exchange Act) adopted or terminated any Rule 10b5-1 trading arrangement or any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 xml:space="preserve">EXHIBITS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2"/>
        <w:gridCol w:w="248"/>
        <w:gridCol w:w="249"/>
        <w:gridCol w:w="115"/>
        <w:gridCol w:w="115"/>
        <w:gridCol w:w="116"/>
        <w:gridCol w:w="2872"/>
        <w:gridCol w:w="2562"/>
        <w:gridCol w:w="364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Share Purchase Agreement, dated as of June 17, 2025, by and between Plains Midstream Luxembourg S.A.R.L. and Keyera Corp. (portions of this exhibit have been omitted pursuant to Item 601(b)(2) of Regulation S-K) (incorporated by reference to Exhibit 2.1 to our Quarterly Report on Form 10-Q for the quarter ended June 30, 2025).</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First Amendment to Share Purchase Agreement, dated as of May 11, 2026, by and between Plains Midstream Luxembourg S.A.R.L. and Keyera Corp. (portions of this exhibit have been omitted pursuant to Item 601(b)(2) of Regulation S-K) (incorporated by reference to Exhibit 2.2 to our Current Report on Form 8-K filed May 12, 2026).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Second Amendment to Share Purchase Agreement, dated as of May 12, 2026, by and between Plains Midstream Luxembourg S.A.R.L. and Keyera Corp. (portions of this exhibit have been omitted pursuant to Item 601(b)(2) of Regulation S-K) (incorporated by reference to Exhibit 2.3 to our Current Report on Form 8-K filed May 12, 2026).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2.4 *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Third Amendment to Share Purchase Agreement, dated as of May 12, 2026, by and between Plains Midstream Luxembourg S.A.R.L. and Keyera Corp. (portions of this exhibit have been omitted pursuant to Item 601(b)(2) of Regulation S-K) (incorporated by reference to Exhibit 2.4 to our Current Report on Form 8-K filed May 12, 2026).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Limited Partnership of Plains GP Holdings, L.P. (incorporated by reference to Exhibit 3.1 to our Registration Statement on Form S-1 (333-190227) filed July 29, 2013).</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Second Amended and Restated Agreement of Limited Partnership of Plains GP Holdings, L.P. dated as of November 15, 2016 (incorporated by reference to Exhibit 3.2 to our Current Report on Form 8-K filed November 21, 2016).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Amendment No. 1 dated April 6, 2020 to the Second Amended and Restated Agreement of Limited Partnership of Plains GP Holdings, L.P. (incorporated by reference to Exhibit 3.1 to our Current Report on Form 8-K filed April 9, 2020).</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Formation of PAA GP Holdings LLC (incorporated by reference to Exhibit 3.3 to our Registration Statement on Form S-1 (333-190227) filed July 29, 2013).</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Fourth Amended and Restated Limited Liability Company Agreement of PAA GP Holdings LLC dated effective as of August 19, 2021 (incorporated by reference to Exhibit 3.11 to our Annual Report on Form 10-K for the year ended December 31, 2021).</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Seventh Amended and Restated Agreement of Limited Partnership of Plains All American Pipeline, L.P., dated as of October 10, 2017 (incorporated by reference to Exhibit 3.1 to PAA’s Current Report on Form 8-K filed October 12, 2017).</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15"/>
        <w:gridCol w:w="115"/>
        <w:gridCol w:w="116"/>
        <w:gridCol w:w="2805"/>
        <w:gridCol w:w="2719"/>
        <w:gridCol w:w="38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Limited Liability Company Agreement of PAA GP LLC dated December 28, 2007 (incorporated by reference to Exhibit 3.3 to PAA’s Current Report on Form 8-K filed January 4, 2008).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Indenture dated September 25, 2002 among Plains All American Pipeline, L.P., PAA Finance Corp. and Wachovia Bank, National Association, as trustee (incorporated by reference to Exhibit 4.1 to PAA’s Quarterly Report on Form 10-Q for the quarter ended September 30,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Thirty-Third Supplemental Indenture (5.70% Senior Notes due 2034) dated June 27, 2024, by and among Plains All American Pipeline, L.P., PAA Finance Corp. and U.S. Bank Trust Company, National Association, as trustee (incorporated by reference to Exhibit 4.1 to PAA’s Current Report on Form 8-K filed June 27, 2024)</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Thirty-Fourth Supplemental Indenture (5.950% Senior Notes due 2035) dated January 15, 2025, by and among Plains All American Pipeline, L.P., PAA Finance Corp. and U.S. Bank Trust Company, National Association, as trustee (incorporated by reference to Exhibit 4.1 to PAA’s Current Report on Form 8-K filed January 15,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Thirty-Fifth Supplemental Indenture (4.70% Senior Notes due 2031) dated September 8, 2025, by and among Plains All American Pipeline, L.P., PAA Finance Corp. and U.S. Bank Trust Company, National Association, as trustee (incorporated by reference to Exhibit 4.1 to PAA’s Current Report on Form 8-K filed September 8, 2025)</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Thirty-Sixth Supplemental Indenture (5.60% Senior Notes due 2036) dated September 8, 2025, by and among Plains All American Pipeline, L.P., PAA Finance Corp. and U.S. Bank Trust Company, National Association, as trustee (incorporated by reference to Exhibit 4.3 to PAA’s Current Report on Form 8-K filed September 8, 2025)</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28"/>
        <w:gridCol w:w="178"/>
        <w:gridCol w:w="180"/>
        <w:gridCol w:w="115"/>
        <w:gridCol w:w="115"/>
        <w:gridCol w:w="116"/>
        <w:gridCol w:w="2786"/>
        <w:gridCol w:w="2686"/>
        <w:gridCol w:w="3801"/>
      </w:tblGrid>
      <w:tr>
        <w:trPr/>
        <w:tc>
          <w:tcPr>
            <w:tcW w:w="2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Shareholder and Registration Rights Agreement dated October 21, 2013 by and among Plains GP Holdings, L.P. and the other parties signatory thereto (incorporated by reference to Exhibit 4.1 to our Current Report on Form 8-K filed October 25, 2013).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Description of Our Securities (incorporated by reference to Exhibit 4.15 to our Annual Report on Form 10-K for the year ended December 31, 2024).</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Credit Agreement dated as of June 12, 2026, among Plains All American Pipeline, L.P., Plains Marketing, L.P. and Plains Canada Liquid Pipelines ULC, as Borrowers; certain subsidiaries of Plains All American Pipeline, L.P. from time to time party thereto, as Designated Borrowers; Bank of America, N.A., as Administrative Agent and Swing Line Lender; Bank of America, N.A., PNC Bank, National Association and Wells Fargo Bank, National Association, as L/C Issuers; and the other Lenders party thereto (incorporated by reference to Exhibit 10.1 to our Current Report on Form 8-K filed June 17, 2026).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6exhibit311.htm">
              <w:r>
                <w:rPr>
                  <w:rStyle w:val="InternetLink"/>
                  <w:rFonts w:ascii="Times New Roman;serif" w:hAnsi="Times New Roman;serif"/>
                  <w:b w:val="false"/>
                  <w:color w:val="0000FF"/>
                  <w:sz w:val="20"/>
                  <w:u w:val="single"/>
                </w:rPr>
                <w:t>Certification of Principal Executive Officer pursuant to Exchange Act Rules 13a-14(a) and 15d-14(a).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6exhibit312.htm">
              <w:r>
                <w:rPr>
                  <w:rStyle w:val="InternetLink"/>
                  <w:rFonts w:ascii="Times New Roman;serif" w:hAnsi="Times New Roman;serif"/>
                  <w:b w:val="false"/>
                  <w:color w:val="0000FF"/>
                  <w:sz w:val="20"/>
                  <w:u w:val="single"/>
                </w:rPr>
                <w:t>Certification of Principal Financial Officer pursuant to Exchange Act Rules 13a-14(a) and 15d-14(a).</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6exhibit321.htm">
              <w:r>
                <w:rPr>
                  <w:rStyle w:val="InternetLink"/>
                  <w:rFonts w:ascii="Times New Roman;serif" w:hAnsi="Times New Roman;serif"/>
                  <w:b w:val="false"/>
                  <w:color w:val="0000FF"/>
                  <w:sz w:val="20"/>
                  <w:u w:val="single"/>
                </w:rPr>
                <w:t>Certification of Principal Executive Officer pursuant to 18 U.S.C. 1350.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6exhibit322.htm">
              <w:r>
                <w:rPr>
                  <w:rStyle w:val="InternetLink"/>
                  <w:rFonts w:ascii="Times New Roman;serif" w:hAnsi="Times New Roman;serif"/>
                  <w:b w:val="false"/>
                  <w:color w:val="0000FF"/>
                  <w:sz w:val="20"/>
                  <w:u w:val="single"/>
                </w:rPr>
                <w:t>Certification of Principal Financial Officer pursuant to 18 U.S.C. 1350.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Certain information has been omitted from this exhibit as such omitted information is both (i) not material and (ii) the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type of information that the registrant treats as private or confidential.</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Filed herewith.</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Furnished herewith.</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896c3386c3f4d339aa465e9b2203ee5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071" w:type="dxa"/>
        <w:jc w:val="left"/>
        <w:tblInd w:w="0" w:type="dxa"/>
        <w:tblLayout w:type="fixed"/>
        <w:tblCellMar>
          <w:top w:w="28" w:type="dxa"/>
          <w:left w:w="28" w:type="dxa"/>
          <w:bottom w:w="28" w:type="dxa"/>
          <w:right w:w="28" w:type="dxa"/>
        </w:tblCellMar>
      </w:tblPr>
      <w:tblGrid>
        <w:gridCol w:w="493"/>
        <w:gridCol w:w="435"/>
        <w:gridCol w:w="437"/>
        <w:gridCol w:w="417"/>
        <w:gridCol w:w="417"/>
        <w:gridCol w:w="417"/>
        <w:gridCol w:w="2171"/>
        <w:gridCol w:w="2171"/>
        <w:gridCol w:w="311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PLAINS GP HOLDINGS,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GP HOLDINGS LLC,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its general partner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Willie Chiang,</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Chairman of the Board, Chief Executive Officer and President of PAA GP Holdings LLC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 Swanson,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Financial Officer of PAA GP Holdings LLC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Herbold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Chris Herbold,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Senior Vice President, Finance and Chief Accounting Officer of PAA GP Holdings LLC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8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224" w:type="dxa"/>
        <w:jc w:val="left"/>
        <w:tblInd w:w="0" w:type="dxa"/>
        <w:tblLayout w:type="fixed"/>
        <w:tblCellMar>
          <w:top w:w="28" w:type="dxa"/>
          <w:left w:w="28" w:type="dxa"/>
          <w:bottom w:w="28" w:type="dxa"/>
          <w:right w:w="28" w:type="dxa"/>
        </w:tblCellMar>
      </w:tblPr>
      <w:tblGrid>
        <w:gridCol w:w="1031"/>
        <w:gridCol w:w="905"/>
        <w:gridCol w:w="1288"/>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Willie Chiang</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GP HOLDINGS,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Chief Executive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accompanying report on Form 10-Q for the period ended June 30, 2026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1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Willie Chiang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GP HOLDINGS,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Executive Vice President and Chief Financial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accompanying report on Form 10-Q for the period ended June 30, 2026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890" w:type="dxa"/>
        <w:jc w:val="lef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Al Swanson</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990/000158199025000021/pagpq22025exhibit21.htm" TargetMode="External"/><Relationship Id="rId3" Type="http://schemas.openxmlformats.org/officeDocument/2006/relationships/hyperlink" Target="https://www.sec.gov/Archives/edgar/data/1581990/000110465926059512/tm2614304d1_ex2-2.htm" TargetMode="External"/><Relationship Id="rId4" Type="http://schemas.openxmlformats.org/officeDocument/2006/relationships/hyperlink" Target="https://www.sec.gov/Archives/edgar/data/1581990/000110465926059512/tm2614304d1_ex2-3.htm" TargetMode="External"/><Relationship Id="rId5" Type="http://schemas.openxmlformats.org/officeDocument/2006/relationships/hyperlink" Target="https://www.sec.gov/Archives/edgar/data/1581990/000110465926059512/tm2614304d1_ex2-4.htm" TargetMode="External"/><Relationship Id="rId6" Type="http://schemas.openxmlformats.org/officeDocument/2006/relationships/hyperlink" Target="https://www.sec.gov/Archives/edgar/data/1581990/000104746913007875/a2216069zex-3_1.htm" TargetMode="External"/><Relationship Id="rId7" Type="http://schemas.openxmlformats.org/officeDocument/2006/relationships/hyperlink" Target="https://www.sec.gov/Archives/edgar/data/1581990/000110465916158356/a16-21845_1ex3d2.htm" TargetMode="External"/><Relationship Id="rId8" Type="http://schemas.openxmlformats.org/officeDocument/2006/relationships/hyperlink" Target="https://www.sec.gov/Archives/edgar/data/1581990/000158199020000012/exhibit31.htm" TargetMode="External"/><Relationship Id="rId9" Type="http://schemas.openxmlformats.org/officeDocument/2006/relationships/hyperlink" Target="https://www.sec.gov/Archives/edgar/data/1581990/000104746913007875/a2216069zex-3_3.htm" TargetMode="External"/><Relationship Id="rId10" Type="http://schemas.openxmlformats.org/officeDocument/2006/relationships/hyperlink" Target="https://www.sec.gov/Archives/edgar/data/1581990/000158199022000006/pagp202110-kexhibit311a.htm" TargetMode="External"/><Relationship Id="rId11" Type="http://schemas.openxmlformats.org/officeDocument/2006/relationships/hyperlink" Target="https://www.sec.gov/Archives/edgar/data/1070423/000110465917061889/a17-22685_5ex3d1.htm" TargetMode="External"/><Relationship Id="rId12" Type="http://schemas.openxmlformats.org/officeDocument/2006/relationships/hyperlink" Target="https://www.sec.gov/Archives/edgar/data/1581990/000110465916158356/a16-21845_1ex3d3.htm" TargetMode="External"/><Relationship Id="rId13" Type="http://schemas.openxmlformats.org/officeDocument/2006/relationships/hyperlink" Target="https://www.sec.gov/Archives/edgar/data/1581990/000110465916158356/a16-21845_1ex3d4.htm" TargetMode="External"/><Relationship Id="rId14" Type="http://schemas.openxmlformats.org/officeDocument/2006/relationships/hyperlink" Target="https://www.sec.gov/Archives/edgar/data/1581990/000110465918060012/a18-36197_1ex3d1.htm" TargetMode="External"/><Relationship Id="rId15" Type="http://schemas.openxmlformats.org/officeDocument/2006/relationships/hyperlink" Target="https://www.sec.gov/Archives/edgar/data/1581990/000110465919032813/a19-10857_1ex3d1.htm" TargetMode="External"/><Relationship Id="rId16" Type="http://schemas.openxmlformats.org/officeDocument/2006/relationships/hyperlink" Target="https://www.sec.gov/Archives/edgar/data/1581990/000110465923093996/tm2324102d2_ex3-1.htm" TargetMode="External"/><Relationship Id="rId17" Type="http://schemas.openxmlformats.org/officeDocument/2006/relationships/hyperlink" Target="https://www.sec.gov/Archives/edgar/data/1070423/000095012908000071/h52770exv3w3.htm" TargetMode="External"/><Relationship Id="rId18" Type="http://schemas.openxmlformats.org/officeDocument/2006/relationships/hyperlink" Target="https://www.sec.gov/Archives/edgar/data/1070423/000089924302002834/dex41.txt" TargetMode="External"/><Relationship Id="rId19" Type="http://schemas.openxmlformats.org/officeDocument/2006/relationships/hyperlink" Target="https://www.sec.gov/Archives/edgar/data/1070423/000110465906034368/a06-11663_1ex4d1.htm" TargetMode="External"/><Relationship Id="rId20" Type="http://schemas.openxmlformats.org/officeDocument/2006/relationships/hyperlink" Target="https://www.sec.gov/Archives/edgar/data/1070423/000095012906009235/h40667exv4w2.htm" TargetMode="External"/><Relationship Id="rId21" Type="http://schemas.openxmlformats.org/officeDocument/2006/relationships/hyperlink" Target="https://www.sec.gov/Archives/edgar/data/1070423/000119312512132295/d321017dex43.htm" TargetMode="External"/><Relationship Id="rId22" Type="http://schemas.openxmlformats.org/officeDocument/2006/relationships/hyperlink" Target="https://www.sec.gov/Archives/edgar/data/1070423/000119312512499932/d453762dex43.htm" TargetMode="External"/><Relationship Id="rId23" Type="http://schemas.openxmlformats.org/officeDocument/2006/relationships/hyperlink" Target="https://www.sec.gov/Archives/edgar/data/1581990/000119312514164185/d717953dex41.htm" TargetMode="External"/><Relationship Id="rId24" Type="http://schemas.openxmlformats.org/officeDocument/2006/relationships/hyperlink" Target="https://www.sec.gov/Archives/edgar/data/1581990/000119312514440012/d835488dex43.htm" TargetMode="External"/><Relationship Id="rId25" Type="http://schemas.openxmlformats.org/officeDocument/2006/relationships/hyperlink" Target="https://www.sec.gov/Archives/edgar/data/1070423/000141057819001281/tv529555_ex4-1.htm" TargetMode="External"/><Relationship Id="rId26" Type="http://schemas.openxmlformats.org/officeDocument/2006/relationships/hyperlink" Target="https://www.sec.gov/Archives/edgar/data/1070423/000110465920072270/tm2022235d1_ex4-1.htm" TargetMode="External"/><Relationship Id="rId27" Type="http://schemas.openxmlformats.org/officeDocument/2006/relationships/hyperlink" Target="https://www.sec.gov/Archives/edgar/data/1070423/000110465924075672/tm2418387d1_ex4-1.htm" TargetMode="External"/><Relationship Id="rId28" Type="http://schemas.openxmlformats.org/officeDocument/2006/relationships/hyperlink" Target="https://www.sec.gov/Archives/edgar/data/1070423/000110465925003785/tm253436d1_ex4-1.htm" TargetMode="External"/><Relationship Id="rId29" Type="http://schemas.openxmlformats.org/officeDocument/2006/relationships/hyperlink" Target="https://www.sec.gov/Archives/edgar/data/1070423/000110465925088257/tm2524999d4_ex4-1.htm" TargetMode="External"/><Relationship Id="rId30" Type="http://schemas.openxmlformats.org/officeDocument/2006/relationships/hyperlink" Target="https://www.sec.gov/Archives/edgar/data/1070423/000110465925088257/tm2524999d4_ex4-3.htm" TargetMode="External"/><Relationship Id="rId31" Type="http://schemas.openxmlformats.org/officeDocument/2006/relationships/hyperlink" Target="https://www.sec.gov/Archives/edgar/data/1581990/000110465913078057/a13-22338_2ex4d1.htm" TargetMode="External"/><Relationship Id="rId32" Type="http://schemas.openxmlformats.org/officeDocument/2006/relationships/hyperlink" Target="https://www.sec.gov/Archives/edgar/data/1581990/000158199025000006/pagp202410-kexhibit415.htm" TargetMode="External"/><Relationship Id="rId33" Type="http://schemas.openxmlformats.org/officeDocument/2006/relationships/hyperlink" Target="https://www.sec.gov/Archives/edgar/data/1581990/000110465926075189/tm2618136d1_ex10-1.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30473</Words>
  <Characters>167435</Characters>
  <CharactersWithSpaces>195432</CharactersWithSpaces>
  <Paragraphs>4756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