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DeSanctis Ellen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CLAY STREET, SUITE 1600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3"/>
        <w:gridCol w:w="771"/>
        <w:gridCol w:w="600"/>
        <w:gridCol w:w="354"/>
        <w:gridCol w:w="86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44,500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66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Class A shares granted under Long-Term Incentive Plan (includes associated dividend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Class A share is deliverable for each Phantom Class A share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Upon termination of service as director, other than because of death, disability or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 F. Gullion,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5607" TargetMode="External"/><Relationship Id="rId5" Type="http://schemas.openxmlformats.org/officeDocument/2006/relationships/hyperlink" Target="http://www.sec.gov/cgi-bin/browse-edgar?action=getcompany&amp;CIK=00015819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3492</Characters>
  <CharactersWithSpaces>4049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