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2"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660" w:right="1560" w:hanging="3652"/>
        <w:spacing w:after="0" w:line="410"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5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10"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7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99" w:lineRule="exact"/>
        <w:rPr>
          <w:sz w:val="24"/>
          <w:szCs w:val="24"/>
          <w:color w:val="auto"/>
        </w:rPr>
      </w:pPr>
    </w:p>
    <w:p>
      <w:pPr>
        <w:ind w:left="18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99"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00" w:lineRule="exact"/>
        <w:rPr>
          <w:sz w:val="24"/>
          <w:szCs w:val="24"/>
          <w:color w:val="auto"/>
        </w:rPr>
      </w:pPr>
    </w:p>
    <w:p>
      <w:pPr>
        <w:sectPr>
          <w:pgSz w:w="11900" w:h="16838" w:orient="portrait"/>
          <w:cols w:equalWidth="0" w:num="2">
            <w:col w:w="6620" w:space="720"/>
            <w:col w:w="3840"/>
          </w:cols>
          <w:pgMar w:left="320" w:top="233" w:right="399" w:bottom="1440" w:gutter="0" w:footer="0" w:header="0"/>
          <w:type w:val="continuous"/>
        </w:sectPr>
      </w:pPr>
    </w:p>
    <w:p>
      <w:pPr>
        <w:spacing w:after="0" w:line="6"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31, 2022, there were 194,286,066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31"/>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1"/>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6"/>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 2022 and 2021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Arial" w:cs="Arial" w:eastAsia="Arial" w:hAnsi="Arial"/>
                <w:sz w:val="18"/>
                <w:szCs w:val="18"/>
                <w:color w:val="0000FF"/>
                <w:w w:val="89"/>
              </w:rPr>
              <w:t>Condensed Consolidated Statements of Comprehensive Income/(Loss): For the three and nine months ended September 30, 2022 and 2021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00" w:type="dxa"/>
            <w:vAlign w:val="bottom"/>
            <w:gridSpan w:val="29"/>
          </w:tcPr>
          <w:p>
            <w:pPr>
              <w:spacing w:after="0"/>
              <w:rPr>
                <w:sz w:val="20"/>
                <w:szCs w:val="20"/>
                <w:color w:val="auto"/>
              </w:rPr>
            </w:pPr>
            <w:r>
              <w:rPr>
                <w:rFonts w:ascii="Arial" w:cs="Arial" w:eastAsia="Arial" w:hAnsi="Arial"/>
                <w:sz w:val="18"/>
                <w:szCs w:val="18"/>
                <w:color w:val="0000FF"/>
                <w:w w:val="92"/>
              </w:rPr>
              <w:t>Condensed Consolidated Statements of Changes in Accumulated Other Comprehensive Income/(Loss): For the three and nine months</w:t>
            </w:r>
          </w:p>
        </w:tc>
        <w:tc>
          <w:tcPr>
            <w:tcW w:w="60" w:type="dxa"/>
            <w:vAlign w:val="bottom"/>
          </w:tcPr>
          <w:p>
            <w:pPr>
              <w:spacing w:after="0"/>
              <w:rPr>
                <w:sz w:val="18"/>
                <w:szCs w:val="18"/>
                <w:color w:val="auto"/>
              </w:rPr>
            </w:pPr>
          </w:p>
        </w:tc>
        <w:tc>
          <w:tcPr>
            <w:tcW w:w="10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500" w:type="dxa"/>
            <w:vAlign w:val="bottom"/>
            <w:tcBorders>
              <w:top w:val="single" w:sz="8" w:color="0000FF"/>
            </w:tcBorders>
            <w:gridSpan w:val="26"/>
          </w:tcPr>
          <w:p>
            <w:pPr>
              <w:spacing w:after="0" w:line="142" w:lineRule="exact"/>
              <w:rPr>
                <w:sz w:val="20"/>
                <w:szCs w:val="20"/>
                <w:color w:val="auto"/>
              </w:rPr>
            </w:pPr>
            <w:r>
              <w:rPr>
                <w:rFonts w:ascii="Arial" w:cs="Arial" w:eastAsia="Arial" w:hAnsi="Arial"/>
                <w:sz w:val="16"/>
                <w:szCs w:val="16"/>
                <w:color w:val="0000FF"/>
              </w:rPr>
              <w:t>ended September 30, 2022 and 2021</w:t>
            </w:r>
          </w:p>
        </w:tc>
        <w:tc>
          <w:tcPr>
            <w:tcW w:w="2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920" w:type="dxa"/>
            <w:vAlign w:val="bottom"/>
            <w:gridSpan w:val="24"/>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2022 and 2021</w:t>
            </w:r>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Arial" w:cs="Arial" w:eastAsia="Arial" w:hAnsi="Arial"/>
                <w:sz w:val="18"/>
                <w:szCs w:val="18"/>
                <w:color w:val="0000FF"/>
                <w:w w:val="90"/>
              </w:rPr>
              <w:t>Condensed Consolidated Statements of Changes in Partners’ Capital: For the three and nine months ended September 30, 2022 and 2021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840" w:type="dxa"/>
            <w:vAlign w:val="bottom"/>
            <w:tcBorders>
              <w:top w:val="single" w:sz="8" w:color="0000FF"/>
            </w:tcBorders>
            <w:gridSpan w:val="28"/>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1.</w:t>
            </w:r>
          </w:p>
        </w:tc>
        <w:tc>
          <w:tcPr>
            <w:tcW w:w="4200" w:type="dxa"/>
            <w:vAlign w:val="bottom"/>
            <w:gridSpan w:val="16"/>
          </w:tcPr>
          <w:p>
            <w:pPr>
              <w:ind w:left="20"/>
              <w:spacing w:after="0"/>
              <w:rPr>
                <w:sz w:val="20"/>
                <w:szCs w:val="20"/>
                <w:color w:val="auto"/>
              </w:rPr>
            </w:pPr>
            <w:r>
              <w:rPr>
                <w:rFonts w:ascii="Arial" w:cs="Arial" w:eastAsia="Arial" w:hAnsi="Arial"/>
                <w:sz w:val="18"/>
                <w:szCs w:val="18"/>
                <w:color w:val="0000FF"/>
                <w:w w:val="90"/>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2.</w:t>
            </w:r>
          </w:p>
        </w:tc>
        <w:tc>
          <w:tcPr>
            <w:tcW w:w="3260" w:type="dxa"/>
            <w:vAlign w:val="bottom"/>
            <w:gridSpan w:val="13"/>
          </w:tcPr>
          <w:p>
            <w:pPr>
              <w:ind w:left="20"/>
              <w:spacing w:after="0"/>
              <w:rPr>
                <w:sz w:val="20"/>
                <w:szCs w:val="20"/>
                <w:color w:val="auto"/>
              </w:rPr>
            </w:pPr>
            <w:r>
              <w:rPr>
                <w:rFonts w:ascii="Arial" w:cs="Arial" w:eastAsia="Arial" w:hAnsi="Arial"/>
                <w:sz w:val="18"/>
                <w:szCs w:val="18"/>
                <w:color w:val="0000FF"/>
                <w:w w:val="93"/>
              </w:rPr>
              <w:t>Summary of Significant Accounting Policies</w:t>
            </w:r>
          </w:p>
        </w:tc>
        <w:tc>
          <w:tcPr>
            <w:tcW w:w="940" w:type="dxa"/>
            <w:vAlign w:val="bottom"/>
            <w:gridSpan w:val="3"/>
          </w:tcPr>
          <w:p>
            <w:pPr>
              <w:spacing w:after="0"/>
              <w:rPr>
                <w:sz w:val="18"/>
                <w:szCs w:val="18"/>
                <w:color w:val="auto"/>
              </w:rPr>
            </w:pPr>
          </w:p>
        </w:tc>
        <w:tc>
          <w:tcPr>
            <w:tcW w:w="552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0000FF"/>
                <w:w w:val="79"/>
              </w:rPr>
              <w:t>3.</w:t>
            </w:r>
          </w:p>
        </w:tc>
        <w:tc>
          <w:tcPr>
            <w:tcW w:w="3260" w:type="dxa"/>
            <w:vAlign w:val="bottom"/>
            <w:tcBorders>
              <w:top w:val="single" w:sz="8" w:color="0000FF"/>
            </w:tcBorders>
            <w:gridSpan w:val="13"/>
          </w:tcPr>
          <w:p>
            <w:pPr>
              <w:ind w:left="20"/>
              <w:spacing w:after="0"/>
              <w:rPr>
                <w:sz w:val="20"/>
                <w:szCs w:val="20"/>
                <w:color w:val="auto"/>
              </w:rPr>
            </w:pPr>
            <w:r>
              <w:rPr>
                <w:rFonts w:ascii="Arial" w:cs="Arial" w:eastAsia="Arial" w:hAnsi="Arial"/>
                <w:sz w:val="18"/>
                <w:szCs w:val="18"/>
                <w:color w:val="0000FF"/>
              </w:rPr>
              <w:t>Revenues and Accounts Receivable</w:t>
            </w: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4.</w:t>
            </w:r>
          </w:p>
        </w:tc>
        <w:tc>
          <w:tcPr>
            <w:tcW w:w="9720" w:type="dxa"/>
            <w:vAlign w:val="bottom"/>
            <w:gridSpan w:val="27"/>
          </w:tcPr>
          <w:p>
            <w:pPr>
              <w:ind w:left="20"/>
              <w:spacing w:after="0"/>
              <w:rPr>
                <w:sz w:val="20"/>
                <w:szCs w:val="20"/>
                <w:color w:val="auto"/>
              </w:rPr>
            </w:pPr>
            <w:r>
              <w:rPr>
                <w:rFonts w:ascii="Arial" w:cs="Arial" w:eastAsia="Arial" w:hAnsi="Arial"/>
                <w:sz w:val="18"/>
                <w:szCs w:val="18"/>
                <w:color w:val="0000FF"/>
              </w:rPr>
              <w:t>Net Income/(Loss) Per Class A Share</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5.</w:t>
            </w:r>
          </w:p>
        </w:tc>
        <w:tc>
          <w:tcPr>
            <w:tcW w:w="322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4"/>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6.</w:t>
            </w:r>
          </w:p>
        </w:tc>
        <w:tc>
          <w:tcPr>
            <w:tcW w:w="3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9"/>
              </w:rPr>
              <w:t>Debt</w:t>
            </w:r>
          </w:p>
        </w:tc>
        <w:tc>
          <w:tcPr>
            <w:tcW w:w="934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7.</w:t>
            </w:r>
          </w:p>
        </w:tc>
        <w:tc>
          <w:tcPr>
            <w:tcW w:w="258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2"/>
              </w:rPr>
              <w:t>Partners’ Capital and Distributions</w:t>
            </w:r>
          </w:p>
        </w:tc>
        <w:tc>
          <w:tcPr>
            <w:tcW w:w="714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9"/>
              </w:rPr>
              <w:t>8.</w:t>
            </w:r>
          </w:p>
        </w:tc>
        <w:tc>
          <w:tcPr>
            <w:tcW w:w="3280" w:type="dxa"/>
            <w:vAlign w:val="bottom"/>
            <w:tcBorders>
              <w:bottom w:val="single" w:sz="8" w:color="0000FF"/>
            </w:tcBorders>
            <w:gridSpan w:val="14"/>
          </w:tcPr>
          <w:p>
            <w:pPr>
              <w:ind w:left="20"/>
              <w:spacing w:after="0"/>
              <w:rPr>
                <w:sz w:val="20"/>
                <w:szCs w:val="20"/>
                <w:color w:val="auto"/>
              </w:rPr>
            </w:pPr>
            <w:r>
              <w:rPr>
                <w:rFonts w:ascii="Arial" w:cs="Arial" w:eastAsia="Arial" w:hAnsi="Arial"/>
                <w:sz w:val="18"/>
                <w:szCs w:val="18"/>
                <w:color w:val="0000FF"/>
                <w:w w:val="92"/>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00FF"/>
                <w:w w:val="79"/>
              </w:rPr>
              <w:t>9.</w:t>
            </w:r>
          </w:p>
        </w:tc>
        <w:tc>
          <w:tcPr>
            <w:tcW w:w="9720" w:type="dxa"/>
            <w:vAlign w:val="bottom"/>
            <w:gridSpan w:val="27"/>
          </w:tcPr>
          <w:p>
            <w:pPr>
              <w:ind w:left="20"/>
              <w:spacing w:after="0"/>
              <w:rPr>
                <w:sz w:val="20"/>
                <w:szCs w:val="20"/>
                <w:color w:val="auto"/>
              </w:rPr>
            </w:pPr>
            <w:r>
              <w:rPr>
                <w:rFonts w:ascii="Arial" w:cs="Arial" w:eastAsia="Arial" w:hAnsi="Arial"/>
                <w:sz w:val="18"/>
                <w:szCs w:val="18"/>
                <w:color w:val="0000FF"/>
              </w:rPr>
              <w:t>Related Party Transactions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89"/>
              </w:rPr>
              <w:t>10. Commitments and Contingencies</w:t>
            </w:r>
          </w:p>
        </w:tc>
        <w:tc>
          <w:tcPr>
            <w:tcW w:w="720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28"/>
          </w:tcPr>
          <w:p>
            <w:pPr>
              <w:ind w:left="20"/>
              <w:spacing w:after="0"/>
              <w:rPr>
                <w:sz w:val="20"/>
                <w:szCs w:val="20"/>
                <w:color w:val="auto"/>
              </w:rPr>
            </w:pPr>
            <w:r>
              <w:rPr>
                <w:rFonts w:ascii="Arial" w:cs="Arial" w:eastAsia="Arial" w:hAnsi="Arial"/>
                <w:sz w:val="18"/>
                <w:szCs w:val="18"/>
                <w:color w:val="0000FF"/>
              </w:rPr>
              <w:t>11. Segment Information</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6"/>
              </w:rPr>
              <w:t>Item 2. MANAGEMENT’S DISCUSSION AND ANALYSIS OF FINANCIAL CONDITION AND RESULTS OF OPERATIONS</w:t>
            </w:r>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7"/>
              </w:rPr>
              <w:t>Item 3. QUANTITATIVE AND QUALITATIVE DISCLOSURES ABOUT MARKET RISK</w:t>
            </w:r>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4"/>
              </w:rPr>
              <w:t>Item 4. CONTROLS AND PROCEDURES</w:t>
            </w:r>
          </w:p>
        </w:tc>
        <w:tc>
          <w:tcPr>
            <w:tcW w:w="700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1"/>
          </w:tcPr>
          <w:p>
            <w:pPr>
              <w:spacing w:after="0"/>
              <w:rPr>
                <w:sz w:val="20"/>
                <w:szCs w:val="20"/>
                <w:color w:val="auto"/>
              </w:rPr>
            </w:pPr>
            <w:r>
              <w:rPr>
                <w:rFonts w:ascii="Arial" w:cs="Arial" w:eastAsia="Arial" w:hAnsi="Arial"/>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4"/>
              </w:rPr>
              <w:t>Item 1. LEGAL PROCEEDINGS</w:t>
            </w:r>
          </w:p>
        </w:tc>
        <w:tc>
          <w:tcPr>
            <w:tcW w:w="320" w:type="dxa"/>
            <w:vAlign w:val="bottom"/>
            <w:tcBorders>
              <w:top w:val="single" w:sz="8" w:color="0000FF"/>
            </w:tcBorders>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Item 1A. RISK FACTORS</w:t>
            </w:r>
          </w:p>
        </w:tc>
        <w:tc>
          <w:tcPr>
            <w:tcW w:w="82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1"/>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Item 3. DEFAULTS UPON SENIOR SECURITIES</w:t>
            </w:r>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4"/>
              </w:rPr>
              <w:t>Item 4. MINE SAFETY DISCLOSURES</w:t>
            </w:r>
          </w:p>
        </w:tc>
        <w:tc>
          <w:tcPr>
            <w:tcW w:w="740" w:type="dxa"/>
            <w:vAlign w:val="bottom"/>
            <w:tcBorders>
              <w:top w:val="single" w:sz="8" w:color="0000FF"/>
            </w:tcBorders>
            <w:gridSpan w:val="4"/>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1"/>
          </w:tcPr>
          <w:p>
            <w:pPr>
              <w:spacing w:after="0"/>
              <w:rPr>
                <w:sz w:val="20"/>
                <w:szCs w:val="20"/>
                <w:color w:val="auto"/>
              </w:rPr>
            </w:pPr>
            <w:r>
              <w:rPr>
                <w:rFonts w:ascii="Arial" w:cs="Arial" w:eastAsia="Arial" w:hAnsi="Arial"/>
                <w:sz w:val="18"/>
                <w:szCs w:val="18"/>
                <w:color w:val="0000FF"/>
              </w:rPr>
              <w:t>Item 5. OTHER INFORMATION</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6. EXHIBITS</w:t>
            </w:r>
          </w:p>
        </w:tc>
        <w:tc>
          <w:tcPr>
            <w:tcW w:w="776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SIGNATURES</w:t>
            </w:r>
          </w:p>
        </w:tc>
        <w:tc>
          <w:tcPr>
            <w:tcW w:w="882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0"/>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452</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1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6,140</w:t>
            </w:r>
          </w:p>
        </w:tc>
      </w:tr>
      <w:tr>
        <w:trPr>
          <w:trHeight w:val="94"/>
        </w:trPr>
        <w:tc>
          <w:tcPr>
            <w:tcW w:w="8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19,292</w:t>
            </w: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(4,383)</w:t>
            </w:r>
          </w:p>
        </w:tc>
      </w:tr>
      <w:tr>
        <w:trPr>
          <w:trHeight w:val="21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14,909</w:t>
            </w:r>
          </w:p>
        </w:tc>
      </w:tr>
      <w:tr>
        <w:trPr>
          <w:trHeight w:val="94"/>
        </w:trPr>
        <w:tc>
          <w:tcPr>
            <w:tcW w:w="8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3,805</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1,960</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Linefill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907</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4,811</w:t>
            </w: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1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6,234</w:t>
            </w:r>
          </w:p>
        </w:tc>
      </w:tr>
      <w:tr>
        <w:trPr>
          <w:trHeight w:val="95"/>
        </w:trPr>
        <w:tc>
          <w:tcPr>
            <w:tcW w:w="8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9,567</w:t>
            </w:r>
          </w:p>
        </w:tc>
      </w:tr>
      <w:tr>
        <w:trPr>
          <w:trHeight w:val="95"/>
        </w:trPr>
        <w:tc>
          <w:tcPr>
            <w:tcW w:w="8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(194,286,066 and 194,192,777 shares outstanding,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1,533</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12,563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12,644</w:t>
            </w:r>
          </w:p>
        </w:tc>
      </w:tr>
      <w:tr>
        <w:trPr>
          <w:trHeight w:val="21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14,177</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194"/>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6"/>
                <w:szCs w:val="16"/>
                <w:color w:val="auto"/>
              </w:rPr>
            </w:pPr>
          </w:p>
        </w:tc>
      </w:tr>
      <w:tr>
        <w:trPr>
          <w:trHeight w:val="238"/>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43,390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28,221</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29,089</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43,066</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28,843</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Interest expense (net of capitalized interest of $1, $4, $3 and $14,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75"/>
        </w:trPr>
        <w:tc>
          <w:tcPr>
            <w:tcW w:w="58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194"/>
        </w:trPr>
        <w:tc>
          <w:tcPr>
            <w:tcW w:w="5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16"/>
                <w:szCs w:val="16"/>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Comprehensive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r>
      <w:tr>
        <w:trPr>
          <w:trHeight w:val="194"/>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expense/(benefit)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sales of linefill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Loss on foreign currency revaluation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8)</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88"/>
        </w:trPr>
        <w:tc>
          <w:tcPr>
            <w:tcW w:w="8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paid in connection with acquisitions, net of cash acquired</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purchases of linefill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sales of linefill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in)/provided by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88"/>
        </w:trPr>
        <w:tc>
          <w:tcPr>
            <w:tcW w:w="8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repayments under PAA commercial paper program (Note 6)</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Repayment of PAA GO Zone term loans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PAA senior notes (Note 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7)</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interests (Note 7)</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88"/>
        </w:trPr>
        <w:tc>
          <w:tcPr>
            <w:tcW w:w="8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08"/>
        </w:trPr>
        <w:tc>
          <w:tcPr>
            <w:tcW w:w="8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Interest, net of amounts capitalized</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net of amounts refunded</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 (Note 7)</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24"/>
                <w:szCs w:val="24"/>
                <w:color w:val="auto"/>
              </w:rPr>
            </w:pPr>
          </w:p>
        </w:tc>
        <w:tc>
          <w:tcPr>
            <w:tcW w:w="13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 (Note 7)</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income/(loss)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460" w:type="dxa"/>
            <w:vAlign w:val="bottom"/>
          </w:tcPr>
          <w:p>
            <w:pPr>
              <w:spacing w:after="0"/>
              <w:rPr>
                <w:sz w:val="24"/>
                <w:szCs w:val="2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Plains GP Holdings, L.P. (“PAGP”) is a Delaware limited partnership formed in 2013 that has elected to be taxed as a corporation for United States federal income tax purposes. PAGP does not directly own any operating assets; as of September 30, 2022,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As of September 30, 2022, PAGP owned (i) a 100% managing member interest in Plains All American GP LLC (“GP LLC”), an entity that has also elected to be taxed as a corporation for United States federal income tax purposes and (ii) an approximate 81% limited partner interest in Plains AAP, L.P. (“AAP”) through our direct ownership of approximately 193.3 million Class A units of AAP (“AAP units”) and indirect ownership of approximately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million AAP units through GP LLC. GP LLC is a Delaware limited liability company that also holds the non-economic general partner interest in AAP. AAP is a Delaware limited partnership that, as of September 30, 2022, directly owned a limited partner interest in PAA through its ownership of approximately 241.5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11 for further discussion of our operating segments.</w:t>
      </w:r>
    </w:p>
    <w:p>
      <w:pPr>
        <w:spacing w:after="0" w:line="219"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2021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2021 was derived from audited financial statements, but does not include all disclosures required by GAAP. The results of operations for the three and nine months ended September 30, 2022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including the reclassifications discussed further below.</w:t>
      </w:r>
    </w:p>
    <w:p>
      <w:pPr>
        <w:spacing w:after="0" w:line="19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4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With the exception of a deferred tax asset of $1.325 billion and $1.362 billion as of September 30, 2022 and December 31, 2021,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2022 or the year ended December 31, 2021. See Note 17 to our Consolidated Financial Statements included in Part IV of our 2021 Annual Report on Form 10-K for information regarding the Omnibus Agreement entered into by the Plains Entities on November 15,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Information</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11 for further discussion of our operating segments. In connection with this change, we changed the presentation of Revenues on our Condensed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Except as discussed below and in our 2021 Annual Report on Form 10-K, there have been no new accounting pronouncements that have become effective or have been issued during the nine months ended September 30, 2022 that are of significance or potential significance to us.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2021 Annual Report on Form 10-K for additional information regarding our types of revenues and policies for revenue recognition.</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13,362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41,796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27,776</w:t>
            </w: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Crude Oil segment revenues from contracts with customers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96"/>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6"/>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5"/>
              <w:spacing w:after="0"/>
              <w:rPr>
                <w:sz w:val="20"/>
                <w:szCs w:val="20"/>
                <w:color w:val="auto"/>
              </w:rPr>
            </w:pPr>
            <w:r>
              <w:rPr>
                <w:rFonts w:ascii="Arial" w:cs="Arial" w:eastAsia="Arial" w:hAnsi="Arial"/>
                <w:sz w:val="18"/>
                <w:szCs w:val="18"/>
                <w:color w:val="auto"/>
                <w:w w:val="86"/>
              </w:rPr>
              <w:t>325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770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14,445</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6"/>
              </w:rPr>
              <w:t>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5"/>
              </w:rPr>
              <w:t>(248)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44,390</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29,367</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420" w:type="dxa"/>
            <w:vAlign w:val="bottom"/>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3800" w:type="dxa"/>
            <w:vAlign w:val="bottom"/>
            <w:gridSpan w:val="3"/>
            <w:vMerge w:val="continue"/>
          </w:tcPr>
          <w:p>
            <w:pPr>
              <w:spacing w:after="0"/>
              <w:rPr>
                <w:sz w:val="17"/>
                <w:szCs w:val="17"/>
                <w:color w:val="auto"/>
              </w:rPr>
            </w:pPr>
          </w:p>
        </w:tc>
        <w:tc>
          <w:tcPr>
            <w:tcW w:w="14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6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2022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6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2027 and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rPr>
              <w:t>Pipeline revenues supported by minimum volume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8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September 30, 2022 and December 31,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596"/>
              <w:spacing w:after="0"/>
              <w:rPr>
                <w:sz w:val="20"/>
                <w:szCs w:val="20"/>
                <w:color w:val="auto"/>
              </w:rPr>
            </w:pPr>
            <w:r>
              <w:rPr>
                <w:rFonts w:ascii="Arial" w:cs="Arial" w:eastAsia="Arial" w:hAnsi="Arial"/>
                <w:sz w:val="18"/>
                <w:szCs w:val="18"/>
                <w:color w:val="auto"/>
                <w:w w:val="88"/>
              </w:rPr>
              <w:t>4,197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4,031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center"/>
              <w:ind w:left="596"/>
              <w:spacing w:after="0"/>
              <w:rPr>
                <w:sz w:val="20"/>
                <w:szCs w:val="20"/>
                <w:color w:val="auto"/>
              </w:rPr>
            </w:pPr>
            <w:r>
              <w:rPr>
                <w:rFonts w:ascii="Arial" w:cs="Arial" w:eastAsia="Arial" w:hAnsi="Arial"/>
                <w:sz w:val="18"/>
                <w:szCs w:val="18"/>
                <w:color w:val="auto"/>
                <w:w w:val="88"/>
              </w:rPr>
              <w:t>6,916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Arial" w:cs="Arial" w:eastAsia="Arial" w:hAnsi="Arial"/>
                <w:sz w:val="18"/>
                <w:szCs w:val="18"/>
                <w:color w:val="auto"/>
                <w:w w:val="88"/>
              </w:rPr>
              <w:t>5,126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4"/>
              </w:rPr>
              <w:t>(7,012)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4"/>
              </w:rPr>
              <w:t>(4,452)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596"/>
              <w:spacing w:after="0"/>
              <w:rPr>
                <w:sz w:val="20"/>
                <w:szCs w:val="20"/>
                <w:color w:val="auto"/>
              </w:rPr>
            </w:pPr>
            <w:r>
              <w:rPr>
                <w:rFonts w:ascii="Arial" w:cs="Arial" w:eastAsia="Arial" w:hAnsi="Arial"/>
                <w:sz w:val="18"/>
                <w:szCs w:val="18"/>
                <w:color w:val="auto"/>
                <w:w w:val="88"/>
              </w:rPr>
              <w:t>4,101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4,705</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2021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2021 Annual Report on Form 10-K for information regarding PAGP LTIP awards.</w:t>
      </w:r>
    </w:p>
    <w:p>
      <w:pPr>
        <w:spacing w:after="0" w:line="21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a weighted-average basis, for each of the three and nine months ended September 30, 2022, the possible exchange of 47 million AAP units would not have had a dilutive effect on basic net income per Class A share. For the three and nine months ended September 30, 2021, the possible exchange of 50 million and 51 million AAP units, respectively, would not have had a dilutive effect on basic net income/(loss) per Class A share. For each of the three and nine months ended September 30, 2022 and 2021, the possible exchange of less than 1 million AAP Management Units would not have had a dilutive effect on basic net income/(loss) per Class A share on a weighted-average basis. For each of the three and nine months ended September 30, 2021, our PAGP LTIP awards were antidilutive. For each of the three and nine months ended September 30, 2022, our PAGP LTIP awards were dilutive; however, this did not change the presentation of diluted weighted average Class A shares outstanding or diluted net income/(loss) per Class A share.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income/(loss) per Class A share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73.14</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15,499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58.07</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6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16"/>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PAA senior notes: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3.65% senior notes due June 2022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2.85% senior notes due January 2023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40"/>
              <w:spacing w:after="0"/>
              <w:rPr>
                <w:sz w:val="20"/>
                <w:szCs w:val="20"/>
                <w:color w:val="auto"/>
              </w:rPr>
            </w:pPr>
            <w:r>
              <w:rPr>
                <w:rFonts w:ascii="Arial" w:cs="Arial" w:eastAsia="Arial" w:hAnsi="Arial"/>
                <w:sz w:val="18"/>
                <w:szCs w:val="18"/>
                <w:color w:val="auto"/>
                <w:w w:val="90"/>
              </w:rPr>
              <w:t>Total short-term debt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57"/>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senior notes, net of unamortized discounts and debt issuance costs of $48 and $54, respectively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r>
      <w:tr>
        <w:trPr>
          <w:trHeight w:val="229"/>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0" w:type="dxa"/>
            <w:vAlign w:val="bottom"/>
          </w:tcPr>
          <w:p>
            <w:pPr>
              <w:spacing w:after="0"/>
              <w:rPr>
                <w:sz w:val="19"/>
                <w:szCs w:val="19"/>
                <w:color w:val="auto"/>
              </w:rPr>
            </w:pPr>
          </w:p>
        </w:tc>
        <w:tc>
          <w:tcPr>
            <w:tcW w:w="8400" w:type="dxa"/>
            <w:vAlign w:val="bottom"/>
            <w:gridSpan w:val="2"/>
            <w:shd w:val="clear" w:color="auto" w:fill="CCEEFF"/>
          </w:tcPr>
          <w:p>
            <w:pPr>
              <w:jc w:val="center"/>
              <w:ind w:right="6480"/>
              <w:spacing w:after="0"/>
              <w:rPr>
                <w:sz w:val="20"/>
                <w:szCs w:val="20"/>
                <w:color w:val="auto"/>
              </w:rPr>
            </w:pPr>
            <w:r>
              <w:rPr>
                <w:rFonts w:ascii="Arial" w:cs="Arial" w:eastAsia="Arial" w:hAnsi="Arial"/>
                <w:sz w:val="18"/>
                <w:szCs w:val="18"/>
                <w:color w:val="auto"/>
                <w:w w:val="91"/>
              </w:rPr>
              <w:t>Total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2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w:t>
            </w: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67"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These senior notes were redeemed on March 1, 2022.</w:t>
      </w:r>
    </w:p>
    <w:p>
      <w:pPr>
        <w:spacing w:after="0" w:line="11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PAA’s fixed-rate senior notes had a face value of approximately $8.4 billion and $9.1 billion as of September 30, 2022 and December 31, 2021, respectively. We estimated the aggregate fair value of these notes as of September 30, 2022 and December 31, 2021 to be approximately $7.3 billion and $9.9 billion, respectively. PAA’s fixed-rate senior notes are traded among institutions, and these trades are routinely published by a reporting service. Our determination of fair value is based on reported trading activity near the end of the reporting period. The fair value estimate for PAA’s senior notes is based upon observable market data and is classified in Level 2 of the fair value hierarchy.</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In August 2022, PAA amended its credit facility agreements to, among other things, extend the maturity dates of its senior secured hedged inventory facility and senior unsecured revolving credit facility by one year to August 2025 and August 2027,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nine months ended September 30, 2022 and 2021 were approximately $19.3 billion and $31.2 billion, respectively. Total repayments under the PAA credit facilities and commercial paper program were approximately $19.3 billion and $31.9 billion for the nine months ended September 30, 2022 and 2021,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 2022, PAA redeemed its 3.65%, $750 million senior notes due June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2022 and December 31, 2021, we had outstanding letters of credit of $58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194,192,777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46,645,514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534,596,831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205,024</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532,285,426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53,023</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(4,876,062)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147,830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June 30, 2022</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46,855,904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527,557,194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21,874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(21,874)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September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194,286,066</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46,834,030</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527,914,218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414,608</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(229,931)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229,931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50,777,990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547,623,124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25,554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(25,554)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(4,940,592)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194,123,869</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50,217,427</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543,473,862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6"/>
                <w:szCs w:val="16"/>
                <w:color w:val="auto"/>
              </w:rPr>
              <w:t>Repurchase of common units by a subsidiary under the Common Equity Repurchase</w:t>
            </w: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420" w:type="dxa"/>
            <w:vAlign w:val="bottom"/>
          </w:tcPr>
          <w:p>
            <w:pPr>
              <w:jc w:val="right"/>
              <w:spacing w:after="0"/>
              <w:rPr>
                <w:sz w:val="20"/>
                <w:szCs w:val="20"/>
                <w:color w:val="auto"/>
              </w:rPr>
            </w:pPr>
            <w:r>
              <w:rPr>
                <w:rFonts w:ascii="Arial" w:cs="Arial" w:eastAsia="Arial" w:hAnsi="Arial"/>
                <w:sz w:val="18"/>
                <w:szCs w:val="18"/>
                <w:color w:val="auto"/>
              </w:rPr>
              <w:t>18,546</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358,471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194,142,415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50,217,427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537,205,622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2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Note 12 to our Consolidated Financial Statements included in Part IV of our 2021 Annual Report on Form 10-K for information regarding conversions of AAP Management Units, Exchange Rights and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nine months of 2022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6"/>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jc w:val="right"/>
              <w:ind w:right="63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140" w:type="dxa"/>
            <w:vAlign w:val="bottom"/>
            <w:gridSpan w:val="2"/>
            <w:vMerge w:val="continue"/>
          </w:tcPr>
          <w:p>
            <w:pPr>
              <w:spacing w:after="0"/>
              <w:rPr>
                <w:sz w:val="16"/>
                <w:szCs w:val="16"/>
                <w:color w:val="auto"/>
              </w:rPr>
            </w:pPr>
          </w:p>
        </w:tc>
        <w:tc>
          <w:tcPr>
            <w:tcW w:w="2060" w:type="dxa"/>
            <w:vAlign w:val="bottom"/>
          </w:tcPr>
          <w:p>
            <w:pPr>
              <w:jc w:val="right"/>
              <w:ind w:right="96"/>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jc w:val="right"/>
              <w:ind w:right="75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9"/>
        </w:trPr>
        <w:tc>
          <w:tcPr>
            <w:tcW w:w="60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November 14,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August 12, 2022</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0.2175</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13, 2022</w:t>
            </w:r>
          </w:p>
        </w:tc>
        <w:tc>
          <w:tcPr>
            <w:tcW w:w="2060" w:type="dxa"/>
            <w:vAlign w:val="bottom"/>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February 14, 2022</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9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Payable to shareholders of record at the close of business on October 31, 2022 for the period from July 1, 2022 through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September 30,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Plains Oryx Permian Basin LLC (the “Permian JV”) and (iv) a 33% interest in Red River Pipeline Company LLC (“Red River LLC”).</w:t>
      </w:r>
    </w:p>
    <w:p>
      <w:pPr>
        <w:spacing w:after="0" w:line="2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three months ended September 30, 2022, we received a contribution of $26 million from noncontrolling interests in the Permian JV associated with the acquisition of the remaining 50% interest in an unconsolidated subsidiary of the Permian JV.</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PAA repurchased 7.3 million and 11.9 million common units under the Common Equity Repurchase Program (the “Program”) through open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market purchases that settled during the nine months ended September 30, 2022 and 2021, respectively, for a total purchase price of $74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$117 million, respectively, including commissions and fees. The repurchased PAA common units were canceled immediately upon acquisition, as were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C shares held by PAA associated with the repurchased common units. At September 30, 2022, the remaining available capacity under the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$198 million. See Note 12 to our Consolidated Financial Statements included in Part IV of our 2021 Annual Report on Form 10-K for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Program.</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nine months of 2022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Arial" w:cs="Arial" w:eastAsia="Arial" w:hAnsi="Arial"/>
                <w:sz w:val="14"/>
                <w:szCs w:val="14"/>
                <w:b w:val="1"/>
                <w:bCs w:val="1"/>
                <w:color w:val="auto"/>
              </w:rPr>
              <w:t>Series A Preferred Unitholders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Distribution per Unit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November 14,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August 12,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13,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February 14,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40" w:hanging="652"/>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31, 2022 for the period from July 1, 2022 through September 30, 2022. At September 30, 2022, such amount was accrued as distributions payable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and November. The following table details distributions paid to PAA’s Series B preferred unitholders (in millions, except per unit data):</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6"/>
              <w:spacing w:after="0"/>
              <w:rPr>
                <w:sz w:val="20"/>
                <w:szCs w:val="20"/>
                <w:color w:val="auto"/>
              </w:rPr>
            </w:pPr>
            <w:r>
              <w:rPr>
                <w:rFonts w:ascii="Arial" w:cs="Arial" w:eastAsia="Arial" w:hAnsi="Arial"/>
                <w:sz w:val="14"/>
                <w:szCs w:val="14"/>
                <w:b w:val="1"/>
                <w:bCs w:val="1"/>
                <w:color w:val="auto"/>
              </w:rPr>
              <w:t>Series B Preferred Unitholders</w:t>
            </w:r>
          </w:p>
        </w:tc>
        <w:tc>
          <w:tcPr>
            <w:tcW w:w="0" w:type="dxa"/>
            <w:vAlign w:val="bottom"/>
          </w:tcPr>
          <w:p>
            <w:pPr>
              <w:spacing w:after="0"/>
              <w:rPr>
                <w:sz w:val="1"/>
                <w:szCs w:val="1"/>
                <w:color w:val="auto"/>
              </w:rPr>
            </w:pPr>
          </w:p>
        </w:tc>
      </w:tr>
      <w:tr>
        <w:trPr>
          <w:trHeight w:val="26"/>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30" w:lineRule="exact"/>
              <w:rPr>
                <w:sz w:val="20"/>
                <w:szCs w:val="20"/>
                <w:color w:val="auto"/>
              </w:rPr>
            </w:pPr>
            <w:r>
              <w:rPr>
                <w:rFonts w:ascii="Arial" w:cs="Arial" w:eastAsia="Arial" w:hAnsi="Arial"/>
                <w:sz w:val="18"/>
                <w:szCs w:val="18"/>
                <w:color w:val="auto"/>
              </w:rPr>
              <w:t xml:space="preserve">November 15,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May 16,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145415</wp:posOffset>
            </wp:positionV>
            <wp:extent cx="23228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2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31, 2022 for the period from May 17, 2022 through November 14, 2022.</w:t>
      </w:r>
    </w:p>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September 30, 2022, approximately $18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2022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Cash Distribution per</w:t>
            </w:r>
          </w:p>
        </w:tc>
      </w:tr>
      <w:tr>
        <w:trPr>
          <w:trHeight w:val="196"/>
        </w:trPr>
        <w:tc>
          <w:tcPr>
            <w:tcW w:w="40" w:type="dxa"/>
            <w:vAlign w:val="bottom"/>
          </w:tcPr>
          <w:p>
            <w:pPr>
              <w:spacing w:after="0"/>
              <w:rPr>
                <w:sz w:val="17"/>
                <w:szCs w:val="17"/>
                <w:color w:val="auto"/>
              </w:rPr>
            </w:pPr>
          </w:p>
        </w:tc>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276"/>
              <w:spacing w:after="0"/>
              <w:rPr>
                <w:sz w:val="20"/>
                <w:szCs w:val="20"/>
                <w:color w:val="auto"/>
              </w:rPr>
            </w:pPr>
            <w:r>
              <w:rPr>
                <w:rFonts w:ascii="Arial" w:cs="Arial" w:eastAsia="Arial" w:hAnsi="Arial"/>
                <w:sz w:val="14"/>
                <w:szCs w:val="14"/>
                <w:b w:val="1"/>
                <w:bCs w:val="1"/>
                <w:color w:val="auto"/>
              </w:rPr>
              <w:t>Common Unit</w:t>
            </w:r>
          </w:p>
        </w:tc>
      </w:tr>
      <w:tr>
        <w:trPr>
          <w:trHeight w:val="229"/>
        </w:trPr>
        <w:tc>
          <w:tcPr>
            <w:tcW w:w="40" w:type="dxa"/>
            <w:vAlign w:val="bottom"/>
          </w:tcPr>
          <w:p>
            <w:pPr>
              <w:spacing w:after="0"/>
              <w:rPr>
                <w:sz w:val="19"/>
                <w:szCs w:val="19"/>
                <w:color w:val="auto"/>
              </w:rPr>
            </w:pPr>
          </w:p>
        </w:tc>
        <w:tc>
          <w:tcPr>
            <w:tcW w:w="438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November 14,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August 12, 2022</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0.2175</w:t>
            </w:r>
          </w:p>
        </w:tc>
      </w:tr>
      <w:tr>
        <w:trPr>
          <w:trHeight w:val="229"/>
        </w:trPr>
        <w:tc>
          <w:tcPr>
            <w:tcW w:w="40" w:type="dxa"/>
            <w:vAlign w:val="bottom"/>
          </w:tcPr>
          <w:p>
            <w:pPr>
              <w:spacing w:after="0"/>
              <w:rPr>
                <w:sz w:val="19"/>
                <w:szCs w:val="19"/>
                <w:color w:val="auto"/>
              </w:rPr>
            </w:pPr>
          </w:p>
        </w:tc>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13, 2022</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8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February 14, 2022</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0.1800</w:t>
            </w: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1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31, 2022 for the period from July 1, 2022 through September 30, 2022.</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nine months of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6"/>
        </w:trPr>
        <w:tc>
          <w:tcPr>
            <w:tcW w:w="534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7"/>
                <w:szCs w:val="17"/>
                <w:color w:val="auto"/>
              </w:rPr>
            </w:pPr>
          </w:p>
        </w:tc>
        <w:tc>
          <w:tcPr>
            <w:tcW w:w="172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Noncontrolling Interests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7"/>
                <w:szCs w:val="17"/>
                <w:color w:val="auto"/>
              </w:rPr>
            </w:pPr>
          </w:p>
        </w:tc>
        <w:tc>
          <w:tcPr>
            <w:tcW w:w="17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Total Cash Distribution</w:t>
            </w:r>
          </w:p>
        </w:tc>
      </w:tr>
      <w:tr>
        <w:trPr>
          <w:trHeight w:val="229"/>
        </w:trPr>
        <w:tc>
          <w:tcPr>
            <w:tcW w:w="5240" w:type="dxa"/>
            <w:vAlign w:val="bottom"/>
            <w:tcBorders>
              <w:top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November 14, 2022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August 12,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13,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February 14,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6"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31, 2022 for the period from July 1, 2022 through September 30, 2022.</w:t>
      </w:r>
    </w:p>
    <w:p>
      <w:pPr>
        <w:spacing w:after="0" w:line="3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nine months ended September 30, 2022, we paid distributions of $180 million and $15 million to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the Permian JV and Red River LLC,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At September 30, 2022 and December 31,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the normal course of our operations, we purchase and sell commodities. We use derivatives to manage the associated risks and to optimize profits. As of September 30, 2022, net derivative positions related to these activities included:</w:t>
      </w:r>
    </w:p>
    <w:p>
      <w:pPr>
        <w:spacing w:after="0" w:line="170" w:lineRule="exact"/>
        <w:rPr>
          <w:sz w:val="20"/>
          <w:szCs w:val="20"/>
          <w:color w:val="auto"/>
        </w:rPr>
      </w:pPr>
    </w:p>
    <w:p>
      <w:pPr>
        <w:ind w:left="980" w:right="1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long position of 5.8 million barrels associated with our crude oil purchases, which was unwound ratably during October 2022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time spread position of 7.8 million barrels, which hedges a portion of our anticipated crude oil lease gathering purchases through December 2024.</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crude oil basis spread position of 2.7 million barrels at multiple locations through December 2024.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net short position of 14.3 million barrels through December 2023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6"/>
        </w:trPr>
        <w:tc>
          <w:tcPr>
            <w:tcW w:w="67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61.6 Bcf</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(12.2)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(2.5)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(0.9)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9.1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0.5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0"/>
        </w:trPr>
        <w:tc>
          <w:tcPr>
            <w:tcW w:w="58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5"/>
        </w:trPr>
        <w:tc>
          <w:tcPr>
            <w:tcW w:w="5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Layout w:type="fixed"/>
        <w:tblInd w:w="0" w:type="dxa"/>
        <w:tblCellMar>
          <w:top w:w="0" w:type="dxa"/>
          <w:left w:w="0" w:type="dxa"/>
          <w:bottom w:w="0" w:type="dxa"/>
          <w:right w:w="0" w:type="dxa"/>
        </w:tblCellMar>
      </w:tblPr>
      <w:tr>
        <w:trPr>
          <w:trHeight w:val="149"/>
        </w:trPr>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133</w:t>
            </w:r>
          </w:p>
        </w:tc>
      </w:tr>
      <w:tr>
        <w:trPr>
          <w:trHeight w:val="284"/>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173</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(47)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259</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4"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4"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39"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5" w:lineRule="exact"/>
              <w:rPr>
                <w:sz w:val="20"/>
                <w:szCs w:val="20"/>
                <w:color w:val="auto"/>
              </w:rPr>
            </w:pPr>
            <w:r>
              <w:rPr>
                <w:rFonts w:ascii="Arial" w:cs="Arial" w:eastAsia="Arial" w:hAnsi="Arial"/>
                <w:sz w:val="14"/>
                <w:szCs w:val="14"/>
                <w:b w:val="1"/>
                <w:bCs w:val="1"/>
                <w:color w:val="auto"/>
                <w:w w:val="91"/>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417"/>
              <w:spacing w:after="0"/>
              <w:rPr>
                <w:sz w:val="20"/>
                <w:szCs w:val="20"/>
                <w:color w:val="auto"/>
              </w:rPr>
            </w:pPr>
            <w:r>
              <w:rPr>
                <w:rFonts w:ascii="Arial" w:cs="Arial" w:eastAsia="Arial" w:hAnsi="Arial"/>
                <w:sz w:val="18"/>
                <w:szCs w:val="18"/>
                <w:color w:val="auto"/>
                <w:w w:val="93"/>
              </w:rPr>
              <w:t>(82)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left="35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3"/>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September 30, 2022 (notional amounts in millions):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Rate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Derivatives Employed</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Termination Date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Locked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6"/>
        </w:trPr>
        <w:tc>
          <w:tcPr>
            <w:tcW w:w="274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6/15/2023</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4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0.74 %</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September 30, 2022, there was a net loss of $115 million deferred in AOCI. The deferred net loss recorded in AOCI is expected to be reclassified to future earnings contemporaneously with interest expense accruals associated with underlying debt instruments. During the three months ended September 30, 2022, we terminated $100 million of notional interest hedging instruments previously expected to terminate in June 2024 for proceeds of $42 million. The early termination did not result in an impact to the relationship between the hedging instrument and hedged item. We estimate that substantially all of the remaining deferred loss will be reclassified to earnings through 2054 as the underlying hedged transactions impact earnings. A portion of these amounts is based on market prices as of September 30, 2022; thus, actual amounts to be reclassified will differ and could vary materially as a result of changes in market conditions.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30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left="302"/>
              <w:spacing w:after="0"/>
              <w:rPr>
                <w:sz w:val="20"/>
                <w:szCs w:val="20"/>
                <w:color w:val="auto"/>
              </w:rPr>
            </w:pPr>
            <w:r>
              <w:rPr>
                <w:rFonts w:ascii="Arial" w:cs="Arial" w:eastAsia="Arial" w:hAnsi="Arial"/>
                <w:sz w:val="14"/>
                <w:szCs w:val="14"/>
                <w:b w:val="1"/>
                <w:bCs w:val="1"/>
                <w:color w:val="auto"/>
                <w:w w:val="94"/>
              </w:rPr>
              <w:t>Nine Months Ended</w:t>
            </w:r>
          </w:p>
        </w:tc>
        <w:tc>
          <w:tcPr>
            <w:tcW w:w="380" w:type="dxa"/>
            <w:vAlign w:val="bottom"/>
          </w:tcPr>
          <w:p>
            <w:pPr>
              <w:spacing w:after="0"/>
              <w:rPr>
                <w:sz w:val="14"/>
                <w:szCs w:val="14"/>
                <w:color w:val="auto"/>
              </w:rPr>
            </w:pPr>
          </w:p>
        </w:tc>
      </w:tr>
      <w:tr>
        <w:trPr>
          <w:trHeight w:val="192"/>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At September 30, 2022, the net fair value of our interest rate hedges, which were included in “Other current assets” and “Other long-term assets, net” on our Condensed Consolidated Balance Sheet, totaled $70 million and $43 million, respectively. At December 31, 2021, the net fair value of these hedges totaled $65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separately if the economic characteristics and risks of the embedded derivative are not clearly and closely related to those of the host contract.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Preferred Distribution Rate Reset Option of the PAA Series A preferred units is an embedded derivative that must be bifurcated from the related host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contract, the PAA partnership agreement, and recorded at fair value on our Condensed Consolidated Balance Sheets. This embedded derivative is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designated in a hedging relationship for accounting purposes and corresponding changes in fair value are recognized in “Other expense, net”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 of Operations. For the three months ended September 30, 2022 and 2021, we recognized a loss of $49 million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 of $4 million, respectively. For the nine months ended September 30, 2022 and 2021, we recognized a net loss of $196 million and a net gain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million, respectively. The fair value of the Preferred Distribution Rate Reset Option, which was included in “Other long-term liabilities and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credits” on our Condensed Consolidated Balance Sheets, totaled $196 million and less than $1 million at September 30, 2022 and December 31,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See Note 12 to our Consolidated Financial Statements included in Part IV of our 2021 Annual Report on Form 10-K for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PAA Series A preferred units and the Preferred Distribution Rate Reset Option.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20" w:type="dxa"/>
            <w:vAlign w:val="bottom"/>
          </w:tcPr>
          <w:p>
            <w:pPr>
              <w:spacing w:after="0"/>
              <w:rPr>
                <w:sz w:val="16"/>
                <w:szCs w:val="16"/>
                <w:color w:val="auto"/>
              </w:rPr>
            </w:pPr>
          </w:p>
        </w:tc>
        <w:tc>
          <w:tcPr>
            <w:tcW w:w="3340" w:type="dxa"/>
            <w:vAlign w:val="bottom"/>
            <w:gridSpan w:val="12"/>
          </w:tcPr>
          <w:p>
            <w:pPr>
              <w:ind w:left="380"/>
              <w:spacing w:after="0"/>
              <w:rPr>
                <w:sz w:val="20"/>
                <w:szCs w:val="20"/>
                <w:color w:val="auto"/>
              </w:rPr>
            </w:pPr>
            <w:r>
              <w:rPr>
                <w:rFonts w:ascii="Arial" w:cs="Arial" w:eastAsia="Arial" w:hAnsi="Arial"/>
                <w:sz w:val="14"/>
                <w:szCs w:val="14"/>
                <w:b w:val="1"/>
                <w:bCs w:val="1"/>
                <w:color w:val="auto"/>
              </w:rPr>
              <w:t>Fair Value as of September 30, 2022</w:t>
            </w:r>
          </w:p>
        </w:tc>
        <w:tc>
          <w:tcPr>
            <w:tcW w:w="120" w:type="dxa"/>
            <w:vAlign w:val="bottom"/>
          </w:tcPr>
          <w:p>
            <w:pPr>
              <w:spacing w:after="0"/>
              <w:rPr>
                <w:sz w:val="16"/>
                <w:szCs w:val="16"/>
                <w:color w:val="auto"/>
              </w:rPr>
            </w:pPr>
          </w:p>
        </w:tc>
        <w:tc>
          <w:tcPr>
            <w:tcW w:w="2580" w:type="dxa"/>
            <w:vAlign w:val="bottom"/>
            <w:gridSpan w:val="9"/>
          </w:tcPr>
          <w:p>
            <w:pPr>
              <w:jc w:val="right"/>
              <w:spacing w:after="0"/>
              <w:rPr>
                <w:sz w:val="20"/>
                <w:szCs w:val="20"/>
                <w:color w:val="auto"/>
              </w:rPr>
            </w:pPr>
            <w:r>
              <w:rPr>
                <w:rFonts w:ascii="Arial" w:cs="Arial" w:eastAsia="Arial" w:hAnsi="Arial"/>
                <w:sz w:val="14"/>
                <w:szCs w:val="14"/>
                <w:b w:val="1"/>
                <w:bCs w:val="1"/>
                <w:color w:val="auto"/>
              </w:rPr>
              <w:t>Fair Value as of December 31, 2021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44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0" w:type="dxa"/>
            <w:vAlign w:val="bottom"/>
            <w:gridSpan w:val="3"/>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3"/>
              </w:rPr>
              <w:t>(29)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3"/>
              </w:rPr>
              <w:t>232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9"/>
                <w:szCs w:val="19"/>
                <w:color w:val="auto"/>
              </w:rPr>
            </w:pPr>
          </w:p>
        </w:tc>
        <w:tc>
          <w:tcPr>
            <w:tcW w:w="72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6"/>
              </w:rPr>
              <w:t>113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Distribution Rate Reset Option</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0"/>
              </w:rPr>
              <w:t>(196)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center"/>
              <w:ind w:left="54"/>
              <w:spacing w:after="0"/>
              <w:rPr>
                <w:sz w:val="20"/>
                <w:szCs w:val="20"/>
                <w:color w:val="auto"/>
              </w:rPr>
            </w:pPr>
            <w:r>
              <w:rPr>
                <w:rFonts w:ascii="Arial" w:cs="Arial" w:eastAsia="Arial" w:hAnsi="Arial"/>
                <w:sz w:val="18"/>
                <w:szCs w:val="18"/>
                <w:color w:val="auto"/>
                <w:w w:val="93"/>
              </w:rPr>
              <w:t>149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36"/>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0"/>
        </w:trPr>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42"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Product sales revenues.</w:t>
      </w:r>
    </w:p>
    <w:p>
      <w:pPr>
        <w:spacing w:after="0" w:line="21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fair value of the Preferred Distribution Rate Reset Option of PAA’s Series A preferred units contained in its partnership agreement is based on a Monte Carlo simulation that estimates the fair value of the Series A preferred units with and without the Preferred Distribution Rate Reset Option. This model utilizes observable and unobservable inputs, including PAA’s common unit price, ten-year U.S. Treasury rates, default probabilities and timing estimates, some of which involve management judgment. In general, an increase in ten-year U.S. Treasury rates would increase the fair value of the feature and our liability and expense. The future impact on “Other income/(expense), net” depends on how inputs change in relation to one another.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75"/>
        </w:trPr>
        <w:tc>
          <w:tcPr>
            <w:tcW w:w="5840" w:type="dxa"/>
            <w:vAlign w:val="bottom"/>
          </w:tcPr>
          <w:p>
            <w:pPr>
              <w:ind w:left="20"/>
              <w:spacing w:after="0" w:line="176" w:lineRule="exact"/>
              <w:rPr>
                <w:sz w:val="20"/>
                <w:szCs w:val="20"/>
                <w:color w:val="auto"/>
              </w:rPr>
            </w:pPr>
            <w:r>
              <w:rPr>
                <w:rFonts w:ascii="Arial" w:cs="Arial" w:eastAsia="Arial" w:hAnsi="Arial"/>
                <w:sz w:val="18"/>
                <w:szCs w:val="18"/>
                <w:color w:val="auto"/>
                <w:w w:val="96"/>
              </w:rPr>
              <w:t>Change in unrealized gains/(losses) included in earnings relating to Level 3</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2021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three and nine months ended September 30, 2022 and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r>
      <w:tr>
        <w:trPr>
          <w:trHeight w:val="196"/>
        </w:trPr>
        <w:tc>
          <w:tcPr>
            <w:tcW w:w="58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6"/>
        </w:trPr>
        <w:tc>
          <w:tcPr>
            <w:tcW w:w="5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76"/>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2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At September 30, 2022, our estimated undiscounted reserve for environmental liabilities (excluding liabilities related to the Line 901 incident, as discussed further below) totaled $55 million, of which $10 million was classified as short-term and $45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September 30, 2022 and December 31, 2021, we had recorded receivables (excluding receivables related to the Line 901 incident) totaling $6 million and $11 million, respectively, for amounts probable of recovery under insurance and from third parties under indemnification agreements,</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$1 million of which for each period is reflected in “Other long-term assets, net” and the remainder is reflected in “Trade accounts receivable and other receivables, net” on our Condensed Consolidated Balance Sheets.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11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1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 In the first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order to fully and finally resolve all claims and litigation for both classes, we have reached an agreement in principle to settle this case in exchange for a payment of $230 million (the “Class Action Settlement”). The Class Action Settlement was formally approved by the trial court on September 20, 2022, and we made the $230 million settlement payment on October 27, 2022.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 and the purchaser of Line 901 and the Sisquoc to Pentland portion of Line 903 will be joining this proceeding as a co-defendant with respect to its interest in such acquired pipelines.</w:t>
      </w:r>
    </w:p>
    <w:p>
      <w:pPr>
        <w:spacing w:after="0" w:line="21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after various other unitholder derivative lawsuits were either dismissed or consolidated, one proceeding remains pending in Delaware Chancery Court. Generally, the plaintiffs in the remaining derivative lawsuit claim that our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We also posted notice on our website and mailed copies of the notice to all record holders of PAA common units as of August 10, 2022. The key terms of the Derivative Settlement include a payment of Plaintiff’s attorneys’ fees by our insurers in the amount of approximately $1.0 million and the agreement of Plains to comply with various covenants regarding the implementation or continuation of certain Board oversight practices with respect to pipeline integrity. At a settlement hearing held on November 1, 2022, the Delaware Chancery Court approved the terms of the Derivative Settlement.</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September 30, 2022, we estimate that the aggregate total costs we have incurred or will incur with respect to the Line 901 incident will be approximately $730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As of September 30, 2022, we had a remaining undiscounted gross liability of approximately $330 million related to this event, which aggregate amount is reflected in “Trade accounts payable” and “Other current liabilities” on our Condensed Consolidated Balance Sheet. We maintain insurance coverage, which is subject to certain exclusions and deductibles, in the event of such environmental liabilities; however, after giving effect to the settlements described above and assuming full collection of costs that we believe are probable of recovery from insurance providers, net of deductibles, we will reach the limit of our $500 million 2015 insurance program applicable to the Line 901 incident. Through September 30, 2022, we had collected, subject to customary reservations, approximately $265 million out of the $505 million of release costs that we believe are probable of recovery from insurance carriers (including the 2015 insurance program), net of deductibles. Therefore, as of September 30, 2022, we have recognized a receivable of approximately $240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19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 the Superior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During the fourth quarter of 2021, we effected changes in the primary financial information provided to our CODM for assessing performance and allocating resources to present two operating segments, Crude Oil and NGL. Prior to the fourth quarter of 2021, this information was organized into three operating segments: Transportation, Facilities and Supply and Logistics. All segment data and related disclosures for earlier periods presented herein have been recast to reflect the new segment reporting structure. Our CODM evaluates segment performance based on measures including Segment Adjusted EBITDA (as defined below) and maintenance capital. During the fourth quarter of 2021, we modified our definition of Segment Adjusted EBITDA to exclude amounts attributable to noncontrolling interests in consolidated joint venture entities. In connection with the Permian JV formation in October 2021, our CODM determined this modification resulted in amounts that were more meaningful to evaluate segment performance. Amounts attributable to noncontrolling interests in consolidated joint venture entities for earlier periods presented herein have been recast to reflect this modification. See Note 20 to our Consolidated Financial Statements included in Part IV of our 2021 Annual Report on Form 10-K for additional information regarding the modifications to our segment reporting and for a full discussion of our basis for segmentation and performance measures.</w:t>
      </w:r>
    </w:p>
    <w:p>
      <w:pPr>
        <w:spacing w:after="0" w:line="19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28,221</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1,486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75"/>
        </w:trPr>
        <w:tc>
          <w:tcPr>
            <w:tcW w:w="5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(10)</w:t>
            </w: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(11)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2021 Annual Report on Form 10-K for a discussion regarding our equity-indexed compensation plans.</w:t>
      </w:r>
    </w:p>
    <w:p>
      <w:pPr>
        <w:spacing w:after="0" w:line="87" w:lineRule="exact"/>
        <w:rPr>
          <w:sz w:val="20"/>
          <w:szCs w:val="20"/>
          <w:color w:val="auto"/>
        </w:rPr>
      </w:pPr>
    </w:p>
    <w:p>
      <w:pPr>
        <w:ind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62" w:lineRule="exact"/>
        <w:rPr>
          <w:sz w:val="20"/>
          <w:szCs w:val="20"/>
          <w:color w:val="auto"/>
        </w:rPr>
      </w:pPr>
    </w:p>
    <w:p>
      <w:pPr>
        <w:ind w:right="500" w:hanging="11"/>
        <w:spacing w:after="0" w:line="308" w:lineRule="auto"/>
        <w:rPr>
          <w:sz w:val="20"/>
          <w:szCs w:val="20"/>
          <w:color w:val="auto"/>
        </w:rPr>
      </w:pPr>
      <w:r>
        <w:rPr>
          <w:rFonts w:ascii="Arial" w:cs="Arial" w:eastAsia="Arial" w:hAnsi="Arial"/>
          <w:sz w:val="17"/>
          <w:szCs w:val="17"/>
          <w:color w:val="auto"/>
        </w:rPr>
        <w:t>Includes expenses associated with the Permian JV transaction announced in July 2021. See Note 7 to our Consolidated Financial Statements included in Part IV of our 2021 Annual Report on Form 10-K for further discussion of the joint venture transaction.</w:t>
      </w:r>
    </w:p>
    <w:p>
      <w:pPr>
        <w:spacing w:after="0" w:line="4"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ind w:left="640" w:hanging="632"/>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and Red River LLC.</w:t>
      </w:r>
    </w:p>
    <w:p>
      <w:pPr>
        <w:spacing w:after="0" w:line="93" w:lineRule="exact"/>
        <w:rPr>
          <w:rFonts w:ascii="Arial" w:cs="Arial" w:eastAsia="Arial" w:hAnsi="Arial"/>
          <w:sz w:val="23"/>
          <w:szCs w:val="23"/>
          <w:color w:val="auto"/>
          <w:vertAlign w:val="superscript"/>
        </w:rPr>
      </w:pPr>
    </w:p>
    <w:p>
      <w:pPr>
        <w:ind w:left="660" w:right="32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We are a Delaware limited partnership that has elected to be taxed as a corporation for United States federal income tax purposes. As of September 30, 2022, our sole cash-generating assets consisted of (i) a 100% managing member interest in GP LLC and (ii) an approximate 81% limited partner interest in AAP through our direct ownership of AAP units and indirect ownership of AAP units through GP LLC, which also holds the non-economic general partner interest in AAP. As of September 30, 2022, AAP directly owned a limited partner interest in PAA through its ownership of approximately 241.5 million PAA common units (approximately 31% of PAA’s total outstanding common units and Series A preferred units combined). AAP is the sole member of PAA GP, which holds the non-economic general partner interest in PAA.</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PAA’s assets and the services it provides are primarily focused on crude oil and NGL.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Changes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fourth quarter of 2021, we reorganized our historical operating segments into two operating segments: Crude Oil and NGL. Additionally, during the fourth quarter of 2021, we modified our definition of Segment Adjusted EBITDA to exclude amounts attributable to noncontrolling interests in consolidated joint venture entities. See Note 20 to our Consolidated Financial Statements included in Part IV of our 2021 Annual Report on Form 10-K for additional information. All segment data and related disclosures for earlier periods presented herein have been recast to reflect the new segment reporting structure and the modification to our definition of Segment Adjusted EBITDA.</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the first nine months of 2022, we recognized net income of $868 million compared to net income of $130 million recognized during the first nine months of 2021. Results from our operations increased for the first nine months of 2022 over the comparable 2021 period driven primarily by more favorable margins in our NGL segment, as well as increased earnings from our crude oil pipelines due to higher tariff volumes and higher loss allowance revenue attributable to higher commodity prices. However, these items were partially offset by the impact of the monetization of contango hedges that benefited the 2021 period,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20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Additionally, results for the first nine months of 2022 included a net gain on asset sales of $46 million, compared to a net loss on asset sales and asset impairments of $592 million included in results for the first nine months of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Services revenues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Gain on investment in unconsolidated entities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2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20" w:type="dxa"/>
            <w:vAlign w:val="bottom"/>
          </w:tcPr>
          <w:p>
            <w:pPr>
              <w:ind w:left="20"/>
              <w:spacing w:after="0" w:line="176" w:lineRule="exact"/>
              <w:rPr>
                <w:sz w:val="20"/>
                <w:szCs w:val="20"/>
                <w:color w:val="auto"/>
              </w:rPr>
            </w:pPr>
            <w:r>
              <w:rPr>
                <w:rFonts w:ascii="Arial" w:cs="Arial" w:eastAsia="Arial" w:hAnsi="Arial"/>
                <w:sz w:val="18"/>
                <w:szCs w:val="18"/>
                <w:color w:val="auto"/>
                <w:w w:val="96"/>
              </w:rPr>
              <w:t>Basic and diluted weighted average Class A</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3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Purchases</w:t>
      </w:r>
    </w:p>
    <w:p>
      <w:pPr>
        <w:spacing w:after="0" w:line="25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7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24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7"/>
                <w:szCs w:val="17"/>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Average</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2022</w:t>
            </w: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September 30, 2021</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Nine Months Ended September 30, 2022</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323"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Product sales revenues and purchases increased for the three and nine months ended September 30, 2022, compared to the same periods in 2021 primarily due to higher prices and volumes in the 2022 periods.</w:t>
      </w:r>
    </w:p>
    <w:p>
      <w:pPr>
        <w:spacing w:after="0" w:line="198"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Revenues from services increased for the three and nine months ended September 30, 2022, compared to the same periods in 2021 primarily due to higher prices and volumes in the 2022 periods, partially offset by the impact of the sale of our natural gas storage facilities in the third quarter of 2021.</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further discussion of our net revenues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increase in general and administrative expenses for the three and nine months ended September 30, 2022 compared to the same periods in 2021 was primarily due to (i) employee-related costs, including an increase in equity-indexed compensation expense on equity-classified awards (which is excluded in the calculation of Adjusted EBITDA and Segment Adjusted EBITDA) and liability-classified awards due to changes in plan assumptions and a higher PAA common unit price and (ii) higher office rent due to an operating cost abatement in the prior year. For the nine months ended September 30, 2022, the increase was also attributed to (i) costs associated with the formation of the Permian JV, a portion of which are related to the provision of transition services, and (ii) reduced wage subsidies received by our Canadian subsidiary.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net loss on asset sales and asset impairments for 2021 primarily consisted of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during the second quarter (these assets were sold in August 2021) and (iii) a gain of $106 million recognized in the second quarter related to the asset exchange agreement (the “Asset Exchange”) involving the sale of one of our crude oil pipelines in Canada in exchange for additional interests in certain Empress natural gas processing plants.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2022 compared to the same periods in 2021 was driven by depreciation expense on the assets contributed by Oryx Midstream Holdings LLC (“Oryx Midstream”) upon formation of the Permian JV.</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decrease in interest expense for the three and nine months ended September 30, 2022 compared to the three and nine months ended September 30, 2021 was primarily due to (i) a lower weighted average debt balance during the 2022 periods largely driven by the repayment of $750 million of PAA senior notes in March 2022 and (ii) gains of $2 million and $6 million recognized during the three and nine months ended September 30, 2022, respectively, due to anticipated hedged transactions being probable of not occurring. These decreases were partially offset by lower capitalized interest in the 2022 periods resulting from fewer capital projects under construction.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162"/>
        </w:trPr>
        <w:tc>
          <w:tcPr>
            <w:tcW w:w="59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w w:val="94"/>
              </w:rPr>
              <w:t>Gain/(loss) related to mark-to-market adjustment of Preferred Distribution Rate</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43"/>
        </w:trPr>
        <w:tc>
          <w:tcPr>
            <w:tcW w:w="592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Reset Option </w:t>
            </w:r>
            <w:r>
              <w:rPr>
                <w:rFonts w:ascii="Arial" w:cs="Arial" w:eastAsia="Arial" w:hAnsi="Arial"/>
                <w:sz w:val="23"/>
                <w:szCs w:val="23"/>
                <w:color w:val="auto"/>
                <w:vertAlign w:val="superscript"/>
              </w:rPr>
              <w:t>(1)</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3"/>
                <w:szCs w:val="23"/>
                <w:color w:val="auto"/>
                <w:vertAlign w:val="superscript"/>
              </w:rPr>
              <w:t>(2)</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(Expense)/Benefit</w:t>
      </w:r>
    </w:p>
    <w:p>
      <w:pPr>
        <w:spacing w:after="0" w:line="256"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The net unfavorable income tax variance for the three and nine months ended September 30, 2022 compared to the same periods in 2021 was primarily a result of higher year-over-year income as impacted by fluctuations of the derivative mark-to-market valuations in our Canadian operations.</w:t>
      </w:r>
    </w:p>
    <w:p>
      <w:pPr>
        <w:spacing w:after="0" w:line="151"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On August 16, 2022, the U.S. government enacted the Inflation Reduction Act of 2022 (IRA) into law. The IRA includes a new corporate alternative minimum tax (Corporate AMT) of 15% on the adjusted financial statement income (AFSI) of corporations with average AFSI exceeding $1.0 billion over a three-year period. The Corporate AMT is effective for tax years beginning after December 31, 2022. We are evaluating the Corporate AMT and its potential impact on cash taxes. Currently, we do not believe the Corporate AMT will have an impact for the foreseeable future.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5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During the third quarter of 2022, we temporarily ceased service on Line 2000 in California as a precautionary measure following a routine inspection and initiated a program of additional tests and inspections. We are in the process of assessing the results of such tests; however, possible outcomes could include a reduction in the remaining useful life of the pipeline and/or a partial impairment of the carrying value of the associated asset group, which was approximately $540 million, exclusive of linefill, as of September 30, 2022.</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and Adjusted EBITDA attributable to PAA are reconciled to Net Income, the most directly comparable measure as reported in accordance with GAAP, and should be viewed in addition to, and not in lieu of, our Condensed Consolidated Financial Statements and accompanying notes.</w:t>
      </w:r>
    </w:p>
    <w:p>
      <w:pPr>
        <w:spacing w:after="0" w:line="22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Adjusted EBITDA attributable to PAA from Net Income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5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w w:val="96"/>
              </w:rPr>
              <w:t>Gain on investment in unconsolidated entities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Unallocated general and administrative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w w:val="97"/>
              </w:rPr>
              <w:t>(Gains)/losses from derivative activities and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inventory valuation adjustments</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revaluation</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Line 901 incident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10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(Gain)/loss on Preferred Distribution Rate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line="243" w:lineRule="exact"/>
              <w:rPr>
                <w:sz w:val="20"/>
                <w:szCs w:val="20"/>
                <w:color w:val="auto"/>
              </w:rPr>
            </w:pPr>
            <w:r>
              <w:rPr>
                <w:rFonts w:ascii="Arial" w:cs="Arial" w:eastAsia="Arial" w:hAnsi="Arial"/>
                <w:sz w:val="18"/>
                <w:szCs w:val="18"/>
                <w:color w:val="auto"/>
              </w:rPr>
              <w:t xml:space="preserve">Reset Option embedded derivative </w:t>
            </w:r>
            <w:r>
              <w:rPr>
                <w:rFonts w:ascii="Arial" w:cs="Arial" w:eastAsia="Arial" w:hAnsi="Arial"/>
                <w:sz w:val="23"/>
                <w:szCs w:val="23"/>
                <w:color w:val="auto"/>
                <w:vertAlign w:val="superscript"/>
              </w:rPr>
              <w:t>(4)</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w w:val="99"/>
              </w:rPr>
              <w:t xml:space="preserve">Net loss on foreign currency revaluation </w:t>
            </w:r>
            <w:r>
              <w:rPr>
                <w:rFonts w:ascii="Arial" w:cs="Arial" w:eastAsia="Arial" w:hAnsi="Arial"/>
                <w:sz w:val="23"/>
                <w:szCs w:val="23"/>
                <w:color w:val="auto"/>
                <w:w w:val="99"/>
                <w:vertAlign w:val="superscript"/>
              </w:rPr>
              <w:t>(5)</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20" w:type="dxa"/>
            <w:vAlign w:val="bottom"/>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180"/>
              <w:spacing w:after="0" w:line="24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76"/>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Adjusted EBITDA attributable to</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Pr>
          <w:p>
            <w:pPr>
              <w:ind w:left="260"/>
              <w:spacing w:after="0" w:line="182" w:lineRule="exact"/>
              <w:rPr>
                <w:sz w:val="20"/>
                <w:szCs w:val="20"/>
                <w:color w:val="auto"/>
              </w:rPr>
            </w:pPr>
            <w:r>
              <w:rPr>
                <w:rFonts w:ascii="Arial" w:cs="Arial" w:eastAsia="Arial" w:hAnsi="Arial"/>
                <w:sz w:val="18"/>
                <w:szCs w:val="18"/>
                <w:color w:val="auto"/>
              </w:rPr>
              <w:t>noncontrolling interests in consolidated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tcPr>
          <w:p>
            <w:pPr>
              <w:ind w:left="260"/>
              <w:spacing w:after="0" w:line="235"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(7)</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PAA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93" w:lineRule="exact"/>
        <w:rPr>
          <w:rFonts w:ascii="Arial" w:cs="Arial" w:eastAsia="Arial" w:hAnsi="Arial"/>
          <w:sz w:val="23"/>
          <w:szCs w:val="23"/>
          <w:color w:val="auto"/>
          <w:vertAlign w:val="superscript"/>
        </w:rPr>
      </w:pPr>
    </w:p>
    <w:p>
      <w:pPr>
        <w:ind w:left="660" w:right="320" w:hanging="652"/>
        <w:spacing w:after="0" w:line="238" w:lineRule="auto"/>
        <w:tabs>
          <w:tab w:leader="none" w:pos="6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62" w:lineRule="exact"/>
        <w:rPr>
          <w:sz w:val="20"/>
          <w:szCs w:val="20"/>
          <w:color w:val="auto"/>
        </w:rPr>
      </w:pPr>
    </w:p>
    <w:p>
      <w:pPr>
        <w:ind w:left="20" w:right="80" w:hanging="11"/>
        <w:spacing w:after="0" w:line="259" w:lineRule="auto"/>
        <w:rPr>
          <w:sz w:val="20"/>
          <w:szCs w:val="20"/>
          <w:color w:val="auto"/>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ind w:left="20" w:right="46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11 to our Condensed Consolidated Financial Statements for our definition of Segment Adjusted EBITDA and a reconciliation of Segment Adjusted EBITDA to Net income attributable to PAGP. See Note 20 to our Consolidated Financial Statements included in Part IV of our 2021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primarily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(40,495)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(26,146)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5"/>
        </w:trPr>
        <w:tc>
          <w:tcPr>
            <w:tcW w:w="346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2"/>
              </w:rPr>
              <w:t>Segment general and administrative expenses</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30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(Gains)/losses from derivative activities and</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inventory valuation adjustments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3"/>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6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3"/>
          </w:tcPr>
          <w:p>
            <w:pPr>
              <w:ind w:left="14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3"/>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Adjusted EBITDA attributable to</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gridSpan w:val="3"/>
          </w:tcPr>
          <w:p>
            <w:pPr>
              <w:ind w:left="300"/>
              <w:spacing w:after="0" w:line="189" w:lineRule="exact"/>
              <w:rPr>
                <w:sz w:val="20"/>
                <w:szCs w:val="20"/>
                <w:color w:val="auto"/>
              </w:rPr>
            </w:pPr>
            <w:r>
              <w:rPr>
                <w:rFonts w:ascii="Arial" w:cs="Arial" w:eastAsia="Arial" w:hAnsi="Arial"/>
                <w:sz w:val="18"/>
                <w:szCs w:val="18"/>
                <w:color w:val="auto"/>
              </w:rPr>
              <w:t>noncontrolling interests in consolidated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3"/>
          </w:tcPr>
          <w:p>
            <w:pPr>
              <w:ind w:left="300"/>
              <w:spacing w:after="0"/>
              <w:rPr>
                <w:sz w:val="20"/>
                <w:szCs w:val="20"/>
                <w:color w:val="auto"/>
              </w:rPr>
            </w:pPr>
            <w:r>
              <w:rPr>
                <w:rFonts w:ascii="Arial" w:cs="Arial" w:eastAsia="Arial" w:hAnsi="Arial"/>
                <w:sz w:val="18"/>
                <w:szCs w:val="18"/>
                <w:color w:val="auto"/>
              </w:rPr>
              <w:t>joint ventures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Volumes</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32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Crude oil pipeline tariff volumes (by region)</w:t>
            </w:r>
          </w:p>
        </w:tc>
        <w:tc>
          <w:tcPr>
            <w:tcW w:w="14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ind w:left="18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346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3460" w:type="dxa"/>
            <w:vAlign w:val="bottom"/>
            <w:gridSpan w:val="3"/>
          </w:tcPr>
          <w:p>
            <w:pPr>
              <w:ind w:left="140"/>
              <w:spacing w:after="0"/>
              <w:rPr>
                <w:sz w:val="20"/>
                <w:szCs w:val="20"/>
                <w:color w:val="auto"/>
              </w:rPr>
            </w:pPr>
            <w:r>
              <w:rPr>
                <w:rFonts w:ascii="Arial" w:cs="Arial" w:eastAsia="Arial" w:hAnsi="Arial"/>
                <w:sz w:val="18"/>
                <w:szCs w:val="18"/>
                <w:color w:val="auto"/>
              </w:rPr>
              <w:t>Total crude oil pipeline tariff volumes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ind w:left="20"/>
              <w:spacing w:after="0" w:line="230" w:lineRule="exact"/>
              <w:rPr>
                <w:sz w:val="20"/>
                <w:szCs w:val="20"/>
                <w:color w:val="auto"/>
              </w:rPr>
            </w:pPr>
            <w:r>
              <w:rPr>
                <w:rFonts w:ascii="Arial" w:cs="Arial" w:eastAsia="Arial" w:hAnsi="Arial"/>
                <w:sz w:val="18"/>
                <w:szCs w:val="18"/>
                <w:color w:val="auto"/>
                <w:w w:val="98"/>
              </w:rPr>
              <w:t xml:space="preserve">Commercial crude oil storage capacity </w:t>
            </w:r>
            <w:r>
              <w:rPr>
                <w:rFonts w:ascii="Arial" w:cs="Arial" w:eastAsia="Arial" w:hAnsi="Arial"/>
                <w:sz w:val="23"/>
                <w:szCs w:val="23"/>
                <w:color w:val="auto"/>
                <w:w w:val="98"/>
                <w:vertAlign w:val="superscript"/>
              </w:rPr>
              <w:t>(5)(6)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4599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81"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ind w:left="20" w:right="200" w:hanging="11"/>
        <w:spacing w:after="0" w:line="286" w:lineRule="auto"/>
        <w:rPr>
          <w:sz w:val="20"/>
          <w:szCs w:val="20"/>
          <w:color w:val="auto"/>
        </w:rPr>
      </w:pPr>
      <w:r>
        <w:rPr>
          <w:rFonts w:ascii="Arial" w:cs="Arial" w:eastAsia="Arial" w:hAnsi="Arial"/>
          <w:sz w:val="17"/>
          <w:szCs w:val="17"/>
          <w:color w:val="auto"/>
        </w:rPr>
        <w:t>Average daily volumes in thousands of barrels per day calculated as the total volumes (attributable to our interest for assets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per day calculated as total volumes for the period divided by the number of months in the period.</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Crude Oil Segment Adjusted EBITDA was favorably impacted for the three and nine months ended September 30, 2022 compared to the same periods in 2021 by higher volumes on our pipelines, favorable Canadian crude oil differentials and higher loss allowance revenue. These favorable impacts were offset for the nine months ended September 30, 2022 compared to the nine months ended September 30, 2021 by (i) the monetization of contango hedges that benefited the 2021 period, (ii) the sale of our natural gas storage facilities in August of 2021 (which were reported in our Crude Oil Segment) and (iii) gains related to hedged power costs resulting from Winter Storm Uri recognized in the first quarter of 2021.</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is a more detailed discussion of the significant factors impacting Segment Adjusted EBITDA for the three and nine months ended September 30, 2022 compared to the same periods in 2021.</w:t>
      </w:r>
    </w:p>
    <w:p>
      <w:pPr>
        <w:spacing w:after="0" w:line="170" w:lineRule="exact"/>
        <w:rPr>
          <w:sz w:val="20"/>
          <w:szCs w:val="20"/>
          <w:color w:val="auto"/>
        </w:rPr>
      </w:pPr>
    </w:p>
    <w:p>
      <w:pPr>
        <w:ind w:left="980" w:right="260" w:hanging="324"/>
        <w:spacing w:after="0" w:line="259"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Assets. </w:t>
      </w:r>
      <w:r>
        <w:rPr>
          <w:rFonts w:ascii="Arial" w:cs="Arial" w:eastAsia="Arial" w:hAnsi="Arial"/>
          <w:sz w:val="18"/>
          <w:szCs w:val="18"/>
          <w:color w:val="auto"/>
        </w:rPr>
        <w:t>We sold our natural gas storage facilities in August 2021, impacting the comparison of our results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compared to the nine months ended September 30, 2021. Net revenues from our natural gas storage facilities were approximately $76 million for the nine months ended September 30, 2021, which included the benefit of favorable margins from hub activities related to Winter Storm Uri, as mentioned below.</w:t>
      </w:r>
    </w:p>
    <w:p>
      <w:pPr>
        <w:spacing w:after="0" w:line="213" w:lineRule="exact"/>
        <w:rPr>
          <w:rFonts w:ascii="Arial" w:cs="Arial" w:eastAsia="Arial" w:hAnsi="Arial"/>
          <w:sz w:val="18"/>
          <w:szCs w:val="18"/>
          <w:i w:val="1"/>
          <w:iCs w:val="1"/>
          <w:color w:val="auto"/>
        </w:rPr>
      </w:pPr>
    </w:p>
    <w:p>
      <w:pPr>
        <w:ind w:left="980" w:hanging="324"/>
        <w:spacing w:after="0" w:line="257"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Market Opportunities. </w:t>
      </w:r>
      <w:r>
        <w:rPr>
          <w:rFonts w:ascii="Arial" w:cs="Arial" w:eastAsia="Arial" w:hAnsi="Arial"/>
          <w:sz w:val="18"/>
          <w:szCs w:val="18"/>
          <w:color w:val="auto"/>
        </w:rPr>
        <w:t>Our results for the three months ended September 30, 2022 include the impact of more favorable Canadian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differentials compared to the three months ended September 30, 2021. The nine month period ended September 30, 2022 benefited from favorable Canadian crude oil differentials and the sale of excess linefill in a higher crude oil price environment, however, in comparison to the nine months ended September 30, 2021, these favorable variances were offset by the benefit of the monetization of contango hedges during the nine months ended September 30, 2021.</w:t>
      </w:r>
    </w:p>
    <w:p>
      <w:pPr>
        <w:spacing w:after="0" w:line="214" w:lineRule="exact"/>
        <w:rPr>
          <w:rFonts w:ascii="Arial" w:cs="Arial" w:eastAsia="Arial" w:hAnsi="Arial"/>
          <w:sz w:val="18"/>
          <w:szCs w:val="18"/>
          <w:i w:val="1"/>
          <w:iCs w:val="1"/>
          <w:color w:val="auto"/>
        </w:rPr>
      </w:pPr>
    </w:p>
    <w:p>
      <w:pPr>
        <w:ind w:left="980" w:right="80" w:hanging="324"/>
        <w:spacing w:after="0" w:line="293" w:lineRule="auto"/>
        <w:tabs>
          <w:tab w:leader="none" w:pos="975"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Permian JV. </w:t>
      </w:r>
      <w:r>
        <w:rPr>
          <w:rFonts w:ascii="Arial" w:cs="Arial" w:eastAsia="Arial" w:hAnsi="Arial"/>
          <w:sz w:val="16"/>
          <w:szCs w:val="16"/>
          <w:color w:val="auto"/>
        </w:rPr>
        <w:t>In October of 2021, we closed on the transaction with Oryx Midstream to merge our respective Permian Basin assets,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 of our long-haul pipeline systems and certain of our intra-basin assets, into the Permian JV. The significant year-over-year growth in our tariff volumes in the Permian Basin region was primarily from the Permian JV assets, largely due to additional volumes from the pipelines contributed by Oryx Midstream as well as increased production and new connections. We deduct the portion of the financial results attributable to Oryx Midstream’s 35% interest in the Permian JV in determining Segment Adjusted EBITDA, which partially offset the favorable impact of the volume growth when comparing Segment Adjusted EBITDA for the first nine months of 2022 compared to 2021.</w:t>
      </w:r>
    </w:p>
    <w:p>
      <w:pPr>
        <w:spacing w:after="0" w:line="191" w:lineRule="exact"/>
        <w:rPr>
          <w:rFonts w:ascii="Arial" w:cs="Arial" w:eastAsia="Arial" w:hAnsi="Arial"/>
          <w:sz w:val="16"/>
          <w:szCs w:val="16"/>
          <w:i w:val="1"/>
          <w:iCs w:val="1"/>
          <w:color w:val="auto"/>
        </w:rPr>
      </w:pPr>
    </w:p>
    <w:p>
      <w:pPr>
        <w:ind w:left="980" w:right="40" w:hanging="324"/>
        <w:spacing w:after="0" w:line="263"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Projects. </w:t>
      </w:r>
      <w:r>
        <w:rPr>
          <w:rFonts w:ascii="Arial" w:cs="Arial" w:eastAsia="Arial" w:hAnsi="Arial"/>
          <w:sz w:val="18"/>
          <w:szCs w:val="18"/>
          <w:color w:val="auto"/>
        </w:rPr>
        <w:t>The Capline pipeline reversal project and phase two of the Wink to Webster pipeline project have been completed and were</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service in the first quarter of 2022, which favorably impacted equity earnings in unconsolidated entities and our tariff volumes for the first nine months of 2022.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color w:val="auto"/>
        </w:rPr>
        <w:t>The variance in equity earnings in unconsolidated entities for the nine months ended September 30, 2022 compared to the same period in 2021 was also driven by the unfavorable impact to the prior period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215" w:lineRule="exact"/>
        <w:rPr>
          <w:sz w:val="20"/>
          <w:szCs w:val="20"/>
          <w:color w:val="auto"/>
        </w:rPr>
      </w:pPr>
    </w:p>
    <w:p>
      <w:pPr>
        <w:ind w:left="980" w:right="500" w:hanging="324"/>
        <w:spacing w:after="0" w:line="308" w:lineRule="auto"/>
        <w:tabs>
          <w:tab w:leader="none" w:pos="975"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Pipeline Loss Allowance Revenue. </w:t>
      </w:r>
      <w:r>
        <w:rPr>
          <w:rFonts w:ascii="Arial" w:cs="Arial" w:eastAsia="Arial" w:hAnsi="Arial"/>
          <w:sz w:val="17"/>
          <w:szCs w:val="17"/>
          <w:color w:val="auto"/>
        </w:rPr>
        <w:t>Pipeline loss allowance revenues increased for the three and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periods in 2021 primarily due to higher prices and volumes during the 2022 periods.</w:t>
      </w:r>
    </w:p>
    <w:p>
      <w:pPr>
        <w:spacing w:after="0" w:line="173" w:lineRule="exact"/>
        <w:rPr>
          <w:rFonts w:ascii="Arial" w:cs="Arial" w:eastAsia="Arial" w:hAnsi="Arial"/>
          <w:sz w:val="17"/>
          <w:szCs w:val="17"/>
          <w:i w:val="1"/>
          <w:iCs w:val="1"/>
          <w:color w:val="auto"/>
        </w:rPr>
      </w:pPr>
    </w:p>
    <w:p>
      <w:pPr>
        <w:ind w:left="980" w:hanging="324"/>
        <w:spacing w:after="0" w:line="286" w:lineRule="auto"/>
        <w:tabs>
          <w:tab w:leader="none" w:pos="975"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Winter Storm Uri. </w:t>
      </w:r>
      <w:r>
        <w:rPr>
          <w:rFonts w:ascii="Arial" w:cs="Arial" w:eastAsia="Arial" w:hAnsi="Arial"/>
          <w:sz w:val="17"/>
          <w:szCs w:val="17"/>
          <w:color w:val="auto"/>
        </w:rPr>
        <w:t>During the first quarter of 2021, Winter Storm Uri had a negative impact on our volumes; however, this impact was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192" w:lineRule="exact"/>
        <w:rPr>
          <w:rFonts w:ascii="Arial" w:cs="Arial" w:eastAsia="Arial" w:hAnsi="Arial"/>
          <w:sz w:val="17"/>
          <w:szCs w:val="17"/>
          <w:i w:val="1"/>
          <w:iCs w:val="1"/>
          <w:color w:val="auto"/>
        </w:rPr>
      </w:pPr>
    </w:p>
    <w:p>
      <w:pPr>
        <w:ind w:left="980" w:hanging="324"/>
        <w:spacing w:after="0" w:line="284" w:lineRule="auto"/>
        <w:tabs>
          <w:tab w:leader="none" w:pos="975"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“Deficiencies under minimum volume commitments, net” in the table above is a net adjustment to (i)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in Segment Adjusted EBITDA amounts billed to counterparties during the period that are deferred and therefore not reflected in revenues or equity earnings and (ii) exclude from Segment Adjusted EBITDA amounts recognized in revenue and equity earnings during the period that were previously deferred as they were included in Segment Adjusted EBITDA when those amounts were billed. A majority of the variance in “Deficiencies under minimum volume commitments, net” for the three months ended September 30, 2022 compared to the three months ended September 31, 2021 relates to the recognition of previously deferred amounts, which do not have an impact on Segment Adjusted</w:t>
      </w:r>
    </w:p>
    <w:p>
      <w:pPr>
        <w:spacing w:after="0" w:line="4" w:lineRule="exact"/>
        <w:rPr>
          <w:rFonts w:ascii="Arial" w:cs="Arial" w:eastAsia="Arial" w:hAnsi="Arial"/>
          <w:sz w:val="16"/>
          <w:szCs w:val="16"/>
          <w:i w:val="1"/>
          <w:iCs w:val="1"/>
          <w:color w:val="auto"/>
        </w:rPr>
      </w:pPr>
    </w:p>
    <w:p>
      <w:pPr>
        <w:ind w:left="980"/>
        <w:spacing w:after="0"/>
        <w:rPr>
          <w:rFonts w:ascii="Arial" w:cs="Arial" w:eastAsia="Arial" w:hAnsi="Arial"/>
          <w:sz w:val="16"/>
          <w:szCs w:val="16"/>
          <w:i w:val="1"/>
          <w:iCs w:val="1"/>
          <w:color w:val="auto"/>
        </w:rPr>
      </w:pPr>
      <w:r>
        <w:rPr>
          <w:rFonts w:ascii="Arial" w:cs="Arial" w:eastAsia="Arial" w:hAnsi="Arial"/>
          <w:sz w:val="18"/>
          <w:szCs w:val="18"/>
          <w:color w:val="auto"/>
        </w:rPr>
        <w:t>EBITDA.</w:t>
      </w:r>
    </w:p>
    <w:p>
      <w:pPr>
        <w:spacing w:after="0" w:line="237" w:lineRule="exact"/>
        <w:rPr>
          <w:rFonts w:ascii="Arial" w:cs="Arial" w:eastAsia="Arial" w:hAnsi="Arial"/>
          <w:sz w:val="16"/>
          <w:szCs w:val="16"/>
          <w:i w:val="1"/>
          <w:iCs w:val="1"/>
          <w:color w:val="auto"/>
        </w:rPr>
      </w:pPr>
    </w:p>
    <w:p>
      <w:pPr>
        <w:ind w:left="980" w:right="40" w:hanging="324"/>
        <w:spacing w:after="0" w:line="272"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nine months ended September 30, 2022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in 2021 was primarily due to (i) incremental operating costs from the Permian JV, (ii) increased utilities as a result of higher volumes, (iii) increased costs resulting from higher third-party trucked volumes and (iv) higher fuel prices, partially offset by (v) the sale of our natural gas storage facilities. For the nine months ended September 30, 2022, the increase compared to 2021 was also attributable to additional estimated costs associated with the Line 901 incident (which impact field operating costs but are excluded from Segment Adjusted EBITDA and thus are reflected as an “Adjustment” in the table above) and the impact of gains related to hedged power costs resulting from Winter Storm Uri recognized in the first quarter of 2021.</w:t>
      </w:r>
    </w:p>
    <w:p>
      <w:pPr>
        <w:spacing w:after="0" w:line="20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w:t>
      </w:r>
      <w:r>
        <w:rPr>
          <w:rFonts w:ascii="Arial" w:cs="Arial" w:eastAsia="Arial" w:hAnsi="Arial"/>
          <w:sz w:val="18"/>
          <w:szCs w:val="18"/>
          <w:i w:val="1"/>
          <w:iCs w:val="1"/>
          <w:color w:val="auto"/>
        </w:rPr>
        <w:t xml:space="preserve"> “—Consolidated Results” </w:t>
      </w:r>
      <w:r>
        <w:rPr>
          <w:rFonts w:ascii="Arial" w:cs="Arial" w:eastAsia="Arial" w:hAnsi="Arial"/>
          <w:sz w:val="18"/>
          <w:szCs w:val="18"/>
          <w:color w:val="auto"/>
        </w:rPr>
        <w:t>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increase in maintenance capital spending for the nine months ended September 30, 2022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2021 was primarily due to ongoing station upgrades, integrity projects and tank maintenance, partially offset by lower costs due to the completion of certain projects.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68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16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9"/>
          </w:tcPr>
          <w:p>
            <w:pPr>
              <w:ind w:lef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5"/>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(Gains)/losses from derivative activities and</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inventory valuation adjustments</w:t>
            </w:r>
          </w:p>
        </w:tc>
        <w:tc>
          <w:tcPr>
            <w:tcW w:w="1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4"/>
          </w:tcPr>
          <w:p>
            <w:pPr>
              <w:ind w:left="8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1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9"/>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9"/>
          </w:tcPr>
          <w:p>
            <w:pPr>
              <w:ind w:lef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48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Average Volumes</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40" w:type="dxa"/>
            <w:vAlign w:val="bottom"/>
            <w:gridSpan w:val="4"/>
          </w:tcPr>
          <w:p>
            <w:pPr>
              <w:ind w:left="20"/>
              <w:spacing w:after="0" w:line="243" w:lineRule="exact"/>
              <w:rPr>
                <w:sz w:val="20"/>
                <w:szCs w:val="20"/>
                <w:color w:val="auto"/>
              </w:rPr>
            </w:pPr>
            <w:r>
              <w:rPr>
                <w:rFonts w:ascii="Arial" w:cs="Arial" w:eastAsia="Arial" w:hAnsi="Arial"/>
                <w:sz w:val="14"/>
                <w:szCs w:val="14"/>
                <w:b w:val="1"/>
                <w:bCs w:val="1"/>
                <w:color w:val="auto"/>
              </w:rPr>
              <w:t>(in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140" w:type="dxa"/>
            <w:vAlign w:val="bottom"/>
          </w:tcPr>
          <w:p>
            <w:pPr>
              <w:spacing w:after="0"/>
              <w:rPr>
                <w:sz w:val="21"/>
                <w:szCs w:val="21"/>
                <w:color w:val="auto"/>
              </w:rPr>
            </w:pPr>
          </w:p>
        </w:tc>
        <w:tc>
          <w:tcPr>
            <w:tcW w:w="6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0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pipeline tariff</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Revenues and costs and expenses include intersegment amounts.</w:t>
      </w:r>
    </w:p>
    <w:p>
      <w:pPr>
        <w:spacing w:after="0" w:line="152"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100" w:hanging="652"/>
        <w:spacing w:after="0" w:line="267" w:lineRule="auto"/>
        <w:tabs>
          <w:tab w:leader="none" w:pos="64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6" w:lineRule="exact"/>
        <w:rPr>
          <w:rFonts w:ascii="Arial" w:cs="Arial" w:eastAsia="Arial" w:hAnsi="Arial"/>
          <w:sz w:val="21"/>
          <w:szCs w:val="21"/>
          <w:color w:val="auto"/>
          <w:vertAlign w:val="superscript"/>
        </w:rPr>
      </w:pPr>
    </w:p>
    <w:p>
      <w:pPr>
        <w:ind w:left="660" w:right="48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36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total volumes (attributable to our interest for pipelines and facilities in which we have undivided joint interests)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Adjusted EBITDA</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NGL Segment Adjusted EBITDA increased for the three and nine months ended September 30, 2022 compared to the same periods in 2021 primarily due to the favorable impact of higher realized fractionation spreads between the price of natural gas and the extracted NGL (“frac spreads”) and increased NGL mix supply produced at our straddle plants.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from our NGL sales activities, excluding the impact of derivative activities and inventory valuation and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costing adjustments, increased for the three and nine months ended September 30, 2022 compared to the same periods in 2021 primarily due to higher realized frac spreads, increased NGL mix supply produced at our straddle plants and higher ethane prices due to higher utility operating costs at our straddle plants. This was partially offset for the nine months ended September 30, 2022 compared to the nine months ended September 30, 2021 by lower NGL sales volumes during the first half of 2022 due to a reduction in lower margin hub activity. Additionally, net revenues for the nine months ended September 30, 2022 compared to the same period in 2021 include the benefit of our increased ownership in the Empress straddle plants effective June 2021 and higher product gains at certain of our NGL fractionation facilities.</w:t>
      </w:r>
    </w:p>
    <w:p>
      <w:pPr>
        <w:spacing w:after="0" w:line="20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and nine months ended September 30, 2022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2021 was primarily due to increased utilities-related costs associated with (i) our increased ownership in the Empress straddle plants, (ii) higher prices in the 2022 periods, and (iii) a reduction in unrealized mark-to-market gains (which impact our field operating costs but are excluded from Segment Adjusted EBITDA and thus are reflected as an “Adjustment” in the table above). The increase in utilities-related costs was largely offset by the benefit to net revenues of ethane recoveries.</w:t>
      </w:r>
    </w:p>
    <w:p>
      <w:pPr>
        <w:spacing w:after="0" w:line="21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increase in maintenance capital spending for the three and nine months ended September 30,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2021 was primarily due to a turnaround at one of our Empress facilities during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and (ii) borrowings under PAA’s credit facilities or the PAA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2022, we had approximately $3.3 billion of liquidity available to meet our ongoing operating, investing and financing needs, subject to continued covenant compliance, as noted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September 30, 2022</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9"/>
        </w:trPr>
        <w:tc>
          <w:tcPr>
            <w:tcW w:w="20" w:type="dxa"/>
            <w:vAlign w:val="bottom"/>
          </w:tcPr>
          <w:p>
            <w:pPr>
              <w:spacing w:after="0"/>
              <w:rPr>
                <w:sz w:val="19"/>
                <w:szCs w:val="19"/>
                <w:color w:val="auto"/>
              </w:rPr>
            </w:pPr>
          </w:p>
        </w:tc>
        <w:tc>
          <w:tcPr>
            <w:tcW w:w="9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2,642</w:t>
            </w:r>
          </w:p>
        </w:tc>
      </w:tr>
      <w:tr>
        <w:trPr>
          <w:trHeight w:val="230"/>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$29 million and $29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right="600" w:firstLine="648"/>
        <w:spacing w:after="0" w:line="308" w:lineRule="auto"/>
        <w:rPr>
          <w:sz w:val="20"/>
          <w:szCs w:val="20"/>
          <w:color w:val="auto"/>
        </w:rPr>
      </w:pPr>
      <w:r>
        <w:rPr>
          <w:rFonts w:ascii="Arial" w:cs="Arial" w:eastAsia="Arial" w:hAnsi="Arial"/>
          <w:sz w:val="17"/>
          <w:szCs w:val="17"/>
          <w:color w:val="auto"/>
        </w:rPr>
        <w:t>In August 2022, PAA amended its credit facility agreements to, among other things, extend the maturity dates of its senior secured hedged inventory facility and senior unsecured revolving credit facility by one year to August 2025 and August 2027, respectively.</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Additionally, lack of compliance with the provisions in PAA’s credit agreements may restrict its ability to make distributions of available cash. PAA was in compliance with the covenants contained in its credit agreements and indentures as of September 30, 2022.</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2021 Annual Report on Form 10-K for further discussion regarding risks that may impact our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2021 Annual Report on Form 10-K.</w:t>
      </w:r>
    </w:p>
    <w:p>
      <w:pPr>
        <w:spacing w:after="0" w:line="18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2022 and 2021 was $2.070 billion and $1.358 billion, respectively, and primarily resulted from earnings from our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jc w:val="both"/>
        <w:ind w:left="660" w:right="260" w:hanging="652"/>
        <w:spacing w:after="0" w:line="234"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94" w:lineRule="exact"/>
        <w:rPr>
          <w:rFonts w:ascii="Arial" w:cs="Arial" w:eastAsia="Arial" w:hAnsi="Arial"/>
          <w:sz w:val="23"/>
          <w:szCs w:val="23"/>
          <w:color w:val="auto"/>
          <w:vertAlign w:val="superscript"/>
        </w:rPr>
      </w:pPr>
    </w:p>
    <w:p>
      <w:pPr>
        <w:ind w:left="660" w:right="240" w:hanging="652"/>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33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2022 Investment and Maintenance Capital. </w:t>
      </w:r>
      <w:r>
        <w:rPr>
          <w:rFonts w:ascii="Arial" w:cs="Arial" w:eastAsia="Arial" w:hAnsi="Arial"/>
          <w:sz w:val="17"/>
          <w:szCs w:val="17"/>
          <w:color w:val="auto"/>
        </w:rPr>
        <w:t>Total investment capital for the year ended December 31, 2022 is projected to be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$330 million ($275 million net to our interest). Approximately half of our projected investment capital expenditures are expected to be invested in the Permian JV assets. Additionally, maintenance capital for the full year of 2022 is projected to be $220 million ($210 million net to our interest). We expect to fund our 2022 investment and maintenance capital expenditures primarily with retained cash flow.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nine months of 2022 and 2021 from sales of assets (in millions):</w:t>
      </w:r>
    </w:p>
    <w:p>
      <w:pPr>
        <w:spacing w:after="0" w:line="22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w:t>
        <w:tab/>
        <w:t>$</w:t>
      </w:r>
      <w:r>
        <w:rPr>
          <w:sz w:val="20"/>
          <w:szCs w:val="20"/>
          <w:color w:val="auto"/>
        </w:rPr>
        <w:tab/>
      </w:r>
      <w:r>
        <w:rPr>
          <w:rFonts w:ascii="Arial" w:cs="Arial" w:eastAsia="Arial" w:hAnsi="Arial"/>
          <w:sz w:val="15"/>
          <w:szCs w:val="15"/>
          <w:color w:val="auto"/>
        </w:rPr>
        <w:t>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5"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proceeds, including working capital adjustments, net of transaction costs.</w:t>
      </w:r>
    </w:p>
    <w:p>
      <w:pPr>
        <w:spacing w:after="0" w:line="27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and acquisitions involve risks that may adversely affect our business” included in our 2021 Annual Report on Form 10-K.</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November 2, 2022, we completed a transaction to purchase an additional 5% interest in Cactus II Pipeline LLC (“Cactus II”) for approximately $88 million. Subsequent to the transaction, we own a 70% interest in Cactus II and as a result of certain amended governance provisions, we have obtained control over this entity. As a result, we will consolidate Cactus II at fair value at the date of acquisition and amendment, further resulting in a gain being recorded because of our remeasurement of our previously held equity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March 1, 2022, PAA redeemed its 3.65%, $750 million senior notes due June 2022. PAA utilized cash on hand and borrowings under its commercial paper program to repay these senior notes.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PAA repurchased 7.3 million and 11.9 million common units under the Program through open market purchases that settled during the nine months ended September 30, 2022 and 2021, respectively, for a total purchase price of $74 million and $117 million, respectively, including commissions and fees. At September 30, 2022, the remaining available capacity under the Program was $198 million.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in the aggregate, up to a specified amount of equity securities (the “PAGP Traditional Shelf”), under which we had approximately $939 million of unsold securities available at September 30, 2022.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nine months ended September 30, 2022.</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PAA Registration Statements. </w:t>
      </w:r>
      <w:r>
        <w:rPr>
          <w:rFonts w:ascii="Arial" w:cs="Arial" w:eastAsia="Arial" w:hAnsi="Arial"/>
          <w:sz w:val="17"/>
          <w:szCs w:val="17"/>
          <w:color w:val="auto"/>
        </w:rPr>
        <w:t>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in the aggregate, up to a specified amount of debt or equity securities (the “PAA Traditional Shelf”), under which PAA had approximately $1.1 billion of unsold securities available at September 30, 2022.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distribute all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included in our 2021 Annual Report on Form 10-K for additional discussion.</w:t>
      </w:r>
    </w:p>
    <w:p>
      <w:pPr>
        <w:spacing w:after="0" w:line="20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November 14, 2022, we will pay a quarterly cash distribution of $0.2175 per Class A share ($0.87 per share on an annualized basis) to shareholders of record at the close of business on October 31, 2022 for the period from July 1, 2022 through September 30, 2022, which is unchanged from the distribution per share paid in August of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September 30,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and (iv) a 33% interest in Red River LLC.</w:t>
      </w:r>
    </w:p>
    <w:p>
      <w:pPr>
        <w:spacing w:after="0" w:line="214"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 November 14, 2022, PAA will pay a quarterly cash distribution of $0.2175 per common unit ($0.87 per unit on an annualized basis) to common unitholders of record at the close of business on October 31, 2022 for the period from July 1, 2022 through September 30, 2022, which is unchanged from the distribution per unit paid in August of 2022.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7 to our Condensed Consolidated Financial Statements for details of distributions paid to noncontrolling interests during the nine months ended September 30, 2022.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Allocation Framework Update</w:t>
      </w:r>
    </w:p>
    <w:p>
      <w:pPr>
        <w:spacing w:after="0" w:line="256" w:lineRule="exact"/>
        <w:rPr>
          <w:sz w:val="20"/>
          <w:szCs w:val="20"/>
          <w:color w:val="auto"/>
        </w:rPr>
      </w:pPr>
    </w:p>
    <w:p>
      <w:pPr>
        <w:ind w:firstLine="693"/>
        <w:spacing w:after="0" w:line="286" w:lineRule="auto"/>
        <w:rPr>
          <w:sz w:val="20"/>
          <w:szCs w:val="20"/>
          <w:color w:val="auto"/>
        </w:rPr>
      </w:pPr>
      <w:r>
        <w:rPr>
          <w:rFonts w:ascii="Arial" w:cs="Arial" w:eastAsia="Arial" w:hAnsi="Arial"/>
          <w:sz w:val="17"/>
          <w:szCs w:val="17"/>
          <w:color w:val="auto"/>
        </w:rPr>
        <w:t>On November 2, 2022, we provided updates to our capital allocation framework and announced our intention to recommend to the Board of Directors a $0.20 per unit/share (annualized) increase to our distribution payable to holders of PAA common units and PAGP Class A shares with respect to the fourth quarter of 2022. If approved and declared by the Board of Directors, such increased distribution would be paid in February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2022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w:t>
            </w: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2027 and</w:t>
            </w:r>
          </w:p>
        </w:tc>
        <w:tc>
          <w:tcPr>
            <w:tcW w:w="24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21,129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19,951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18,678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17,613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54,686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139,228</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120" w:hanging="652"/>
        <w:spacing w:after="0" w:line="269" w:lineRule="auto"/>
        <w:tabs>
          <w:tab w:leader="none" w:pos="64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Amounts are primarily based on estimated volumes and market prices based on average activity during September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6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merchant activities, we provide certain suppliers with irrevocable standby letters of credit to secure our</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for the purchase and transportation of crude oil, NGL and natural gas. Additionally, we issue letters of credit to support insurance programs, derivative transactions, including hedging-related margin obligations, and construction activities. At September 30, 2022 and December 31, 2021, we had outstanding letters of credit of approximately $58 million and $98 million,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our ability to pay distributions to our Class A shareholders;</w:t>
      </w:r>
    </w:p>
    <w:p>
      <w:pPr>
        <w:spacing w:after="0" w:line="117" w:lineRule="exact"/>
        <w:rPr>
          <w:rFonts w:ascii="Arial" w:cs="Arial" w:eastAsia="Arial" w:hAnsi="Arial"/>
          <w:sz w:val="18"/>
          <w:szCs w:val="18"/>
          <w:i w:val="1"/>
          <w:iCs w:val="1"/>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jc w:val="both"/>
        <w:ind w:left="980" w:right="400" w:hanging="324"/>
        <w:spacing w:after="0" w:line="301"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right="60" w:hanging="324"/>
        <w:spacing w:after="0" w:line="293"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6"/>
          <w:szCs w:val="16"/>
          <w:color w:val="auto"/>
        </w:rPr>
      </w:pPr>
    </w:p>
    <w:p>
      <w:pPr>
        <w:ind w:left="980" w:right="40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40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5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9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2021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1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980" w:hanging="324"/>
        <w:spacing w:after="0"/>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1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2022 that would be expected from a 10% price increase or decrease is shown in the table below (in millions):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3"/>
              </w:rPr>
              <w:t>(21)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37"/>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September 30, 2022. The average interest rate on variable rate debt that was outstanding during the nine months ended September 30, 2022 was 1.3%, based upon rates in effect during such period. The fair value of our interest rate derivatives was a net asset of $113 million as of September 30, 2022. A 10% increase in the forward LIBOR curve as of September 30, 2022 would have resulted in an increase of $17 million to the fair value of our interest rate derivatives. A 10% decrease in the forward LIBOR curve as of September 30, 2022 would have resulted in a decrease of $17 million to the fair value of our interest rate derivatives. See Note 8 to our Condensed Consolidated Financial Statements for a discussion of our interest rate risk hedging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host contract, PAA’s partnership agreement, and recorded at fair value in our Condensed Consolidated Balance Sheets. The valuation model utilized for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embedded derivative contains inputs including PAA’s common unit price, ten-year United States treasury rates, default probabilities and timing estimates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ultimately calculate the fair value of PAA’s Series A preferred units with and without the Preferred Distribution Rate Reset Option. The fair value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embedded derivative was a liability of $196 million as of September 30, 2022. The ten-year U.S. Treasury rate as of September 30, 2022 was 3.83%.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ten-year U.S. Treasury rate curve of 10%, holding other inputs constant, would result in an increase in both expense and our liability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 million. A decrease in the ten-year U.S. Treasury rate curve of 10%, holding other inputs constant, would result in a decrease in both expense and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liability of $31 million. See Note 8 to our Condensed Consolidated Financial Statements for a discussion of embedded derivatives.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September 30, 2022, the end of the period covered by this report, and, based on such evaluation, our Chief Executive Officer and Chief Financial Officer have concluded that our DCP is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2022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For a discussion of our risk factors, see Item 1A. of our 2021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80" w:firstLine="8"/>
        <w:spacing w:after="0" w:line="287" w:lineRule="auto"/>
        <w:tabs>
          <w:tab w:leader="none" w:pos="265"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September 30, 2022, certain Legacy Owners or their permitted transferees exercised the Exchange Right, which resulted in the issuance of 21,874 Class A shares. The issuance of Class A shares in connection with the exercise of the Exchange Right was exempt from the registration requirements of the Securities Act of 1933, as amended, pursuant to Section 4(a)(2)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6"/>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77">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Holdings, L.P. (incorporated by reference to Exhibit 3.1 to our Current Report on Form 8-K filed April 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22"/>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Fourth Amended and Restated Limited Liability Company Agreement of PAA GP Holdings LLC dated effective as of August</w:t>
              </w:r>
            </w:hyperlink>
          </w:p>
        </w:tc>
        <w:tc>
          <w:tcPr>
            <w:tcW w:w="280" w:type="dxa"/>
            <w:vAlign w:val="bottom"/>
            <w:gridSpan w:val="7"/>
          </w:tcPr>
          <w:p>
            <w:pPr>
              <w:spacing w:after="0"/>
              <w:rPr>
                <w:sz w:val="24"/>
                <w:szCs w:val="24"/>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19, 2021 (incorporated by reference to Exhibit 3.11 to our Annual Report on Form 10-K for the year ended December 31, 2021).</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2017 (incorporated by reference to Exhibit 3.1 to PAA's Current Report on Form 8-K filed October 12, 2017).</w:t>
              </w:r>
            </w:hyperlink>
          </w:p>
        </w:tc>
        <w:tc>
          <w:tcPr>
            <w:tcW w:w="138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3">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3"/>
              </w:rPr>
            </w:pPr>
            <w:hyperlink r:id="rId84">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5">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AAP, L.P. (incorporated by reference to Exhibit 3.1 to our Current Report on Form 8-K filed October 2, 2018).</w:t>
              </w:r>
            </w:hyperlink>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7">
              <w:r>
                <w:rPr>
                  <w:rFonts w:ascii="Arial" w:cs="Arial" w:eastAsia="Arial" w:hAnsi="Arial"/>
                  <w:sz w:val="18"/>
                  <w:szCs w:val="18"/>
                  <w:color w:val="0000FF"/>
                  <w:w w:val="94"/>
                </w:rPr>
                <w:t>Limited Liability Company Agreement of PAA GP LLC dated December 28, 2007 (incorporated by reference to Exhibit 3.3 to</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Indenture dated September 25, 2002 among Plains All American Pipeline, L.P., PAA Finance Corp. and Wachovia Bank,</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7"/>
              </w:rPr>
            </w:pPr>
            <w:hyperlink r:id="rId88">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88">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American Pipeline, L.P., PAA Finance Corp., the Subsidiary Guarantors named therein and Wachovia Bank, National</w:t>
              </w:r>
            </w:hyperlink>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5"/>
          </w:tcPr>
          <w:p>
            <w:pPr>
              <w:jc w:val="right"/>
              <w:spacing w:after="0" w:line="169" w:lineRule="exact"/>
              <w:rPr>
                <w:rFonts w:ascii="Arial" w:cs="Arial" w:eastAsia="Arial" w:hAnsi="Arial"/>
                <w:sz w:val="18"/>
                <w:szCs w:val="18"/>
                <w:color w:val="0000FF"/>
                <w:w w:val="86"/>
              </w:rPr>
            </w:pPr>
            <w:hyperlink r:id="rId89">
              <w:r>
                <w:rPr>
                  <w:rFonts w:ascii="Arial" w:cs="Arial" w:eastAsia="Arial" w:hAnsi="Arial"/>
                  <w:sz w:val="18"/>
                  <w:szCs w:val="18"/>
                  <w:color w:val="0000FF"/>
                  <w:w w:val="86"/>
                </w:rPr>
                <w:t>2006).</w:t>
              </w:r>
            </w:hyperlink>
          </w:p>
        </w:tc>
        <w:tc>
          <w:tcPr>
            <w:tcW w:w="10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Tenth Supplemental Indenture (Series A and Series B 6.650% Senior Notes due 2037) dated October 30, 2006 among Plains All</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American Pipeline, L.P., PAA Finance Corp., the Subsidiary Guarantors named therein and U.S. Bank National Association, as</w:t>
              </w:r>
            </w:hyperlink>
          </w:p>
        </w:tc>
        <w:tc>
          <w:tcPr>
            <w:tcW w:w="100" w:type="dxa"/>
            <w:vAlign w:val="bottom"/>
            <w:gridSpan w:val="2"/>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trustee (incorporated by reference to Exhibit 4.2 to PAA’s Current Report on Form 8-K filed October 30, 2006).</w:t>
              </w:r>
            </w:hyperlink>
          </w:p>
        </w:tc>
        <w:tc>
          <w:tcPr>
            <w:tcW w:w="1080" w:type="dxa"/>
            <w:vAlign w:val="bottom"/>
            <w:tcBorders>
              <w:top w:val="single" w:sz="8" w:color="0000FF"/>
            </w:tcBorders>
            <w:gridSpan w:val="16"/>
          </w:tcPr>
          <w:p>
            <w:pPr>
              <w:spacing w:after="0"/>
              <w:rPr>
                <w:sz w:val="14"/>
                <w:szCs w:val="14"/>
                <w:color w:val="auto"/>
              </w:rPr>
            </w:pPr>
          </w:p>
        </w:tc>
        <w:tc>
          <w:tcPr>
            <w:tcW w:w="200" w:type="dxa"/>
            <w:vAlign w:val="bottom"/>
            <w:gridSpan w:val="3"/>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8"/>
              </w:rPr>
            </w:pPr>
            <w:hyperlink r:id="rId91">
              <w:r>
                <w:rPr>
                  <w:rFonts w:ascii="Arial" w:cs="Arial" w:eastAsia="Arial" w:hAnsi="Arial"/>
                  <w:sz w:val="18"/>
                  <w:szCs w:val="18"/>
                  <w:color w:val="0000FF"/>
                  <w:w w:val="98"/>
                </w:rPr>
                <w:t>Twenty-First Supplemental Indenture (5.15% Senior Notes due 2042) dated March 22, 2012 among Plains All American</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12"/>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Pipeline, L.P., PAA Finance Corp and U.S. Bank National Association, as trustee (incorporated by reference to Exhibit 4.3 to</w:t>
              </w:r>
            </w:hyperlink>
          </w:p>
        </w:tc>
        <w:tc>
          <w:tcPr>
            <w:tcW w:w="340" w:type="dxa"/>
            <w:vAlign w:val="bottom"/>
            <w:gridSpan w:val="10"/>
          </w:tcPr>
          <w:p>
            <w:pPr>
              <w:spacing w:after="0"/>
              <w:rPr>
                <w:sz w:val="13"/>
                <w:szCs w:val="13"/>
                <w:color w:val="auto"/>
              </w:rPr>
            </w:pPr>
          </w:p>
        </w:tc>
      </w:tr>
    </w:tbl>
    <w:p>
      <w:pPr>
        <w:ind w:left="186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PAA’s Current Report on Form 8-K filed March 26, 2012).</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87"/>
              </w:rPr>
              <w:t>4.5</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American Pipeline, L.P., PAA Finance Corp. and U.S. Bank National Association, as trustee (incorporated by reference to</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7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Exhibit 4.1 to PAA’s Current Report on Form 8-K filed December 12, 2012).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87"/>
              </w:rPr>
              <w:t>4.6</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American Pipeline, L.P., PAA Finance Corp. and U.S. Bank National Association, as trustee (incorporated by reference to</w:t>
              </w:r>
            </w:hyperlink>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7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94">
              <w:r>
                <w:rPr>
                  <w:rFonts w:ascii="Arial" w:cs="Arial" w:eastAsia="Arial" w:hAnsi="Arial"/>
                  <w:sz w:val="18"/>
                  <w:szCs w:val="18"/>
                  <w:color w:val="0000FF"/>
                </w:rPr>
                <w:t>Exhibit 4.3 to PAA’s Current Report on Form 8-K filed December 12, 2012).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87"/>
              </w:rPr>
              <w:t>4.7</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340" w:type="dxa"/>
            <w:vAlign w:val="bottom"/>
            <w:gridSpan w:val="27"/>
          </w:tcPr>
          <w:p>
            <w:pPr>
              <w:spacing w:after="0" w:line="156" w:lineRule="exact"/>
              <w:rPr>
                <w:rFonts w:ascii="Arial" w:cs="Arial" w:eastAsia="Arial" w:hAnsi="Arial"/>
                <w:sz w:val="18"/>
                <w:szCs w:val="18"/>
                <w:color w:val="0000FF"/>
                <w:w w:val="96"/>
              </w:rPr>
            </w:pPr>
            <w:hyperlink r:id="rId95">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7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95">
              <w:r>
                <w:rPr>
                  <w:rFonts w:ascii="Arial" w:cs="Arial" w:eastAsia="Arial" w:hAnsi="Arial"/>
                  <w:sz w:val="18"/>
                  <w:szCs w:val="18"/>
                  <w:color w:val="0000FF"/>
                </w:rPr>
                <w:t>Exhibit 4.1 to PAA’s Current Report on Form 8-K filed August 15, 2013).</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87"/>
              </w:rPr>
              <w:t>4.8</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4"/>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Twenty-Fifth Supplemental Indenture (4.70% Senior Notes due 2044) dated April 23, 2014, by and among Plains All American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340" w:type="dxa"/>
            <w:vAlign w:val="bottom"/>
            <w:gridSpan w:val="27"/>
          </w:tcPr>
          <w:p>
            <w:pPr>
              <w:spacing w:after="0" w:line="15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3"/>
              </w:rPr>
            </w:pPr>
            <w:hyperlink r:id="rId96">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87"/>
              </w:rPr>
              <w:t>4.9</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6"/>
              </w:rPr>
            </w:pPr>
            <w:hyperlink r:id="rId97">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7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97">
              <w:r>
                <w:rPr>
                  <w:rFonts w:ascii="Arial" w:cs="Arial" w:eastAsia="Arial" w:hAnsi="Arial"/>
                  <w:sz w:val="18"/>
                  <w:szCs w:val="18"/>
                  <w:color w:val="0000FF"/>
                </w:rPr>
                <w:t>Exhibit 4.1 to our Current Report on Form 8-K filed September 11,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4.10</w:t>
            </w:r>
          </w:p>
        </w:tc>
        <w:tc>
          <w:tcPr>
            <w:tcW w:w="760" w:type="dxa"/>
            <w:vAlign w:val="bottom"/>
          </w:tcPr>
          <w:p>
            <w:pPr>
              <w:spacing w:after="0"/>
              <w:rPr>
                <w:sz w:val="24"/>
                <w:szCs w:val="24"/>
                <w:color w:val="auto"/>
              </w:rPr>
            </w:pPr>
          </w:p>
        </w:tc>
        <w:tc>
          <w:tcPr>
            <w:tcW w:w="9340" w:type="dxa"/>
            <w:vAlign w:val="bottom"/>
            <w:gridSpan w:val="27"/>
          </w:tcPr>
          <w:p>
            <w:pPr>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6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884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American Pipeline, L.P., PAA Finance Corp., and U.S. Bank National Association, as trustee (incorporated by reference to</w:t>
              </w:r>
            </w:hyperlink>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3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Exhibit 4.3 to our Current Report on Form 8-K filed December 11, 2014).</w:t>
              </w:r>
            </w:hyperlink>
          </w:p>
        </w:tc>
        <w:tc>
          <w:tcPr>
            <w:tcW w:w="3480" w:type="dxa"/>
            <w:vAlign w:val="bottom"/>
            <w:tcBorders>
              <w:top w:val="single" w:sz="8" w:color="0000FF"/>
            </w:tcBorders>
            <w:gridSpan w:val="8"/>
          </w:tcPr>
          <w:p>
            <w:pPr>
              <w:spacing w:after="0"/>
              <w:rPr>
                <w:sz w:val="14"/>
                <w:szCs w:val="14"/>
                <w:color w:val="auto"/>
              </w:rPr>
            </w:pPr>
          </w:p>
        </w:tc>
        <w:tc>
          <w:tcPr>
            <w:tcW w:w="12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4.11</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8"/>
              </w:rPr>
            </w:pPr>
            <w:hyperlink r:id="rId99">
              <w:r>
                <w:rPr>
                  <w:rFonts w:ascii="Arial" w:cs="Arial" w:eastAsia="Arial" w:hAnsi="Arial"/>
                  <w:sz w:val="18"/>
                  <w:szCs w:val="18"/>
                  <w:color w:val="0000FF"/>
                  <w:w w:val="98"/>
                </w:rPr>
                <w:t>Twenty-Ninth Supplemental Indenture (4.65% Senior Notes due 2025) dated August 24, 2015, by and among Plains All</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70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American Pipeline, L.P., PAA Finance Corp., and U.S. Bank National Association, as trustee (incorporated by reference</w:t>
              </w:r>
            </w:hyperlink>
          </w:p>
        </w:tc>
        <w:tc>
          <w:tcPr>
            <w:tcW w:w="640" w:type="dxa"/>
            <w:vAlign w:val="bottom"/>
            <w:gridSpan w:val="17"/>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Exhibit 4.1 to PAA’s Current Report on Form 8-K filed August 26, 2015).</w:t>
              </w:r>
            </w:hyperlink>
          </w:p>
        </w:tc>
        <w:tc>
          <w:tcPr>
            <w:tcW w:w="12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4.12</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Thirtieth Supplemental Indenture (4.50% Senior Notes due 2026) dated November 22, 2016, by and among Plains All American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6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PAA’s Current Report on Form 8-K filed November 29, 2016).</w:t>
              </w:r>
            </w:hyperlink>
          </w:p>
        </w:tc>
        <w:tc>
          <w:tcPr>
            <w:tcW w:w="460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4.13</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7"/>
              </w:rPr>
            </w:pPr>
            <w:hyperlink r:id="rId101">
              <w:r>
                <w:rPr>
                  <w:rFonts w:ascii="Arial" w:cs="Arial" w:eastAsia="Arial" w:hAnsi="Arial"/>
                  <w:sz w:val="18"/>
                  <w:szCs w:val="18"/>
                  <w:color w:val="0000FF"/>
                  <w:w w:val="97"/>
                </w:rPr>
                <w:t>Thirty-First Supplemental Indenture (3.55% Senior Notes due 2029) dated September 16, 2019, by and among Plains All</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340" w:type="dxa"/>
            <w:vAlign w:val="bottom"/>
            <w:gridSpan w:val="27"/>
          </w:tcPr>
          <w:p>
            <w:pPr>
              <w:spacing w:after="0" w:line="156"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Exhibit 4.1 to PAA’s Current Report on Form 8-K filed September 17, 2019).</w:t>
              </w:r>
            </w:hyperlink>
          </w:p>
        </w:tc>
        <w:tc>
          <w:tcPr>
            <w:tcW w:w="3220" w:type="dxa"/>
            <w:vAlign w:val="bottom"/>
            <w:tcBorders>
              <w:top w:val="single" w:sz="8" w:color="0000FF"/>
            </w:tcBorders>
            <w:gridSpan w:val="5"/>
          </w:tcPr>
          <w:p>
            <w:pPr>
              <w:spacing w:after="0"/>
              <w:rPr>
                <w:sz w:val="14"/>
                <w:szCs w:val="14"/>
                <w:color w:val="auto"/>
              </w:rPr>
            </w:pPr>
          </w:p>
        </w:tc>
        <w:tc>
          <w:tcPr>
            <w:tcW w:w="160" w:type="dxa"/>
            <w:vAlign w:val="bottom"/>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4.14</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Thirty-Second Supplemental Indenture (3.80% Senior Notes due 2030) dated June 11, 2020, by and among Plains All American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2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4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4.15</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2"/>
              </w:rPr>
            </w:pPr>
            <w:hyperlink r:id="rId103">
              <w:r>
                <w:rPr>
                  <w:rFonts w:ascii="Arial" w:cs="Arial" w:eastAsia="Arial" w:hAnsi="Arial"/>
                  <w:sz w:val="18"/>
                  <w:szCs w:val="18"/>
                  <w:color w:val="0000FF"/>
                  <w:w w:val="92"/>
                </w:rPr>
                <w:t>Shareholder and Registration Rights Agreement dated October 21, 2013 by and among Plains GP Holdings, L.P. and the other</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1"/>
              </w:rPr>
              <w:t>4.16</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Description of Our Securities (incorporated by reference to Exhibit 4.17 to our Annual Report on Form 10-K for the year ended</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December 31, 2021).</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5"/>
              </w:rPr>
              <w:t>10.1*</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gridSpan w:val="27"/>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Form of Amended and Restated Special Retention LTIP Grant Letter Dated February 24, 2022 (incorporated by reference to</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9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Exhibit 10.1 to our Quarterly Report on Form 10-Q for the quarter ended March 31, 2022).</w:t>
              </w:r>
            </w:hyperlink>
          </w:p>
        </w:tc>
        <w:tc>
          <w:tcPr>
            <w:tcW w:w="4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rFonts w:ascii="Arial" w:cs="Arial" w:eastAsia="Arial" w:hAnsi="Arial"/>
                <w:sz w:val="18"/>
                <w:szCs w:val="18"/>
                <w:color w:val="0000FF"/>
                <w:w w:val="97"/>
              </w:rPr>
            </w:pPr>
            <w:hyperlink r:id="rId107">
              <w:r>
                <w:rPr>
                  <w:rFonts w:ascii="Arial" w:cs="Arial" w:eastAsia="Arial" w:hAnsi="Arial"/>
                  <w:sz w:val="18"/>
                  <w:szCs w:val="18"/>
                  <w:color w:val="0000FF"/>
                  <w:w w:val="97"/>
                </w:rPr>
                <w:t>First Amendment to Credit Agreement dated as of August 22, 2022, among Plains All American Pipeline, L.P. and Plains</w:t>
              </w:r>
            </w:hyperlink>
          </w:p>
        </w:tc>
      </w:tr>
      <w:tr>
        <w:trPr>
          <w:trHeight w:val="156"/>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74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Midstream Canada ULC, as Borrowers; certain subsidiaries of Plains All American Pipeline, L.P. from time to time party</w:t>
              </w:r>
            </w:hyperlink>
          </w:p>
        </w:tc>
        <w:tc>
          <w:tcPr>
            <w:tcW w:w="620" w:type="dxa"/>
            <w:vAlign w:val="bottom"/>
            <w:gridSpan w:val="8"/>
          </w:tcPr>
          <w:p>
            <w:pPr>
              <w:ind w:left="40"/>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thereto,</w:t>
              </w:r>
            </w:hyperlink>
          </w:p>
        </w:tc>
      </w:tr>
      <w:tr>
        <w:trPr>
          <w:trHeight w:val="169"/>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as Designated Borrowers; Bank of America, N.A., as Administrative Agent and Swing Line Lender; Bank of America, N.A.,</w:t>
              </w:r>
            </w:hyperlink>
          </w:p>
        </w:tc>
        <w:tc>
          <w:tcPr>
            <w:tcW w:w="3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60" w:type="dxa"/>
            <w:vAlign w:val="bottom"/>
            <w:gridSpan w:val="17"/>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Citibank, N.A., JPMorgan Chase Bank, N.A. and Wells Fargo Bank, National Association, as L/C Issuers; and the other Lenders</w:t>
              </w:r>
            </w:hyperlink>
          </w:p>
        </w:tc>
      </w:tr>
      <w:tr>
        <w:trPr>
          <w:trHeight w:val="156"/>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party thereto (incorporated by reference to Exhibit 10.1 to our Current Report on Form 8-K filed August 25, 2022).</w:t>
              </w:r>
            </w:hyperlink>
          </w:p>
        </w:tc>
        <w:tc>
          <w:tcPr>
            <w:tcW w:w="96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First Amendment to Fourth Amended and Restated Credit Agreement dated as of August 22, 2022, among Plains Marketing, L.P.</w:t>
              </w:r>
            </w:hyperlink>
          </w:p>
        </w:tc>
      </w:tr>
      <w:tr>
        <w:trPr>
          <w:trHeight w:val="155"/>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4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and Plains Midstream Canada ULC, as Borrowers; Plains All American Pipeline, L.P., as guarantor; Bank of America, N.A., as</w:t>
              </w:r>
            </w:hyperlink>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Administrative Agent and Swing Line Lender; Bank of America, N.A., Citibank, N.A., JPMorgan Chase Bank, N.A. and Wells</w:t>
              </w:r>
            </w:hyperlink>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60" w:type="dxa"/>
            <w:vAlign w:val="bottom"/>
            <w:gridSpan w:val="17"/>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Fargo Bank, National Association, as L/C Issuers; and the other Lenders party thereto (incorporated by reference to Exhibit 10.2</w:t>
              </w:r>
            </w:hyperlink>
          </w:p>
        </w:tc>
      </w:tr>
      <w:tr>
        <w:trPr>
          <w:trHeight w:val="155"/>
        </w:trPr>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to our Current Report on Form 8-K filed August 25, 2022).</w:t>
              </w:r>
            </w:hyperlink>
          </w:p>
        </w:tc>
        <w:tc>
          <w:tcPr>
            <w:tcW w:w="498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31"/>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4"/>
              </w:rPr>
              <w:t>10.4*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0000FF"/>
              </w:rPr>
              <w:t>Form of LTIP Grant Letter dated August 18, 2022 (Named Executive Officers).</w:t>
            </w:r>
          </w:p>
        </w:tc>
      </w:tr>
      <w:tr>
        <w:trPr>
          <w:trHeight w:val="318"/>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4"/>
              </w:rPr>
              <w:t>10.5*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4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Form of LTIP Grant Letter dated August 18, 2022 (Directors).</w:t>
            </w:r>
          </w:p>
        </w:tc>
        <w:tc>
          <w:tcPr>
            <w:tcW w:w="1240" w:type="dxa"/>
            <w:vAlign w:val="bottom"/>
            <w:tcBorders>
              <w:top w:val="single" w:sz="8" w:color="0000FF"/>
            </w:tcBorders>
            <w:gridSpan w:val="3"/>
          </w:tcPr>
          <w:p>
            <w:pPr>
              <w:spacing w:after="0"/>
              <w:rPr>
                <w:sz w:val="24"/>
                <w:szCs w:val="24"/>
                <w:color w:val="auto"/>
              </w:rPr>
            </w:pPr>
          </w:p>
        </w:tc>
        <w:tc>
          <w:tcPr>
            <w:tcW w:w="3640" w:type="dxa"/>
            <w:vAlign w:val="bottom"/>
            <w:gridSpan w:val="12"/>
          </w:tcPr>
          <w:p>
            <w:pPr>
              <w:spacing w:after="0"/>
              <w:rPr>
                <w:sz w:val="24"/>
                <w:szCs w:val="24"/>
                <w:color w:val="auto"/>
              </w:rPr>
            </w:pPr>
          </w:p>
        </w:tc>
      </w:tr>
      <w:tr>
        <w:trPr>
          <w:trHeight w:val="31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31.1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w:t>
            </w:r>
          </w:p>
        </w:tc>
        <w:tc>
          <w:tcPr>
            <w:tcW w:w="2020" w:type="dxa"/>
            <w:vAlign w:val="bottom"/>
            <w:gridSpan w:val="10"/>
          </w:tcPr>
          <w:p>
            <w:pPr>
              <w:spacing w:after="0"/>
              <w:rPr>
                <w:sz w:val="24"/>
                <w:szCs w:val="24"/>
                <w:color w:val="auto"/>
              </w:rPr>
            </w:pPr>
          </w:p>
        </w:tc>
      </w:tr>
      <w:tr>
        <w:trPr>
          <w:trHeight w:val="31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31.2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0000FF"/>
              </w:rPr>
              <w:t>Certification of Principal Financial Officer pursuant to Exchange Act Rules 13a-14(a) and 15d-14(a).</w:t>
            </w:r>
          </w:p>
        </w:tc>
      </w:tr>
      <w:tr>
        <w:trPr>
          <w:trHeight w:val="318"/>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32.1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of Principal Executive Officer pursuant to 18 U.S.C. 1350.</w:t>
            </w:r>
          </w:p>
        </w:tc>
        <w:tc>
          <w:tcPr>
            <w:tcW w:w="2080" w:type="dxa"/>
            <w:vAlign w:val="bottom"/>
            <w:gridSpan w:val="11"/>
          </w:tcPr>
          <w:p>
            <w:pPr>
              <w:spacing w:after="0"/>
              <w:rPr>
                <w:sz w:val="24"/>
                <w:szCs w:val="24"/>
                <w:color w:val="auto"/>
              </w:rPr>
            </w:pPr>
          </w:p>
        </w:tc>
      </w:tr>
      <w:tr>
        <w:trPr>
          <w:trHeight w:val="318"/>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Financial Officer pursuant to 18 U.S.C. 1350.</w:t>
            </w:r>
          </w:p>
        </w:tc>
        <w:tc>
          <w:tcPr>
            <w:tcW w:w="40" w:type="dxa"/>
            <w:vAlign w:val="bottom"/>
            <w:tcBorders>
              <w:top w:val="single" w:sz="8" w:color="0000FF"/>
            </w:tcBorders>
          </w:tcPr>
          <w:p>
            <w:pPr>
              <w:spacing w:after="0"/>
              <w:rPr>
                <w:sz w:val="24"/>
                <w:szCs w:val="24"/>
                <w:color w:val="auto"/>
              </w:rPr>
            </w:pPr>
          </w:p>
        </w:tc>
        <w:tc>
          <w:tcPr>
            <w:tcW w:w="4180" w:type="dxa"/>
            <w:vAlign w:val="bottom"/>
            <w:gridSpan w:val="13"/>
          </w:tcPr>
          <w:p>
            <w:pPr>
              <w:spacing w:after="0"/>
              <w:rPr>
                <w:sz w:val="24"/>
                <w:szCs w:val="24"/>
                <w:color w:val="auto"/>
              </w:rPr>
            </w:pPr>
          </w:p>
        </w:tc>
      </w:tr>
      <w:tr>
        <w:trPr>
          <w:trHeight w:val="304"/>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3"/>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6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0"/>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7"/>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1"/>
              </w:rPr>
              <w:t>101.DEF†</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6"/>
              </w:rPr>
              <w:t>101.LAB†</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920" w:type="dxa"/>
            <w:vAlign w:val="bottom"/>
          </w:tcPr>
          <w:p>
            <w:pPr>
              <w:jc w:val="center"/>
              <w:ind w:right="50"/>
              <w:spacing w:after="0"/>
              <w:rPr>
                <w:sz w:val="20"/>
                <w:szCs w:val="20"/>
                <w:color w:val="auto"/>
              </w:rPr>
            </w:pPr>
            <w:r>
              <w:rPr>
                <w:rFonts w:ascii="Arial" w:cs="Arial" w:eastAsia="Arial" w:hAnsi="Arial"/>
                <w:sz w:val="18"/>
                <w:szCs w:val="18"/>
                <w:color w:val="auto"/>
                <w:w w:val="90"/>
              </w:rPr>
              <w:t>101.PRE†</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89"/>
              </w:rPr>
              <w:t>104†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6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9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November 7, 2022</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November 7, 2022</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Senior Vice President, Finance and Chief Accounting Officer of</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PAA GP Holdings LLC</w:t>
            </w:r>
          </w:p>
        </w:tc>
      </w:tr>
      <w:tr>
        <w:trPr>
          <w:trHeight w:val="242"/>
        </w:trPr>
        <w:tc>
          <w:tcPr>
            <w:tcW w:w="6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November 7, 2022</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1" w:name="page62"/>
    <w:bookmarkEnd w:id="61"/>
    <w:p>
      <w:pPr>
        <w:ind w:left="9900"/>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3175</wp:posOffset>
            </wp:positionV>
            <wp:extent cx="2768600" cy="796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27686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2022 Regular Annual LTIP Grant</w:t>
      </w:r>
    </w:p>
    <w:p>
      <w:pPr>
        <w:jc w:val="right"/>
        <w:spacing w:after="0" w:line="204" w:lineRule="auto"/>
        <w:rPr>
          <w:sz w:val="20"/>
          <w:szCs w:val="20"/>
          <w:color w:val="auto"/>
        </w:rPr>
      </w:pPr>
      <w:r>
        <w:rPr>
          <w:rFonts w:ascii="Arial" w:cs="Arial" w:eastAsia="Arial" w:hAnsi="Arial"/>
          <w:sz w:val="22"/>
          <w:szCs w:val="22"/>
          <w:b w:val="1"/>
          <w:bCs w:val="1"/>
          <w:u w:val="single" w:color="auto"/>
          <w:color w:val="auto"/>
        </w:rPr>
        <w:t>Section 16 Officers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18,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16 Officer»</w:t>
      </w:r>
    </w:p>
    <w:p>
      <w:pP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21" w:lineRule="exact"/>
        <w:rPr>
          <w:sz w:val="20"/>
          <w:szCs w:val="20"/>
          <w:color w:val="auto"/>
        </w:rPr>
      </w:pPr>
    </w:p>
    <w:p>
      <w:pPr>
        <w:jc w:val="both"/>
        <w:ind w:left="1060" w:hanging="404"/>
        <w:spacing w:after="0" w:line="250" w:lineRule="auto"/>
        <w:tabs>
          <w:tab w:leader="none" w:pos="10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spacing w:after="0" w:line="3" w:lineRule="exact"/>
        <w:rPr>
          <w:rFonts w:ascii="Arial" w:cs="Arial" w:eastAsia="Arial" w:hAnsi="Arial"/>
          <w:sz w:val="22"/>
          <w:szCs w:val="22"/>
          <w:color w:val="auto"/>
        </w:rPr>
      </w:pPr>
    </w:p>
    <w:p>
      <w:pPr>
        <w:ind w:left="1620" w:hanging="316"/>
        <w:spacing w:after="0"/>
        <w:tabs>
          <w:tab w:leader="none" w:pos="16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50% of your Phantom Units (“Tranche 1”) will vest on the August 2025 Distribution Date.</w:t>
      </w:r>
    </w:p>
    <w:p>
      <w:pPr>
        <w:spacing w:after="0" w:line="3" w:lineRule="exact"/>
        <w:rPr>
          <w:rFonts w:ascii="Arial" w:cs="Arial" w:eastAsia="Arial" w:hAnsi="Arial"/>
          <w:sz w:val="22"/>
          <w:szCs w:val="22"/>
          <w:color w:val="auto"/>
        </w:rPr>
      </w:pPr>
    </w:p>
    <w:p>
      <w:pPr>
        <w:ind w:left="1620" w:right="20" w:hanging="316"/>
        <w:spacing w:after="0" w:line="243" w:lineRule="auto"/>
        <w:tabs>
          <w:tab w:leader="none" w:pos="16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25% of your Phantom Units (“Tranche 2”) will vest pursuant to the terms and conditions described in Exhibit A attached hereto.</w:t>
      </w:r>
    </w:p>
    <w:p>
      <w:pPr>
        <w:ind w:left="1620" w:hanging="316"/>
        <w:spacing w:after="0" w:line="249" w:lineRule="auto"/>
        <w:tabs>
          <w:tab w:leader="none" w:pos="1608" w:val="left"/>
        </w:tabs>
        <w:numPr>
          <w:ilvl w:val="1"/>
          <w:numId w:val="38"/>
        </w:numPr>
        <w:rPr>
          <w:rFonts w:ascii="Arial" w:cs="Arial" w:eastAsia="Arial" w:hAnsi="Arial"/>
          <w:sz w:val="22"/>
          <w:szCs w:val="22"/>
          <w:color w:val="auto"/>
        </w:rPr>
      </w:pPr>
      <w:r>
        <w:rPr>
          <w:rFonts w:ascii="Arial" w:cs="Arial" w:eastAsia="Arial" w:hAnsi="Arial"/>
          <w:sz w:val="22"/>
          <w:szCs w:val="22"/>
          <w:color w:val="auto"/>
        </w:rPr>
        <w:t>25% of your Phantom Units (“Tranche 3”) will vest pursuant to the terms and conditions described in Exhibit B attached hereto.</w:t>
      </w:r>
    </w:p>
    <w:p>
      <w:pPr>
        <w:spacing w:after="0" w:line="1" w:lineRule="exact"/>
        <w:rPr>
          <w:rFonts w:ascii="Arial" w:cs="Arial" w:eastAsia="Arial" w:hAnsi="Arial"/>
          <w:sz w:val="22"/>
          <w:szCs w:val="22"/>
          <w:color w:val="auto"/>
        </w:rPr>
      </w:pPr>
    </w:p>
    <w:p>
      <w:pPr>
        <w:ind w:left="1620" w:right="20" w:hanging="316"/>
        <w:spacing w:after="0" w:line="246" w:lineRule="auto"/>
        <w:tabs>
          <w:tab w:leader="none" w:pos="16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Any Tranche 2 or Tranche 3 Phantom Units that are determined not to have vested as of the August 2025 Distribution Date shall expire effective as of such date.</w:t>
      </w:r>
    </w:p>
    <w:p>
      <w:pPr>
        <w:spacing w:after="0" w:line="219" w:lineRule="exact"/>
        <w:rPr>
          <w:rFonts w:ascii="Arial" w:cs="Arial" w:eastAsia="Arial" w:hAnsi="Arial"/>
          <w:sz w:val="22"/>
          <w:szCs w:val="22"/>
          <w:color w:val="auto"/>
        </w:rPr>
      </w:pPr>
    </w:p>
    <w:p>
      <w:pPr>
        <w:ind w:left="1060" w:hanging="404"/>
        <w:spacing w:after="0"/>
        <w:tabs>
          <w:tab w:leader="none" w:pos="10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Subject to the further provisions hereof, your DERs shall vest (become payable in cash) as follows:</w:t>
      </w:r>
    </w:p>
    <w:p>
      <w:pPr>
        <w:spacing w:after="0" w:line="21" w:lineRule="exact"/>
        <w:rPr>
          <w:rFonts w:ascii="Arial" w:cs="Arial" w:eastAsia="Arial" w:hAnsi="Arial"/>
          <w:sz w:val="22"/>
          <w:szCs w:val="22"/>
          <w:color w:val="auto"/>
        </w:rPr>
      </w:pPr>
    </w:p>
    <w:p>
      <w:pPr>
        <w:jc w:val="both"/>
        <w:ind w:left="1620" w:hanging="316"/>
        <w:spacing w:after="0" w:line="300" w:lineRule="auto"/>
        <w:tabs>
          <w:tab w:leader="none" w:pos="1608"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DERs associated with Tranche 1 will begin accruing on the November 2022 Distribution Date and will continue to accrue until the August 2023 Distribution Date, on which date such accrued but unpaid DERs will vest and be paid in a lump sum. Beginning on the November 2023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80"/>
        </w:rPr>
        <w:t>333 Clay Street, Suite 1600 (77002) ■ P.O. Box 4648 ■ Houston, Texas 77210-4648 ■ 713-646-4100</w:t>
      </w:r>
    </w:p>
    <w:p>
      <w:pPr>
        <w:sectPr>
          <w:pgSz w:w="11900" w:h="16838" w:orient="portrait"/>
          <w:cols w:equalWidth="0" w:num="1">
            <w:col w:w="11240"/>
          </w:cols>
          <w:pgMar w:left="320" w:top="98"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«Section 16 Officer»</w:t>
      </w:r>
    </w:p>
    <w:p>
      <w:pPr>
        <w:spacing w:after="0" w:line="204" w:lineRule="auto"/>
        <w:rPr>
          <w:sz w:val="20"/>
          <w:szCs w:val="20"/>
          <w:color w:val="auto"/>
        </w:rPr>
      </w:pPr>
      <w:r>
        <w:rPr>
          <w:rFonts w:ascii="Arial" w:cs="Arial" w:eastAsia="Arial" w:hAnsi="Arial"/>
          <w:sz w:val="22"/>
          <w:szCs w:val="22"/>
          <w:color w:val="auto"/>
        </w:rPr>
        <w:t>August 18,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620" w:hanging="316"/>
        <w:spacing w:after="0" w:line="290" w:lineRule="auto"/>
        <w:tabs>
          <w:tab w:leader="none" w:pos="16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DERs associated with Tranches 2 and 3 will begin accruing on the November 2022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2022 Distribution Date. All accrued and unpaid DERs associated with Tranche 2 and Tranche 3 shall be paid on the August 2025 Distribution Date or as soon thereafter as is administratively practicable.</w:t>
      </w:r>
    </w:p>
    <w:p>
      <w:pPr>
        <w:spacing w:after="0" w:line="187" w:lineRule="exact"/>
        <w:rPr>
          <w:rFonts w:ascii="Arial" w:cs="Arial" w:eastAsia="Arial" w:hAnsi="Arial"/>
          <w:sz w:val="19"/>
          <w:szCs w:val="19"/>
          <w:color w:val="auto"/>
        </w:rPr>
      </w:pPr>
    </w:p>
    <w:p>
      <w:pPr>
        <w:jc w:val="both"/>
        <w:ind w:left="1080" w:hanging="424"/>
        <w:spacing w:after="0" w:line="254"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211"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25" w:lineRule="exact"/>
        <w:rPr>
          <w:rFonts w:ascii="Arial" w:cs="Arial" w:eastAsia="Arial" w:hAnsi="Arial"/>
          <w:sz w:val="22"/>
          <w:szCs w:val="22"/>
          <w:color w:val="auto"/>
        </w:rPr>
      </w:pPr>
    </w:p>
    <w:p>
      <w:pPr>
        <w:jc w:val="both"/>
        <w:ind w:left="980" w:hanging="324"/>
        <w:spacing w:after="0" w:line="259" w:lineRule="auto"/>
        <w:tabs>
          <w:tab w:leader="none" w:pos="98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2025 Distribution Date (1,092). If the resulting amount includes a fraction, it will be rounded down to the nearest whole number.</w:t>
      </w:r>
    </w:p>
    <w:p>
      <w:pPr>
        <w:sectPr>
          <w:pgSz w:w="11900" w:h="16838" w:orient="portrait"/>
          <w:cols w:equalWidth="0" w:num="1">
            <w:col w:w="11240"/>
          </w:cols>
          <w:pgMar w:left="320" w:top="86"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«Section 16 Officer»</w:t>
      </w:r>
    </w:p>
    <w:p>
      <w:pPr>
        <w:spacing w:after="0" w:line="204" w:lineRule="auto"/>
        <w:rPr>
          <w:sz w:val="20"/>
          <w:szCs w:val="20"/>
          <w:color w:val="auto"/>
        </w:rPr>
      </w:pPr>
      <w:r>
        <w:rPr>
          <w:rFonts w:ascii="Arial" w:cs="Arial" w:eastAsia="Arial" w:hAnsi="Arial"/>
          <w:sz w:val="22"/>
          <w:szCs w:val="22"/>
          <w:color w:val="auto"/>
        </w:rPr>
        <w:t>August 18,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980" w:hanging="324"/>
        <w:spacing w:after="0" w:line="287"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6" w:lineRule="exact"/>
        <w:rPr>
          <w:rFonts w:ascii="Arial" w:cs="Arial" w:eastAsia="Arial" w:hAnsi="Arial"/>
          <w:sz w:val="19"/>
          <w:szCs w:val="19"/>
          <w:color w:val="auto"/>
        </w:rPr>
      </w:pPr>
    </w:p>
    <w:p>
      <w:pPr>
        <w:jc w:val="both"/>
        <w:ind w:left="980"/>
        <w:spacing w:after="0" w:line="259" w:lineRule="auto"/>
        <w:tabs>
          <w:tab w:leader="none" w:pos="1325"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8" w:lineRule="exact"/>
        <w:rPr>
          <w:rFonts w:ascii="Arial" w:cs="Arial" w:eastAsia="Arial" w:hAnsi="Arial"/>
          <w:sz w:val="21"/>
          <w:szCs w:val="21"/>
          <w:color w:val="auto"/>
        </w:rPr>
      </w:pPr>
    </w:p>
    <w:p>
      <w:pPr>
        <w:jc w:val="both"/>
        <w:ind w:left="980" w:hanging="324"/>
        <w:spacing w:after="0" w:line="251" w:lineRule="auto"/>
        <w:tabs>
          <w:tab w:leader="none" w:pos="9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(which shall be equal to the target number of Phantom Units specified in the first paragraph hereof)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324" w:lineRule="exact"/>
        <w:rPr>
          <w:rFonts w:ascii="Arial" w:cs="Arial" w:eastAsia="Arial" w:hAnsi="Arial"/>
          <w:sz w:val="22"/>
          <w:szCs w:val="22"/>
          <w:color w:val="auto"/>
        </w:rPr>
      </w:pPr>
    </w:p>
    <w:p>
      <w:pPr>
        <w:jc w:val="both"/>
        <w:ind w:left="980" w:hanging="324"/>
        <w:spacing w:after="0" w:line="254" w:lineRule="auto"/>
        <w:tabs>
          <w:tab w:leader="none" w:pos="9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ectPr>
          <w:pgSz w:w="11900" w:h="16838" w:orient="portrait"/>
          <w:cols w:equalWidth="0" w:num="1">
            <w:col w:w="11240"/>
          </w:cols>
          <w:pgMar w:left="320" w:top="86"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«Section 16 Officer»</w:t>
      </w:r>
    </w:p>
    <w:p>
      <w:pPr>
        <w:spacing w:after="0" w:line="204" w:lineRule="auto"/>
        <w:rPr>
          <w:sz w:val="20"/>
          <w:szCs w:val="20"/>
          <w:color w:val="auto"/>
        </w:rPr>
      </w:pPr>
      <w:r>
        <w:rPr>
          <w:rFonts w:ascii="Arial" w:cs="Arial" w:eastAsia="Arial" w:hAnsi="Arial"/>
          <w:sz w:val="22"/>
          <w:szCs w:val="22"/>
          <w:color w:val="auto"/>
        </w:rPr>
        <w:t>August 18,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15" w:lineRule="exact"/>
        <w:rPr>
          <w:sz w:val="20"/>
          <w:szCs w:val="20"/>
          <w:color w:val="auto"/>
        </w:rPr>
      </w:pPr>
    </w:p>
    <w:p>
      <w:pPr>
        <w:jc w:val="both"/>
        <w:ind w:left="1580" w:hanging="924"/>
        <w:spacing w:after="0" w:line="231" w:lineRule="auto"/>
        <w:tabs>
          <w:tab w:leader="none" w:pos="157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580" w:hanging="924"/>
        <w:spacing w:after="0" w:line="247" w:lineRule="auto"/>
        <w:tabs>
          <w:tab w:leader="none" w:pos="1577"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43" w:lineRule="auto"/>
        <w:tabs>
          <w:tab w:leader="none" w:pos="1569" w:val="left"/>
        </w:tabs>
        <w:numPr>
          <w:ilvl w:val="0"/>
          <w:numId w:val="42"/>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jc w:val="both"/>
        <w:ind w:left="1580" w:hanging="924"/>
        <w:spacing w:after="0" w:line="248" w:lineRule="auto"/>
        <w:tabs>
          <w:tab w:leader="none" w:pos="157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8"/>
        <w:spacing w:after="0" w:line="231" w:lineRule="auto"/>
        <w:tabs>
          <w:tab w:leader="none" w:pos="157" w:val="left"/>
        </w:tabs>
        <w:numPr>
          <w:ilvl w:val="0"/>
          <w:numId w:val="43"/>
        </w:numPr>
        <w:rPr>
          <w:rFonts w:ascii="Arial" w:cs="Arial" w:eastAsia="Arial" w:hAnsi="Arial"/>
          <w:sz w:val="28"/>
          <w:szCs w:val="28"/>
          <w:color w:val="auto"/>
          <w:vertAlign w:val="superscript"/>
        </w:rPr>
      </w:pPr>
      <w:r>
        <w:rPr>
          <w:rFonts w:ascii="Arial" w:cs="Arial" w:eastAsia="Arial" w:hAnsi="Arial"/>
          <w:sz w:val="22"/>
          <w:szCs w:val="22"/>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w:t>
      </w:r>
    </w:p>
    <w:p>
      <w:pPr>
        <w:sectPr>
          <w:pgSz w:w="11900" w:h="16838" w:orient="portrait"/>
          <w:cols w:equalWidth="0" w:num="1">
            <w:col w:w="11240"/>
          </w:cols>
          <w:pgMar w:left="320" w:top="86"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«Section 16 Officer»</w:t>
      </w:r>
    </w:p>
    <w:p>
      <w:pPr>
        <w:spacing w:after="0" w:line="204" w:lineRule="auto"/>
        <w:rPr>
          <w:sz w:val="20"/>
          <w:szCs w:val="20"/>
          <w:color w:val="auto"/>
        </w:rPr>
      </w:pPr>
      <w:r>
        <w:rPr>
          <w:rFonts w:ascii="Arial" w:cs="Arial" w:eastAsia="Arial" w:hAnsi="Arial"/>
          <w:sz w:val="22"/>
          <w:szCs w:val="22"/>
          <w:color w:val="auto"/>
        </w:rPr>
        <w:t>August 18,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07" w:lineRule="exact"/>
        <w:rPr>
          <w:sz w:val="20"/>
          <w:szCs w:val="20"/>
          <w:color w:val="auto"/>
        </w:rPr>
      </w:pPr>
    </w:p>
    <w:p>
      <w:pPr>
        <w:jc w:val="both"/>
        <w:ind w:firstLine="565"/>
        <w:spacing w:after="0" w:line="251"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 You also acknowledge and agree that (i) Tranches 2 and 3 of this award constitute performance-based compensation as defined in the Clawback Policy adopted by PAGP GP on November 12, 2020 and (ii) Tranches 2 and 3 of this award, as well as any other performance-based compensation previously paid or awarded to you, are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86"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«Section 16 Officer»</w:t>
      </w:r>
    </w:p>
    <w:p>
      <w:pPr>
        <w:spacing w:after="0" w:line="204" w:lineRule="auto"/>
        <w:rPr>
          <w:sz w:val="20"/>
          <w:szCs w:val="20"/>
          <w:color w:val="auto"/>
        </w:rPr>
      </w:pPr>
      <w:r>
        <w:rPr>
          <w:rFonts w:ascii="Arial" w:cs="Arial" w:eastAsia="Arial" w:hAnsi="Arial"/>
          <w:sz w:val="22"/>
          <w:szCs w:val="22"/>
          <w:color w:val="auto"/>
        </w:rPr>
        <w:t>August 18,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Jim Tillis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3651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«Section 16 Officer»</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Target Number of Phantom Units: </w:t>
      </w:r>
      <w:r>
        <w:rPr>
          <w:rFonts w:ascii="Arial" w:cs="Arial" w:eastAsia="Arial" w:hAnsi="Arial"/>
          <w:sz w:val="22"/>
          <w:szCs w:val="22"/>
          <w:u w:val="single" w:color="auto"/>
          <w:color w:val="auto"/>
        </w:rPr>
        <w:t>«LTIP_Grant»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4114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Beneficiary Designation</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5360" w:type="dxa"/>
            <w:vAlign w:val="bottom"/>
            <w:tcBorders>
              <w:top w:val="single" w:sz="8" w:color="auto"/>
              <w:left w:val="single" w:sz="8" w:color="auto"/>
              <w:bottom w:val="single" w:sz="8" w:color="C0C0C0"/>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50"/>
        </w:trPr>
        <w:tc>
          <w:tcPr>
            <w:tcW w:w="53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spacing w:after="0"/>
              <w:rPr>
                <w:sz w:val="21"/>
                <w:szCs w:val="21"/>
                <w:color w:val="auto"/>
              </w:rPr>
            </w:pPr>
          </w:p>
        </w:tc>
        <w:tc>
          <w:tcPr>
            <w:tcW w:w="362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336"/>
        </w:trPr>
        <w:tc>
          <w:tcPr>
            <w:tcW w:w="5360" w:type="dxa"/>
            <w:vAlign w:val="bottom"/>
            <w:tcBorders>
              <w:left w:val="single" w:sz="8" w:color="auto"/>
              <w:bottom w:val="single" w:sz="8" w:color="C0C0C0"/>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10"/>
        </w:trPr>
        <w:tc>
          <w:tcPr>
            <w:tcW w:w="53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spacing w:after="0"/>
              <w:rPr>
                <w:sz w:val="18"/>
                <w:szCs w:val="18"/>
                <w:color w:val="auto"/>
              </w:rPr>
            </w:pPr>
          </w:p>
        </w:tc>
        <w:tc>
          <w:tcPr>
            <w:tcW w:w="362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Check this box only if this beneficiary designation does not apply to prior grants.</w:t>
      </w:r>
    </w:p>
    <w:p>
      <w:pPr>
        <w:sectPr>
          <w:pgSz w:w="11900" w:h="16838" w:orient="portrait"/>
          <w:cols w:equalWidth="0" w:num="1">
            <w:col w:w="11260"/>
          </w:cols>
          <w:pgMar w:left="320" w:top="86" w:right="319" w:bottom="1440" w:gutter="0" w:footer="0" w:header="0"/>
        </w:sectPr>
      </w:pPr>
    </w:p>
    <w:bookmarkStart w:id="67" w:name="page68"/>
    <w:bookmarkEnd w:id="67"/>
    <w:p>
      <w:pPr>
        <w:ind w:left="5180"/>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Tranche 2 Vesting Terms</w:t>
      </w:r>
    </w:p>
    <w:p>
      <w:pPr>
        <w:jc w:val="center"/>
        <w:ind w:right="20"/>
        <w:spacing w:after="0"/>
        <w:rPr>
          <w:sz w:val="20"/>
          <w:szCs w:val="20"/>
          <w:color w:val="auto"/>
        </w:rPr>
      </w:pPr>
      <w:r>
        <w:rPr>
          <w:rFonts w:ascii="Arial" w:cs="Arial" w:eastAsia="Arial" w:hAnsi="Arial"/>
          <w:sz w:val="22"/>
          <w:szCs w:val="22"/>
          <w:b w:val="1"/>
          <w:bCs w:val="1"/>
          <w:color w:val="auto"/>
        </w:rPr>
        <w:t>(Total Shareholder Return)</w:t>
      </w:r>
    </w:p>
    <w:p>
      <w:pPr>
        <w:spacing w:after="0" w:line="195" w:lineRule="exact"/>
        <w:rPr>
          <w:sz w:val="20"/>
          <w:szCs w:val="20"/>
          <w:color w:val="auto"/>
        </w:rPr>
      </w:pPr>
    </w:p>
    <w:p>
      <w:pPr>
        <w:jc w:val="both"/>
        <w:ind w:left="660" w:right="20" w:hanging="328"/>
        <w:spacing w:after="0" w:line="26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33" w:lineRule="exact"/>
        <w:rPr>
          <w:rFonts w:ascii="Arial" w:cs="Arial" w:eastAsia="Arial" w:hAnsi="Arial"/>
          <w:sz w:val="16"/>
          <w:szCs w:val="16"/>
          <w:color w:val="auto"/>
        </w:rPr>
      </w:pPr>
    </w:p>
    <w:p>
      <w:pPr>
        <w:jc w:val="both"/>
        <w:ind w:left="660" w:right="20" w:hanging="328"/>
        <w:spacing w:after="0" w:line="238"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2025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w:t>
      </w:r>
    </w:p>
    <w:p>
      <w:pPr>
        <w:jc w:val="both"/>
        <w:ind w:left="660" w:right="20" w:hanging="4"/>
        <w:spacing w:after="0" w:line="218" w:lineRule="auto"/>
        <w:tabs>
          <w:tab w:leader="none" w:pos="8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33"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5"/>
              </w:rPr>
              <w:t>PAA TSR Ranking vs. PAA Peer Group</w:t>
            </w:r>
          </w:p>
        </w:tc>
        <w:tc>
          <w:tcPr>
            <w:tcW w:w="3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TSR Payout</w:t>
            </w:r>
          </w:p>
        </w:tc>
        <w:tc>
          <w:tcPr>
            <w:tcW w:w="0" w:type="dxa"/>
            <w:vAlign w:val="bottom"/>
          </w:tcPr>
          <w:p>
            <w:pPr>
              <w:spacing w:after="0"/>
              <w:rPr>
                <w:sz w:val="1"/>
                <w:szCs w:val="1"/>
                <w:color w:val="auto"/>
              </w:rPr>
            </w:pPr>
          </w:p>
        </w:tc>
      </w:tr>
      <w:tr>
        <w:trPr>
          <w:trHeight w:val="239"/>
        </w:trPr>
        <w:tc>
          <w:tcPr>
            <w:tcW w:w="33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54"/>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185.6%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171.5%</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157.1%</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142.9%</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128.5%</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114.4%</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2 Phantom Units of 1,000):</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PAA TSR Ranking vs. PAA Peer Group</w:t>
            </w:r>
          </w:p>
        </w:tc>
        <w:tc>
          <w:tcPr>
            <w:tcW w:w="6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TSR Payout Percentage / Number of Units Vesting</w:t>
            </w:r>
          </w:p>
        </w:tc>
      </w:tr>
      <w:tr>
        <w:trPr>
          <w:trHeight w:val="216"/>
        </w:trPr>
        <w:tc>
          <w:tcPr>
            <w:tcW w:w="512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(impact of negative absolute TSR)</w:t>
            </w: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 or #2</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200% / 2,000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157.1% / 1,571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60"/>
          </w:cols>
          <w:pgMar w:left="320" w:top="139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60"/>
          </w:cols>
          <w:pgMar w:left="320" w:top="1395" w:right="319" w:bottom="1440" w:gutter="0" w:footer="0" w:header="0"/>
          <w:type w:val="continuous"/>
        </w:sectPr>
      </w:pPr>
    </w:p>
    <w:bookmarkStart w:id="68" w:name="page69"/>
    <w:bookmarkEnd w:id="6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1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 but PAA’s absolute TSR is less than 0%</w:t>
            </w:r>
          </w:p>
        </w:tc>
        <w:tc>
          <w:tcPr>
            <w:tcW w:w="614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132.1% / 1,321 units (TSR Payout Percentage reduced by 25 percentage points)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114.4% / 1,144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 but PAA’s absolute TSR is less than 0%</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(TSR Payout Percentage reduced from 114.4% to 100%)</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(performance at Target)</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#16 or #17</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(2022-2025 Performance Period)</w:t>
      </w:r>
      <w:r>
        <w:rPr>
          <w:rFonts w:ascii="Arial" w:cs="Arial" w:eastAsia="Arial" w:hAnsi="Arial"/>
          <w:sz w:val="18"/>
          <w:szCs w:val="18"/>
          <w:color w:val="auto"/>
        </w:rPr>
        <w:t>:</w:t>
      </w:r>
    </w:p>
    <w:p>
      <w:pPr>
        <w:spacing w:after="0" w:line="354"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WMB</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OKE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Magellan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Crestwood Equity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CEQP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DCP Midstream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DCP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WES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Holly Energy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ENLC</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SPX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60"/>
          </w:cols>
          <w:pgMar w:left="320" w:top="1440" w:right="319" w:bottom="1440" w:gutter="0" w:footer="0" w:header="0"/>
        </w:sectPr>
      </w:pPr>
    </w:p>
    <w:bookmarkStart w:id="69" w:name="page70"/>
    <w:bookmarkEnd w:id="69"/>
    <w:p>
      <w:pPr>
        <w:ind w:left="4848"/>
        <w:spacing w:after="0"/>
        <w:rPr>
          <w:sz w:val="20"/>
          <w:szCs w:val="20"/>
          <w:color w:val="auto"/>
        </w:rPr>
      </w:pPr>
      <w:r>
        <w:rPr>
          <w:rFonts w:ascii="Arial" w:cs="Arial" w:eastAsia="Arial" w:hAnsi="Arial"/>
          <w:sz w:val="22"/>
          <w:szCs w:val="22"/>
          <w:b w:val="1"/>
          <w:bCs w:val="1"/>
          <w:color w:val="auto"/>
        </w:rPr>
        <w:t>Exhibit B</w:t>
      </w:r>
    </w:p>
    <w:p>
      <w:pPr>
        <w:spacing w:after="0" w:line="193" w:lineRule="exact"/>
        <w:rPr>
          <w:sz w:val="20"/>
          <w:szCs w:val="20"/>
          <w:color w:val="auto"/>
        </w:rPr>
      </w:pPr>
    </w:p>
    <w:p>
      <w:pPr>
        <w:ind w:left="4148"/>
        <w:spacing w:after="0"/>
        <w:rPr>
          <w:sz w:val="20"/>
          <w:szCs w:val="20"/>
          <w:color w:val="auto"/>
        </w:rPr>
      </w:pPr>
      <w:r>
        <w:rPr>
          <w:rFonts w:ascii="Arial" w:cs="Arial" w:eastAsia="Arial" w:hAnsi="Arial"/>
          <w:sz w:val="22"/>
          <w:szCs w:val="22"/>
          <w:b w:val="1"/>
          <w:bCs w:val="1"/>
          <w:color w:val="auto"/>
        </w:rPr>
        <w:t>Tranche 3 Vesting Terms</w:t>
      </w:r>
    </w:p>
    <w:p>
      <w:pPr>
        <w:jc w:val="center"/>
        <w:ind w:right="312"/>
        <w:spacing w:after="0"/>
        <w:rPr>
          <w:sz w:val="20"/>
          <w:szCs w:val="20"/>
          <w:color w:val="auto"/>
        </w:rPr>
      </w:pPr>
      <w:r>
        <w:rPr>
          <w:rFonts w:ascii="Arial" w:cs="Arial" w:eastAsia="Arial" w:hAnsi="Arial"/>
          <w:sz w:val="22"/>
          <w:szCs w:val="22"/>
          <w:b w:val="1"/>
          <w:bCs w:val="1"/>
          <w:color w:val="auto"/>
        </w:rPr>
        <w:t>(Cumulative DCF with Leverage Modifier)</w:t>
      </w:r>
    </w:p>
    <w:p>
      <w:pPr>
        <w:spacing w:after="0" w:line="195" w:lineRule="exact"/>
        <w:rPr>
          <w:sz w:val="20"/>
          <w:szCs w:val="20"/>
          <w:color w:val="auto"/>
        </w:rPr>
      </w:pPr>
    </w:p>
    <w:p>
      <w:pPr>
        <w:jc w:val="both"/>
        <w:ind w:left="328" w:hanging="328"/>
        <w:spacing w:after="0" w:line="250" w:lineRule="auto"/>
        <w:tabs>
          <w:tab w:leader="none" w:pos="328" w:val="left"/>
        </w:tabs>
        <w:numPr>
          <w:ilvl w:val="0"/>
          <w:numId w:val="46"/>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Consistent with the Company’s pay for performance philosophy and in order to more closely align the interests of management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74" w:lineRule="exact"/>
        <w:rPr>
          <w:rFonts w:ascii="Arial" w:cs="Arial" w:eastAsia="Arial" w:hAnsi="Arial"/>
          <w:sz w:val="17"/>
          <w:szCs w:val="17"/>
          <w:color w:val="auto"/>
        </w:rPr>
      </w:pPr>
    </w:p>
    <w:p>
      <w:pPr>
        <w:jc w:val="both"/>
        <w:ind w:left="328" w:hanging="328"/>
        <w:spacing w:after="0" w:line="238"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t>Vesting and Payout</w:t>
      </w:r>
      <w:r>
        <w:rPr>
          <w:rFonts w:ascii="Arial" w:cs="Arial" w:eastAsia="Arial" w:hAnsi="Arial"/>
          <w:sz w:val="18"/>
          <w:szCs w:val="18"/>
          <w:color w:val="auto"/>
        </w:rPr>
        <w:t>. As soon as administratively feasible following the close of the three-year period ending on June 30, 2025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The DCF Payout Percentage will be reduced by 25 gross percentage points (the “Leverage Modifier”) if PAA’s leverage ratio (long-term debt to adjusted EBITDA as calculated pursuant to PAA’s senior unsecured revolving credit facility) as of June 30, 2025 is higher than 3.5x; if PAA’s leverage ratio as of June 30, 2025 is equal to or lower than 3.5x, there will be no adjustment to the DCF Payout Percentage.</w:t>
      </w:r>
    </w:p>
    <w:p>
      <w:pPr>
        <w:spacing w:after="0" w:line="361" w:lineRule="exact"/>
        <w:rPr>
          <w:sz w:val="20"/>
          <w:szCs w:val="20"/>
          <w:color w:val="auto"/>
        </w:rPr>
      </w:pPr>
    </w:p>
    <w:tbl>
      <w:tblPr>
        <w:tblLayout w:type="fixed"/>
        <w:tblInd w:w="898" w:type="dxa"/>
        <w:tblCellMar>
          <w:top w:w="0" w:type="dxa"/>
          <w:left w:w="0" w:type="dxa"/>
          <w:bottom w:w="0" w:type="dxa"/>
          <w:right w:w="0" w:type="dxa"/>
        </w:tblCellMar>
      </w:tblPr>
      <w:tr>
        <w:trPr>
          <w:trHeight w:val="270"/>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DCF Payout Percentage</w:t>
            </w:r>
          </w:p>
        </w:tc>
      </w:tr>
      <w:tr>
        <w:trPr>
          <w:trHeight w:val="243"/>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Period</w:t>
            </w:r>
          </w:p>
        </w:tc>
        <w:tc>
          <w:tcPr>
            <w:tcW w:w="3560" w:type="dxa"/>
            <w:vAlign w:val="bottom"/>
            <w:tcBorders>
              <w:right w:val="single" w:sz="8" w:color="auto"/>
            </w:tcBorders>
          </w:tcPr>
          <w:p>
            <w:pPr>
              <w:spacing w:after="0"/>
              <w:rPr>
                <w:sz w:val="21"/>
                <w:szCs w:val="2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$7.93 (112.5%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$7.71</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$7.49</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$7.27</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$7.05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$6.525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$6.35 (90%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jc w:val="both"/>
        <w:ind w:left="328"/>
        <w:spacing w:after="0"/>
        <w:rPr>
          <w:sz w:val="20"/>
          <w:szCs w:val="20"/>
          <w:color w:val="auto"/>
        </w:rPr>
      </w:pPr>
      <w:r>
        <w:rPr>
          <w:rFonts w:ascii="Arial" w:cs="Arial" w:eastAsia="Arial" w:hAnsi="Arial"/>
          <w:sz w:val="18"/>
          <w:szCs w:val="18"/>
          <w:color w:val="auto"/>
        </w:rPr>
        <w:t>Note: Both the cumulative DCF per CUE targets set forth in the table above and the leverage ratios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68" w:lineRule="exact"/>
        <w:rPr>
          <w:sz w:val="20"/>
          <w:szCs w:val="20"/>
          <w:color w:val="auto"/>
        </w:rPr>
      </w:pPr>
    </w:p>
    <w:p>
      <w:pPr>
        <w:jc w:val="both"/>
        <w:ind w:left="648" w:hanging="324"/>
        <w:spacing w:after="0" w:line="270" w:lineRule="auto"/>
        <w:tabs>
          <w:tab w:leader="none" w:pos="6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42" w:lineRule="exact"/>
        <w:rPr>
          <w:rFonts w:ascii="Arial" w:cs="Arial" w:eastAsia="Arial" w:hAnsi="Arial"/>
          <w:sz w:val="17"/>
          <w:szCs w:val="17"/>
          <w:color w:val="auto"/>
        </w:rPr>
      </w:pPr>
    </w:p>
    <w:p>
      <w:pPr>
        <w:ind w:left="648" w:hanging="324"/>
        <w:spacing w:after="0" w:line="291" w:lineRule="auto"/>
        <w:tabs>
          <w:tab w:leader="none" w:pos="6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39" w:lineRule="exact"/>
        <w:rPr>
          <w:sz w:val="20"/>
          <w:szCs w:val="20"/>
          <w:color w:val="auto"/>
        </w:rPr>
      </w:pPr>
    </w:p>
    <w:p>
      <w:pPr>
        <w:jc w:val="both"/>
        <w:ind w:left="328"/>
        <w:spacing w:after="0"/>
        <w:rPr>
          <w:sz w:val="20"/>
          <w:szCs w:val="20"/>
          <w:color w:val="auto"/>
        </w:rPr>
      </w:pPr>
      <w:r>
        <w:rPr>
          <w:rFonts w:ascii="Arial" w:cs="Arial" w:eastAsia="Arial" w:hAnsi="Arial"/>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w:t>
      </w:r>
    </w:p>
    <w:p>
      <w:pPr>
        <w:sectPr>
          <w:pgSz w:w="11900" w:h="16838" w:orient="portrait"/>
          <w:cols w:equalWidth="0" w:num="1">
            <w:col w:w="10908"/>
          </w:cols>
          <w:pgMar w:left="652"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2"/>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0908"/>
          </w:cols>
          <w:pgMar w:left="652" w:top="1395" w:right="339" w:bottom="1440" w:gutter="0" w:footer="0" w:header="0"/>
          <w:type w:val="continuous"/>
        </w:sectPr>
      </w:pPr>
    </w:p>
    <w:bookmarkStart w:id="70" w:name="page71"/>
    <w:bookmarkEnd w:id="70"/>
    <w:p>
      <w:pPr>
        <w:jc w:val="both"/>
        <w:ind w:left="660" w:right="20"/>
        <w:spacing w:after="0" w:line="234" w:lineRule="auto"/>
        <w:rPr>
          <w:sz w:val="20"/>
          <w:szCs w:val="20"/>
          <w:color w:val="auto"/>
        </w:rPr>
      </w:pPr>
      <w:r>
        <w:rPr>
          <w:rFonts w:ascii="Arial" w:cs="Arial" w:eastAsia="Arial" w:hAnsi="Arial"/>
          <w:sz w:val="18"/>
          <w:szCs w:val="18"/>
          <w:color w:val="auto"/>
        </w:rPr>
        <w:t>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3 Phantom Units of 1,000):</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PAA Cumulative DCF per CUE</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Leverage Ratio as of June</w:t>
            </w:r>
          </w:p>
        </w:tc>
        <w:tc>
          <w:tcPr>
            <w:tcW w:w="3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960" w:type="dxa"/>
            <w:vAlign w:val="bottom"/>
            <w:tcBorders>
              <w:top w:val="single" w:sz="8" w:color="auto"/>
              <w:right w:val="single" w:sz="8" w:color="auto"/>
            </w:tcBorders>
            <w:vMerge w:val="restart"/>
          </w:tcPr>
          <w:p>
            <w:pPr>
              <w:jc w:val="center"/>
              <w:ind w:right="430"/>
              <w:spacing w:after="0"/>
              <w:rPr>
                <w:sz w:val="20"/>
                <w:szCs w:val="20"/>
                <w:color w:val="auto"/>
              </w:rPr>
            </w:pPr>
            <w:r>
              <w:rPr>
                <w:rFonts w:ascii="Arial" w:cs="Arial" w:eastAsia="Arial" w:hAnsi="Arial"/>
                <w:sz w:val="18"/>
                <w:szCs w:val="18"/>
                <w:b w:val="1"/>
                <w:bCs w:val="1"/>
                <w:color w:val="auto"/>
                <w:w w:val="90"/>
              </w:rPr>
              <w:t>DCF Payout Percentage / Number of Units Vesting</w:t>
            </w:r>
          </w:p>
        </w:tc>
        <w:tc>
          <w:tcPr>
            <w:tcW w:w="0" w:type="dxa"/>
            <w:vAlign w:val="bottom"/>
          </w:tcPr>
          <w:p>
            <w:pPr>
              <w:spacing w:after="0"/>
              <w:rPr>
                <w:sz w:val="1"/>
                <w:szCs w:val="1"/>
                <w:color w:val="auto"/>
              </w:rPr>
            </w:pPr>
          </w:p>
        </w:tc>
      </w:tr>
      <w:tr>
        <w:trPr>
          <w:trHeight w:val="3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Over the Performance Period</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30, 2025</w:t>
            </w: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9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6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12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3"/>
              </w:rPr>
              <w:t>(Impact of Leverage Modifier)</w:t>
            </w: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$7.93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1"/>
              </w:rPr>
              <w:t>200%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 (no adjustment to DCF Payout Percentage)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$7.93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1"/>
              </w:rPr>
              <w:t>175%</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1,750 units (DCF Payout Percentage reduced by 25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1"/>
              </w:rPr>
              <w:t>100%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(no adjustment to DCF Payout Percentage)</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6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75% / 750 units (DCF Payout Percentage reduced by 25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6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25% / 250 units (no adjustment to DCF Payout Percentage)</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320" w:type="dxa"/>
            <w:vAlign w:val="bottom"/>
          </w:tcPr>
          <w:p>
            <w:pPr>
              <w:ind w:left="60"/>
              <w:spacing w:after="0"/>
              <w:rPr>
                <w:sz w:val="20"/>
                <w:szCs w:val="20"/>
                <w:color w:val="auto"/>
              </w:rPr>
            </w:pPr>
            <w:r>
              <w:rPr>
                <w:rFonts w:ascii="Arial" w:cs="Arial" w:eastAsia="Arial" w:hAnsi="Arial"/>
                <w:sz w:val="18"/>
                <w:szCs w:val="18"/>
                <w:color w:val="auto"/>
                <w:w w:val="92"/>
              </w:rPr>
              <w:t>0%</w:t>
            </w:r>
          </w:p>
        </w:tc>
        <w:tc>
          <w:tcPr>
            <w:tcW w:w="61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 0 units (DCF Payout Percentage reduced by 25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$6.35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3.5x or lower</w:t>
            </w:r>
          </w:p>
        </w:tc>
        <w:tc>
          <w:tcPr>
            <w:tcW w:w="320" w:type="dxa"/>
            <w:vAlign w:val="bottom"/>
          </w:tcPr>
          <w:p>
            <w:pPr>
              <w:ind w:left="60"/>
              <w:spacing w:after="0"/>
              <w:rPr>
                <w:sz w:val="20"/>
                <w:szCs w:val="20"/>
                <w:color w:val="auto"/>
              </w:rPr>
            </w:pPr>
            <w:r>
              <w:rPr>
                <w:rFonts w:ascii="Arial" w:cs="Arial" w:eastAsia="Arial" w:hAnsi="Arial"/>
                <w:sz w:val="18"/>
                <w:szCs w:val="18"/>
                <w:color w:val="auto"/>
                <w:w w:val="92"/>
              </w:rPr>
              <w:t>0%</w:t>
            </w:r>
          </w:p>
        </w:tc>
        <w:tc>
          <w:tcPr>
            <w:tcW w:w="61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 0 units (DCF Payout Percentage equal to zero based on DCF performance)</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$6.35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3.6x</w:t>
            </w:r>
          </w:p>
        </w:tc>
        <w:tc>
          <w:tcPr>
            <w:tcW w:w="320" w:type="dxa"/>
            <w:vAlign w:val="bottom"/>
          </w:tcPr>
          <w:p>
            <w:pPr>
              <w:ind w:left="60"/>
              <w:spacing w:after="0"/>
              <w:rPr>
                <w:sz w:val="20"/>
                <w:szCs w:val="20"/>
                <w:color w:val="auto"/>
              </w:rPr>
            </w:pPr>
            <w:r>
              <w:rPr>
                <w:rFonts w:ascii="Arial" w:cs="Arial" w:eastAsia="Arial" w:hAnsi="Arial"/>
                <w:sz w:val="18"/>
                <w:szCs w:val="18"/>
                <w:color w:val="auto"/>
                <w:w w:val="92"/>
              </w:rPr>
              <w:t>0%</w:t>
            </w:r>
          </w:p>
        </w:tc>
        <w:tc>
          <w:tcPr>
            <w:tcW w:w="61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 0 units (DCF Payout Percentage equal to zero based on DCF performance)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60"/>
          </w:cols>
          <w:pgMar w:left="320" w:top="1408"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3175</wp:posOffset>
            </wp:positionV>
            <wp:extent cx="2305685" cy="557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23056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2022 ANNUAL DIRECTOR GRANT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18, 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Class A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I am pleased to inform you that you have been granted 11,400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6" w:lineRule="exact"/>
        <w:rPr>
          <w:sz w:val="20"/>
          <w:szCs w:val="20"/>
          <w:color w:val="auto"/>
        </w:rPr>
      </w:pPr>
    </w:p>
    <w:p>
      <w:pPr>
        <w:ind w:left="660" w:hanging="328"/>
        <w:spacing w:after="0" w:line="298"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2023 Distribution Date.</w:t>
      </w:r>
    </w:p>
    <w:p>
      <w:pPr>
        <w:spacing w:after="0" w:line="132" w:lineRule="exact"/>
        <w:rPr>
          <w:rFonts w:ascii="Arial" w:cs="Arial" w:eastAsia="Arial" w:hAnsi="Arial"/>
          <w:sz w:val="19"/>
          <w:szCs w:val="19"/>
          <w:color w:val="auto"/>
        </w:rPr>
      </w:pPr>
    </w:p>
    <w:p>
      <w:pPr>
        <w:ind w:left="660" w:hanging="328"/>
        <w:spacing w:after="0" w:line="232"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06" w:lineRule="exact"/>
        <w:rPr>
          <w:rFonts w:ascii="Arial" w:cs="Arial" w:eastAsia="Arial" w:hAnsi="Arial"/>
          <w:sz w:val="22"/>
          <w:szCs w:val="22"/>
          <w:color w:val="auto"/>
        </w:rPr>
      </w:pPr>
    </w:p>
    <w:p>
      <w:pPr>
        <w:jc w:val="both"/>
        <w:ind w:left="660" w:hanging="328"/>
        <w:spacing w:after="0" w:line="218"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187" w:lineRule="exact"/>
        <w:rPr>
          <w:rFonts w:ascii="Arial" w:cs="Arial" w:eastAsia="Arial" w:hAnsi="Arial"/>
          <w:sz w:val="22"/>
          <w:szCs w:val="22"/>
          <w:color w:val="auto"/>
        </w:rPr>
      </w:pPr>
    </w:p>
    <w:p>
      <w:pPr>
        <w:jc w:val="both"/>
        <w:ind w:left="660" w:hanging="328"/>
        <w:spacing w:after="0" w:line="216"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3051F2"/>
        </w:rPr>
        <w:t>333 Clay Street, Suite 1600 n Houston, Texas 77002 n 713/646-4100 or 800-564-3036</w:t>
      </w:r>
    </w:p>
    <w:p>
      <w:pPr>
        <w:sectPr>
          <w:pgSz w:w="11900" w:h="16838" w:orient="portrait"/>
          <w:cols w:equalWidth="0" w:num="1">
            <w:col w:w="11240"/>
          </w:cols>
          <w:pgMar w:left="320" w:top="98" w:right="339" w:bottom="1440" w:gutter="0" w:footer="0" w:header="0"/>
        </w:sectPr>
      </w:pPr>
    </w:p>
    <w:bookmarkStart w:id="72" w:name="page73"/>
    <w:bookmarkEnd w:id="72"/>
    <w:p>
      <w:pPr>
        <w:jc w:val="center"/>
        <w:spacing w:after="0"/>
        <w:tabs>
          <w:tab w:leader="none" w:pos="200" w:val="left"/>
          <w:tab w:leader="none" w:pos="180" w:val="left"/>
        </w:tabs>
        <w:rPr>
          <w:sz w:val="20"/>
          <w:szCs w:val="20"/>
          <w:color w:val="auto"/>
        </w:rPr>
      </w:pPr>
      <w:r>
        <w:rPr>
          <w:rFonts w:ascii="Arial" w:cs="Arial" w:eastAsia="Arial" w:hAnsi="Arial"/>
          <w:sz w:val="22"/>
          <w:szCs w:val="22"/>
          <w:color w:val="auto"/>
        </w:rPr>
        <w:t>[Name]</w:t>
        <w:tab/>
        <w:t>- 2 -</w:t>
      </w:r>
      <w:r>
        <w:rPr>
          <w:sz w:val="20"/>
          <w:szCs w:val="20"/>
          <w:color w:val="auto"/>
        </w:rPr>
        <w:tab/>
      </w:r>
      <w:r>
        <w:rPr>
          <w:rFonts w:ascii="Arial" w:cs="Arial" w:eastAsia="Arial" w:hAnsi="Arial"/>
          <w:sz w:val="19"/>
          <w:szCs w:val="19"/>
          <w:color w:val="auto"/>
        </w:rPr>
        <w:t>August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line="298"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2" w:lineRule="exact"/>
        <w:rPr>
          <w:sz w:val="20"/>
          <w:szCs w:val="20"/>
          <w:color w:val="auto"/>
        </w:rPr>
      </w:pPr>
    </w:p>
    <w:p>
      <w:pPr>
        <w:jc w:val="both"/>
        <w:ind w:firstLine="286"/>
        <w:spacing w:after="0" w:line="212" w:lineRule="auto"/>
        <w:rPr>
          <w:sz w:val="20"/>
          <w:szCs w:val="20"/>
          <w:color w:val="auto"/>
        </w:rPr>
      </w:pPr>
      <w:r>
        <w:rPr>
          <w:rFonts w:ascii="Arial" w:cs="Arial" w:eastAsia="Arial" w:hAnsi="Arial"/>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1" w:lineRule="exact"/>
        <w:rPr>
          <w:sz w:val="20"/>
          <w:szCs w:val="20"/>
          <w:color w:val="auto"/>
        </w:rPr>
      </w:pPr>
    </w:p>
    <w:p>
      <w:pPr>
        <w:jc w:val="both"/>
        <w:ind w:firstLine="236"/>
        <w:spacing w:after="0" w:line="252"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04" w:right="339" w:bottom="1440" w:gutter="0" w:footer="0" w:header="0"/>
        </w:sectPr>
      </w:pPr>
    </w:p>
    <w:bookmarkStart w:id="73" w:name="page74"/>
    <w:bookmarkEnd w:id="73"/>
    <w:p>
      <w:pPr>
        <w:jc w:val="center"/>
        <w:ind w:right="20"/>
        <w:spacing w:after="0"/>
        <w:tabs>
          <w:tab w:leader="none" w:pos="200" w:val="left"/>
          <w:tab w:leader="none" w:pos="180" w:val="left"/>
        </w:tabs>
        <w:rPr>
          <w:sz w:val="20"/>
          <w:szCs w:val="20"/>
          <w:color w:val="auto"/>
        </w:rPr>
      </w:pPr>
      <w:r>
        <w:rPr>
          <w:rFonts w:ascii="Arial" w:cs="Arial" w:eastAsia="Arial" w:hAnsi="Arial"/>
          <w:sz w:val="22"/>
          <w:szCs w:val="22"/>
          <w:color w:val="auto"/>
        </w:rPr>
        <w:t>[Name]</w:t>
        <w:tab/>
        <w:t>- 3 -</w:t>
      </w:r>
      <w:r>
        <w:rPr>
          <w:sz w:val="20"/>
          <w:szCs w:val="20"/>
          <w:color w:val="auto"/>
        </w:rPr>
        <w:tab/>
      </w:r>
      <w:r>
        <w:rPr>
          <w:rFonts w:ascii="Arial" w:cs="Arial" w:eastAsia="Arial" w:hAnsi="Arial"/>
          <w:sz w:val="19"/>
          <w:szCs w:val="19"/>
          <w:color w:val="auto"/>
        </w:rPr>
        <w:t>August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0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w:t>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McGee</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822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11,400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-17780</wp:posOffset>
            </wp:positionV>
            <wp:extent cx="509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3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64"/>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Percent (Must total 100%)</w:t>
            </w:r>
          </w:p>
        </w:tc>
      </w:tr>
      <w:tr>
        <w:trPr>
          <w:trHeight w:val="209"/>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10"/>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04"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7, 2022</w:t>
      </w:r>
    </w:p>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7,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0"/>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2"/>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lowerRoman"/>
      <w:start w:val="2"/>
    </w:lvl>
  </w:abstractNum>
  <w:abstractNum w:abstractNumId="37">
    <w:nsid w:val="32FFF902"/>
    <w:multiLevelType w:val="hybridMultilevel"/>
    <w:lvl w:ilvl="0">
      <w:lvlJc w:val="left"/>
      <w:lvlText w:val="%1."/>
      <w:numFmt w:val="decimal"/>
      <w:start w:val="1"/>
    </w:lvl>
    <w:lvl w:ilvl="1">
      <w:lvlJc w:val="left"/>
      <w:lvlText w:val="%2."/>
      <w:numFmt w:val="lowerLetter"/>
      <w:start w:val="1"/>
    </w:lvl>
  </w:abstractNum>
  <w:abstractNum w:abstractNumId="38">
    <w:nsid w:val="684A481A"/>
    <w:multiLevelType w:val="hybridMultilevel"/>
    <w:lvl w:ilvl="0">
      <w:lvlJc w:val="left"/>
      <w:lvlText w:val="%1"/>
      <w:numFmt w:val="decimal"/>
      <w:start w:val="1"/>
    </w:lvl>
    <w:lvl w:ilvl="1">
      <w:lvlJc w:val="left"/>
      <w:lvlText w:val="%2."/>
      <w:numFmt w:val="lowerLetter"/>
      <w:start w:val="2"/>
    </w:lvl>
  </w:abstractNum>
  <w:abstractNum w:abstractNumId="39">
    <w:nsid w:val="579478FE"/>
    <w:multiLevelType w:val="hybridMultilevel"/>
    <w:lvl w:ilvl="0">
      <w:lvlJc w:val="left"/>
      <w:lvlText w:val="%1."/>
      <w:numFmt w:val="decimal"/>
      <w:start w:val="3"/>
    </w:lvl>
    <w:lvl w:ilvl="1">
      <w:lvlJc w:val="left"/>
      <w:lvlText w:val="%2"/>
      <w:numFmt w:val="lowerLetter"/>
      <w:start w:val="1"/>
    </w:lvl>
  </w:abstractNum>
  <w:abstractNum w:abstractNumId="40">
    <w:nsid w:val="749ABB43"/>
    <w:multiLevelType w:val="hybridMultilevel"/>
    <w:lvl w:ilvl="0">
      <w:lvlJc w:val="left"/>
      <w:lvlText w:val="%1."/>
      <w:numFmt w:val="decimal"/>
      <w:start w:val="6"/>
    </w:lvl>
    <w:lvl w:ilvl="1">
      <w:lvlJc w:val="left"/>
      <w:lvlText w:val="(%2)"/>
      <w:numFmt w:val="lowerLetter"/>
      <w:start w:val="25"/>
    </w:lvl>
  </w:abstractNum>
  <w:abstractNum w:abstractNumId="41">
    <w:nsid w:val="3DC240FB"/>
    <w:multiLevelType w:val="hybridMultilevel"/>
    <w:lvl w:ilvl="0">
      <w:lvlJc w:val="left"/>
      <w:lvlText w:val="(%1)"/>
      <w:numFmt w:val="lowerRoman"/>
      <w:start w:val="1"/>
    </w:lvl>
  </w:abstractNum>
  <w:abstractNum w:abstractNumId="42">
    <w:nsid w:val="1BA026FA"/>
    <w:multiLevelType w:val="hybridMultilevel"/>
    <w:lvl w:ilvl="0">
      <w:lvlJc w:val="left"/>
      <w:lvlText w:val="1"/>
      <w:numFmt w:val="bullet"/>
      <w:start w:val="1"/>
    </w:lvl>
  </w:abstractNum>
  <w:abstractNum w:abstractNumId="43">
    <w:nsid w:val="79A1DEAA"/>
    <w:multiLevelType w:val="hybridMultilevel"/>
    <w:lvl w:ilvl="0">
      <w:lvlJc w:val="left"/>
      <w:lvlText w:val="%1."/>
      <w:numFmt w:val="decimal"/>
      <w:start w:val="1"/>
    </w:lvl>
    <w:lvl w:ilvl="1">
      <w:lvlJc w:val="left"/>
      <w:lvlText w:val="(%2)"/>
      <w:numFmt w:val="lowerRoman"/>
      <w:start w:val="1"/>
    </w:lvl>
  </w:abstractNum>
  <w:abstractNum w:abstractNumId="44">
    <w:nsid w:val="75C6C33A"/>
    <w:multiLevelType w:val="hybridMultilevel"/>
    <w:lvl w:ilvl="0">
      <w:lvlJc w:val="left"/>
      <w:lvlText w:val="%1."/>
      <w:numFmt w:val="decimal"/>
      <w:start w:val="3"/>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7"/>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5"/>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5"/>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2" Type="http://schemas.openxmlformats.org/officeDocument/2006/relationships/image" Target="media/image70.png"/><Relationship Id="rId106"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jpe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jpe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77" Type="http://schemas.openxmlformats.org/officeDocument/2006/relationships/hyperlink" Target="http://www.sec.gov/Archives/edgar/data/1581990/000104746913007875/a2216069zex-3_1.htm" TargetMode="External"/><Relationship Id="rId78" Type="http://schemas.openxmlformats.org/officeDocument/2006/relationships/hyperlink" Target="http://www.sec.gov/Archives/edgar/data/1581990/000110465916158356/a16-21845_1ex3d2.htm" TargetMode="External"/><Relationship Id="rId79" Type="http://schemas.openxmlformats.org/officeDocument/2006/relationships/hyperlink" Target="http://www.sec.gov/Archives/edgar/data/1581990/000158199020000012/exhibit31.htm" TargetMode="External"/><Relationship Id="rId80" Type="http://schemas.openxmlformats.org/officeDocument/2006/relationships/hyperlink" Target="http://www.sec.gov/Archives/edgar/data/1581990/000104746913007875/a2216069zex-3_3.htm" TargetMode="External"/><Relationship Id="rId81" Type="http://schemas.openxmlformats.org/officeDocument/2006/relationships/hyperlink" Target="https://www.sec.gov/Archives/edgar/data/1581990/000158199022000006/pagp202110-kexhibit311a.htm" TargetMode="External"/><Relationship Id="rId82" Type="http://schemas.openxmlformats.org/officeDocument/2006/relationships/hyperlink" Target="http://www.sec.gov/Archives/edgar/data/1070423/000110465917061889/a17-22685_5ex3d1.htm" TargetMode="External"/><Relationship Id="rId83" Type="http://schemas.openxmlformats.org/officeDocument/2006/relationships/hyperlink" Target="http://www.sec.gov/Archives/edgar/data/1581990/000110465916158356/a16-21845_1ex3d3.htm" TargetMode="External"/><Relationship Id="rId84" Type="http://schemas.openxmlformats.org/officeDocument/2006/relationships/hyperlink" Target="http://www.sec.gov/Archives/edgar/data/1581990/000110465916158356/a16-21845_1ex3d4.htm" TargetMode="External"/><Relationship Id="rId85" Type="http://schemas.openxmlformats.org/officeDocument/2006/relationships/hyperlink" Target="http://www.sec.gov/Archives/edgar/data/1581990/000110465918060012/a18-36197_1ex3d1.htm" TargetMode="External"/><Relationship Id="rId86" Type="http://schemas.openxmlformats.org/officeDocument/2006/relationships/hyperlink" Target="http://www.sec.gov/Archives/edgar/data/1581990/000110465919032813/a19-10857_1ex3d1.htm" TargetMode="External"/><Relationship Id="rId87" Type="http://schemas.openxmlformats.org/officeDocument/2006/relationships/hyperlink" Target="http://www.sec.gov/Archives/edgar/data/1070423/000095012908000071/h52770exv3w3.htm" TargetMode="External"/><Relationship Id="rId88" Type="http://schemas.openxmlformats.org/officeDocument/2006/relationships/hyperlink" Target="http://www.sec.gov/Archives/edgar/data/1070423/000089924302002834/dex41.txt" TargetMode="External"/><Relationship Id="rId89" Type="http://schemas.openxmlformats.org/officeDocument/2006/relationships/hyperlink" Target="http://www.sec.gov/Archives/edgar/data/1070423/000110465906034368/a06-11663_1ex4d1.htm" TargetMode="External"/><Relationship Id="rId90" Type="http://schemas.openxmlformats.org/officeDocument/2006/relationships/hyperlink" Target="http://www.sec.gov/Archives/edgar/data/1070423/000095012906009235/h40667exv4w2.htm" TargetMode="External"/><Relationship Id="rId91" Type="http://schemas.openxmlformats.org/officeDocument/2006/relationships/hyperlink" Target="http://www.sec.gov/Archives/edgar/data/1070423/000119312512132295/d321017dex43.htm" TargetMode="External"/><Relationship Id="rId93" Type="http://schemas.openxmlformats.org/officeDocument/2006/relationships/hyperlink" Target="http://www.sec.gov/Archives/edgar/data/1070423/000119312512499932/d453762dex41.htm" TargetMode="External"/><Relationship Id="rId94" Type="http://schemas.openxmlformats.org/officeDocument/2006/relationships/hyperlink" Target="http://www.sec.gov/Archives/edgar/data/1070423/000119312512499932/d453762dex43.htm" TargetMode="External"/><Relationship Id="rId95" Type="http://schemas.openxmlformats.org/officeDocument/2006/relationships/hyperlink" Target="http://www.sec.gov/Archives/edgar/data/1070423/000119312513336066/d581734dex41.htm" TargetMode="External"/><Relationship Id="rId96" Type="http://schemas.openxmlformats.org/officeDocument/2006/relationships/hyperlink" Target="http://www.sec.gov/Archives/edgar/data/1581990/000119312514164185/d717953dex41.htm" TargetMode="External"/><Relationship Id="rId97" Type="http://schemas.openxmlformats.org/officeDocument/2006/relationships/hyperlink" Target="http://www.sec.gov/Archives/edgar/data/1581990/000119312514338295/d787197dex41.htm" TargetMode="External"/><Relationship Id="rId98" Type="http://schemas.openxmlformats.org/officeDocument/2006/relationships/hyperlink" Target="http://www.sec.gov/Archives/edgar/data/1581990/000119312514440012/d835488dex43.htm" TargetMode="External"/><Relationship Id="rId99" Type="http://schemas.openxmlformats.org/officeDocument/2006/relationships/hyperlink" Target="http://www.sec.gov/Archives/edgar/data/1070423/000119312515302829/d45393dex41.htm" TargetMode="External"/><Relationship Id="rId100" Type="http://schemas.openxmlformats.org/officeDocument/2006/relationships/hyperlink" Target="http://www.sec.gov/Archives/edgar/data/1070423/000110465916159593/a16-22232_1ex4d1.htm" TargetMode="External"/><Relationship Id="rId101" Type="http://schemas.openxmlformats.org/officeDocument/2006/relationships/hyperlink" Target="http://www.sec.gov/Archives/edgar/data/1070423/000141057819001281/tv529555_ex4-1.htm" TargetMode="External"/><Relationship Id="rId102" Type="http://schemas.openxmlformats.org/officeDocument/2006/relationships/hyperlink" Target="http://www.sec.gov/Archives/edgar/data/1070423/000110465920072270/tm2022235d1_ex4-1.htm" TargetMode="External"/><Relationship Id="rId103" Type="http://schemas.openxmlformats.org/officeDocument/2006/relationships/hyperlink" Target="http://www.sec.gov/Archives/edgar/data/1581990/000110465913078057/a13-22338_2ex4d1.htm" TargetMode="External"/><Relationship Id="rId104" Type="http://schemas.openxmlformats.org/officeDocument/2006/relationships/hyperlink" Target="https://www.sec.gov/Archives/edgar/data/1581990/000158199022000006/pagp202110-kexhibit417.htm" TargetMode="External"/><Relationship Id="rId105" Type="http://schemas.openxmlformats.org/officeDocument/2006/relationships/hyperlink" Target="https://www.sec.gov/Archives/edgar/data/1581990/000158199022000011/pagpq12022exhibit101.htm" TargetMode="External"/><Relationship Id="rId107" Type="http://schemas.openxmlformats.org/officeDocument/2006/relationships/hyperlink" Target="https://www.sec.gov/Archives/edgar/data/1581990/000110465922094485/tm2224525d1_ex10-1.htm" TargetMode="External"/><Relationship Id="rId108" Type="http://schemas.openxmlformats.org/officeDocument/2006/relationships/hyperlink" Target="https://www.sec.gov/Archives/edgar/data/1581990/000110465922094485/tm222452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2022-11-08T05:20:31Z</dcterms:created>
  <dcterms:modified xsi:type="dcterms:W3CDTF">2022-11-08T05:20:31Z</dcterms:modified>
</cp:coreProperties>
</file>