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660" w:right="1560" w:hanging="3652"/>
        <w:spacing w:after="0" w:line="402" w:lineRule="auto"/>
        <w:tabs>
          <w:tab w:leader="none" w:pos="47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54" w:lineRule="exact"/>
        <w:rPr>
          <w:sz w:val="24"/>
          <w:szCs w:val="24"/>
          <w:color w:val="auto"/>
        </w:rPr>
      </w:pPr>
    </w:p>
    <w:p>
      <w:pPr>
        <w:sectPr>
          <w:pgSz w:w="11900" w:h="16838" w:orient="portrait"/>
          <w:cols w:equalWidth="0" w:num="2">
            <w:col w:w="7220" w:space="720"/>
            <w:col w:w="3240"/>
          </w:cols>
          <w:pgMar w:left="320" w:top="233" w:right="3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33" w:right="399" w:bottom="1440" w:gutter="0" w:footer="0" w:header="0"/>
          <w:type w:val="continuous"/>
        </w:sectPr>
      </w:pPr>
    </w:p>
    <w:p>
      <w:pPr>
        <w:spacing w:after="0" w:line="1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PAA</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2"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840" w:type="dxa"/>
        <w:tblCellMar>
          <w:top w:w="0" w:type="dxa"/>
          <w:left w:w="0" w:type="dxa"/>
          <w:bottom w:w="0" w:type="dxa"/>
          <w:right w:w="0" w:type="dxa"/>
        </w:tblCellMar>
      </w:tblPr>
      <w:tr>
        <w:trPr>
          <w:trHeight w:val="249"/>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88"/>
              </w:rPr>
              <w:t>Large accelerated filer</w:t>
            </w:r>
          </w:p>
        </w:tc>
        <w:tc>
          <w:tcPr>
            <w:tcW w:w="21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95"/>
              </w:rPr>
              <w:t>Non-accelerated filer</w:t>
            </w:r>
          </w:p>
        </w:tc>
        <w:tc>
          <w:tcPr>
            <w:tcW w:w="21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1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Emerging growth company</w:t>
            </w:r>
          </w:p>
        </w:tc>
        <w:tc>
          <w:tcPr>
            <w:tcW w:w="36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14"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October 29, 2021, there were 711,121,882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200" w:type="dxa"/>
            <w:vAlign w:val="bottom"/>
            <w:gridSpan w:val="30"/>
          </w:tcPr>
          <w:p>
            <w:pP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0"/>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Item 1. UNAUDITED CONDENSED CONSOLIDATED FINANCIAL STATEMENTS:</w:t>
              </w:r>
            </w:hyperlink>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September 30, 2021 and December 31,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and nine months ended September 30, 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Income/(Loss): For the three and nine months ended September 30, 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00" w:type="dxa"/>
            <w:vAlign w:val="bottom"/>
            <w:gridSpan w:val="28"/>
          </w:tcPr>
          <w:p>
            <w:pP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Condensed Consolidated Statements of Changes in Accumulated Other Comprehensive Income/(Loss): For the nine months ended</w:t>
              </w:r>
            </w:hyperlink>
          </w:p>
        </w:tc>
        <w:tc>
          <w:tcPr>
            <w:tcW w:w="60" w:type="dxa"/>
            <w:vAlign w:val="bottom"/>
          </w:tcPr>
          <w:p>
            <w:pPr>
              <w:spacing w:after="0"/>
              <w:rPr>
                <w:sz w:val="18"/>
                <w:szCs w:val="18"/>
                <w:color w:val="auto"/>
              </w:rPr>
            </w:pPr>
          </w:p>
        </w:tc>
        <w:tc>
          <w:tcPr>
            <w:tcW w:w="10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2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September 30, 2021 and 2020</w:t>
              </w:r>
            </w:hyperlink>
          </w:p>
        </w:tc>
        <w:tc>
          <w:tcPr>
            <w:tcW w:w="4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7920" w:type="dxa"/>
            <w:vAlign w:val="bottom"/>
            <w:gridSpan w:val="23"/>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 For the nine months ended September 30, 2021 and 2020</w:t>
              </w:r>
            </w:hyperlink>
          </w:p>
        </w:tc>
        <w:tc>
          <w:tcPr>
            <w:tcW w:w="2140" w:type="dxa"/>
            <w:vAlign w:val="bottom"/>
            <w:gridSpan w:val="6"/>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Changes in Partners’ Capital: For the three and nine months ended September 30, 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9840" w:type="dxa"/>
            <w:vAlign w:val="bottom"/>
            <w:tcBorders>
              <w:top w:val="single" w:sz="8" w:color="0000FF"/>
            </w:tcBorders>
            <w:gridSpan w:val="2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2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w:t>
              </w:r>
            </w:hyperlink>
          </w:p>
        </w:tc>
        <w:tc>
          <w:tcPr>
            <w:tcW w:w="4200" w:type="dxa"/>
            <w:vAlign w:val="bottom"/>
            <w:gridSpan w:val="15"/>
          </w:tcPr>
          <w:p>
            <w:pPr>
              <w:ind w:left="20"/>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Organization and Basis of Consolidation and Presentation</w:t>
              </w:r>
            </w:hyperlink>
          </w:p>
        </w:tc>
        <w:tc>
          <w:tcPr>
            <w:tcW w:w="5520" w:type="dxa"/>
            <w:vAlign w:val="bottom"/>
            <w:gridSpan w:val="12"/>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2.</w:t>
              </w:r>
            </w:hyperlink>
          </w:p>
        </w:tc>
        <w:tc>
          <w:tcPr>
            <w:tcW w:w="3260" w:type="dxa"/>
            <w:vAlign w:val="bottom"/>
            <w:gridSpan w:val="11"/>
          </w:tcPr>
          <w:p>
            <w:pPr>
              <w:ind w:left="20"/>
              <w:spacing w:after="0"/>
              <w:rPr>
                <w:rFonts w:ascii="Arial" w:cs="Arial" w:eastAsia="Arial" w:hAnsi="Arial"/>
                <w:sz w:val="18"/>
                <w:szCs w:val="18"/>
                <w:color w:val="0000FF"/>
                <w:w w:val="93"/>
              </w:rPr>
            </w:pPr>
            <w:hyperlink w:anchor="page10">
              <w:r>
                <w:rPr>
                  <w:rFonts w:ascii="Arial" w:cs="Arial" w:eastAsia="Arial" w:hAnsi="Arial"/>
                  <w:sz w:val="18"/>
                  <w:szCs w:val="18"/>
                  <w:color w:val="0000FF"/>
                  <w:w w:val="93"/>
                </w:rPr>
                <w:t>Summary of Significant Accounting Policies</w:t>
              </w:r>
            </w:hyperlink>
          </w:p>
        </w:tc>
        <w:tc>
          <w:tcPr>
            <w:tcW w:w="940" w:type="dxa"/>
            <w:vAlign w:val="bottom"/>
            <w:gridSpan w:val="4"/>
          </w:tcPr>
          <w:p>
            <w:pPr>
              <w:spacing w:after="0"/>
              <w:rPr>
                <w:sz w:val="18"/>
                <w:szCs w:val="18"/>
                <w:color w:val="auto"/>
              </w:rPr>
            </w:pPr>
          </w:p>
        </w:tc>
        <w:tc>
          <w:tcPr>
            <w:tcW w:w="5520" w:type="dxa"/>
            <w:vAlign w:val="bottom"/>
            <w:gridSpan w:val="12"/>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top w:val="single" w:sz="8" w:color="0000FF"/>
            </w:tcBorders>
          </w:tcPr>
          <w:p>
            <w:pPr>
              <w:ind w:lef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3.</w:t>
              </w:r>
            </w:hyperlink>
          </w:p>
        </w:tc>
        <w:tc>
          <w:tcPr>
            <w:tcW w:w="3260" w:type="dxa"/>
            <w:vAlign w:val="bottom"/>
            <w:tcBorders>
              <w:top w:val="single" w:sz="8" w:color="0000FF"/>
            </w:tcBorders>
            <w:gridSpan w:val="11"/>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Revenues and Accounts Receivable</w:t>
              </w:r>
            </w:hyperlink>
          </w:p>
        </w:tc>
        <w:tc>
          <w:tcPr>
            <w:tcW w:w="646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4.</w:t>
              </w:r>
            </w:hyperlink>
          </w:p>
        </w:tc>
        <w:tc>
          <w:tcPr>
            <w:tcW w:w="9720" w:type="dxa"/>
            <w:vAlign w:val="bottom"/>
            <w:gridSpan w:val="27"/>
          </w:tcPr>
          <w:p>
            <w:pPr>
              <w:ind w:left="20"/>
              <w:spacing w:after="0"/>
              <w:rPr>
                <w:rFonts w:ascii="Arial" w:cs="Arial" w:eastAsia="Arial" w:hAnsi="Arial"/>
                <w:sz w:val="18"/>
                <w:szCs w:val="18"/>
                <w:color w:val="0000FF"/>
              </w:rPr>
            </w:pPr>
            <w:hyperlink w:anchor="page16">
              <w:r>
                <w:rPr>
                  <w:rFonts w:ascii="Arial" w:cs="Arial" w:eastAsia="Arial" w:hAnsi="Arial"/>
                  <w:sz w:val="18"/>
                  <w:szCs w:val="18"/>
                  <w:color w:val="0000FF"/>
                </w:rPr>
                <w:t>Net Income/(Loss) Per Common Unit</w:t>
              </w:r>
            </w:hyperlink>
          </w:p>
        </w:tc>
        <w:tc>
          <w:tcPr>
            <w:tcW w:w="100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5.</w:t>
              </w:r>
            </w:hyperlink>
          </w:p>
        </w:tc>
        <w:tc>
          <w:tcPr>
            <w:tcW w:w="4240" w:type="dxa"/>
            <w:vAlign w:val="bottom"/>
            <w:tcBorders>
              <w:bottom w:val="single" w:sz="8" w:color="0000FF"/>
            </w:tcBorders>
            <w:gridSpan w:val="16"/>
          </w:tcPr>
          <w:p>
            <w:pPr>
              <w:ind w:left="20"/>
              <w:spacing w:after="0"/>
              <w:rPr>
                <w:rFonts w:ascii="Arial" w:cs="Arial" w:eastAsia="Arial" w:hAnsi="Arial"/>
                <w:sz w:val="18"/>
                <w:szCs w:val="18"/>
                <w:color w:val="0000FF"/>
                <w:w w:val="92"/>
              </w:rPr>
            </w:pPr>
            <w:hyperlink w:anchor="page17">
              <w:r>
                <w:rPr>
                  <w:rFonts w:ascii="Arial" w:cs="Arial" w:eastAsia="Arial" w:hAnsi="Arial"/>
                  <w:sz w:val="18"/>
                  <w:szCs w:val="18"/>
                  <w:color w:val="0000FF"/>
                  <w:w w:val="92"/>
                </w:rPr>
                <w:t>Inventory, Linefill and Base Gas and Long-term Inventory</w:t>
              </w:r>
            </w:hyperlink>
          </w:p>
        </w:tc>
        <w:tc>
          <w:tcPr>
            <w:tcW w:w="5480" w:type="dxa"/>
            <w:vAlign w:val="bottom"/>
            <w:gridSpan w:val="1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6.</w:t>
              </w:r>
            </w:hyperlink>
          </w:p>
        </w:tc>
        <w:tc>
          <w:tcPr>
            <w:tcW w:w="380" w:type="dxa"/>
            <w:vAlign w:val="bottom"/>
            <w:tcBorders>
              <w:bottom w:val="single" w:sz="8" w:color="0000FF"/>
            </w:tcBorders>
          </w:tcPr>
          <w:p>
            <w:pPr>
              <w:ind w:left="2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Debt</w:t>
              </w:r>
            </w:hyperlink>
          </w:p>
        </w:tc>
        <w:tc>
          <w:tcPr>
            <w:tcW w:w="9340" w:type="dxa"/>
            <w:vAlign w:val="bottom"/>
            <w:gridSpan w:val="2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7.</w:t>
              </w:r>
            </w:hyperlink>
          </w:p>
        </w:tc>
        <w:tc>
          <w:tcPr>
            <w:tcW w:w="2580" w:type="dxa"/>
            <w:vAlign w:val="bottom"/>
            <w:tcBorders>
              <w:bottom w:val="single" w:sz="8" w:color="0000FF"/>
            </w:tcBorders>
            <w:gridSpan w:val="9"/>
          </w:tcPr>
          <w:p>
            <w:pPr>
              <w:ind w:left="20"/>
              <w:spacing w:after="0"/>
              <w:rPr>
                <w:rFonts w:ascii="Arial" w:cs="Arial" w:eastAsia="Arial" w:hAnsi="Arial"/>
                <w:sz w:val="18"/>
                <w:szCs w:val="18"/>
                <w:color w:val="0000FF"/>
                <w:w w:val="92"/>
              </w:rPr>
            </w:pPr>
            <w:hyperlink w:anchor="page19">
              <w:r>
                <w:rPr>
                  <w:rFonts w:ascii="Arial" w:cs="Arial" w:eastAsia="Arial" w:hAnsi="Arial"/>
                  <w:sz w:val="18"/>
                  <w:szCs w:val="18"/>
                  <w:color w:val="0000FF"/>
                  <w:w w:val="92"/>
                </w:rPr>
                <w:t>Partners’ Capital and Distributions</w:t>
              </w:r>
            </w:hyperlink>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8.</w:t>
              </w:r>
            </w:hyperlink>
          </w:p>
        </w:tc>
        <w:tc>
          <w:tcPr>
            <w:tcW w:w="328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w:anchor="page21">
              <w:r>
                <w:rPr>
                  <w:rFonts w:ascii="Arial" w:cs="Arial" w:eastAsia="Arial" w:hAnsi="Arial"/>
                  <w:sz w:val="18"/>
                  <w:szCs w:val="18"/>
                  <w:color w:val="0000FF"/>
                  <w:w w:val="92"/>
                </w:rPr>
                <w:t>Derivatives and Risk Management Activities</w:t>
              </w:r>
            </w:hyperlink>
          </w:p>
        </w:tc>
        <w:tc>
          <w:tcPr>
            <w:tcW w:w="644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9.</w:t>
              </w:r>
            </w:hyperlink>
          </w:p>
        </w:tc>
        <w:tc>
          <w:tcPr>
            <w:tcW w:w="9720" w:type="dxa"/>
            <w:vAlign w:val="bottom"/>
            <w:gridSpan w:val="27"/>
          </w:tcPr>
          <w:p>
            <w:pPr>
              <w:ind w:left="20"/>
              <w:spacing w:after="0"/>
              <w:rPr>
                <w:rFonts w:ascii="Arial" w:cs="Arial" w:eastAsia="Arial" w:hAnsi="Arial"/>
                <w:sz w:val="18"/>
                <w:szCs w:val="18"/>
                <w:color w:val="0000FF"/>
              </w:rPr>
            </w:pPr>
            <w:hyperlink w:anchor="page27">
              <w:r>
                <w:rPr>
                  <w:rFonts w:ascii="Arial" w:cs="Arial" w:eastAsia="Arial" w:hAnsi="Arial"/>
                  <w:sz w:val="18"/>
                  <w:szCs w:val="18"/>
                  <w:color w:val="0000FF"/>
                </w:rPr>
                <w:t>Related Party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bottom w:val="single" w:sz="8" w:color="0000FF"/>
            </w:tcBorders>
            <w:gridSpan w:val="9"/>
          </w:tcPr>
          <w:p>
            <w:pPr>
              <w:ind w:left="2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10. Commitments and Contingencies</w:t>
              </w:r>
            </w:hyperlink>
          </w:p>
        </w:tc>
        <w:tc>
          <w:tcPr>
            <w:tcW w:w="7200" w:type="dxa"/>
            <w:vAlign w:val="bottom"/>
            <w:gridSpan w:val="1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Borders>
              <w:bottom w:val="single" w:sz="8" w:color="0000FF"/>
            </w:tcBorders>
            <w:gridSpan w:val="6"/>
          </w:tcPr>
          <w:p>
            <w:pPr>
              <w:ind w:left="20"/>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11. Operating Segments</w:t>
              </w:r>
            </w:hyperlink>
          </w:p>
        </w:tc>
        <w:tc>
          <w:tcPr>
            <w:tcW w:w="814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gridSpan w:val="28"/>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12. Acquisitions, Divestitures and Other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26"/>
          </w:tcPr>
          <w:p>
            <w:pPr>
              <w:spacing w:after="0"/>
              <w:rPr>
                <w:rFonts w:ascii="Arial" w:cs="Arial" w:eastAsia="Arial" w:hAnsi="Arial"/>
                <w:sz w:val="18"/>
                <w:szCs w:val="18"/>
                <w:color w:val="0000FF"/>
                <w:w w:val="96"/>
              </w:rPr>
            </w:pPr>
            <w:hyperlink w:anchor="page36">
              <w:r>
                <w:rPr>
                  <w:rFonts w:ascii="Arial" w:cs="Arial" w:eastAsia="Arial" w:hAnsi="Arial"/>
                  <w:sz w:val="18"/>
                  <w:szCs w:val="18"/>
                  <w:color w:val="0000FF"/>
                  <w:w w:val="96"/>
                </w:rPr>
                <w:t>Item 2. MANAGEMENT’S DISCUSSION AND ANALYSIS OF FINANCIAL CONDITION AND RESULTS OF OPERATIONS</w:t>
              </w:r>
            </w:hyperlink>
          </w:p>
        </w:tc>
        <w:tc>
          <w:tcPr>
            <w:tcW w:w="7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2"/>
          </w:tcPr>
          <w:p>
            <w:pPr>
              <w:spacing w:after="0"/>
              <w:rPr>
                <w:rFonts w:ascii="Arial" w:cs="Arial" w:eastAsia="Arial" w:hAnsi="Arial"/>
                <w:sz w:val="18"/>
                <w:szCs w:val="18"/>
                <w:color w:val="0000FF"/>
                <w:w w:val="97"/>
              </w:rPr>
            </w:pPr>
            <w:hyperlink w:anchor="page60">
              <w:r>
                <w:rPr>
                  <w:rFonts w:ascii="Arial" w:cs="Arial" w:eastAsia="Arial" w:hAnsi="Arial"/>
                  <w:sz w:val="18"/>
                  <w:szCs w:val="18"/>
                  <w:color w:val="0000FF"/>
                  <w:w w:val="97"/>
                </w:rPr>
                <w:t>Item 3. QUANTITATIVE AND QUALITATIVE DISCLOSURES ABOUT MARKET RISK</w:t>
              </w:r>
            </w:hyperlink>
          </w:p>
        </w:tc>
        <w:tc>
          <w:tcPr>
            <w:tcW w:w="350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0000FF"/>
            </w:tcBorders>
            <w:gridSpan w:val="13"/>
          </w:tcPr>
          <w:p>
            <w:pPr>
              <w:spacing w:after="0"/>
              <w:rPr>
                <w:rFonts w:ascii="Arial" w:cs="Arial" w:eastAsia="Arial" w:hAnsi="Arial"/>
                <w:sz w:val="18"/>
                <w:szCs w:val="18"/>
                <w:color w:val="0000FF"/>
                <w:w w:val="94"/>
              </w:rPr>
            </w:pPr>
            <w:hyperlink w:anchor="page62">
              <w:r>
                <w:rPr>
                  <w:rFonts w:ascii="Arial" w:cs="Arial" w:eastAsia="Arial" w:hAnsi="Arial"/>
                  <w:sz w:val="18"/>
                  <w:szCs w:val="18"/>
                  <w:color w:val="0000FF"/>
                  <w:w w:val="94"/>
                </w:rPr>
                <w:t>Item 4. CONTROLS AND PROCEDURES</w:t>
              </w:r>
            </w:hyperlink>
          </w:p>
        </w:tc>
        <w:tc>
          <w:tcPr>
            <w:tcW w:w="698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0"/>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PART II. OTHER INFORMATION</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4"/>
              </w:rPr>
            </w:pPr>
            <w:hyperlink w:anchor="page63">
              <w:r>
                <w:rPr>
                  <w:rFonts w:ascii="Arial" w:cs="Arial" w:eastAsia="Arial" w:hAnsi="Arial"/>
                  <w:sz w:val="18"/>
                  <w:szCs w:val="18"/>
                  <w:color w:val="0000FF"/>
                  <w:w w:val="94"/>
                </w:rPr>
                <w:t>Item 1. LEGAL PROCEEDINGS</w:t>
              </w:r>
            </w:hyperlink>
          </w:p>
        </w:tc>
        <w:tc>
          <w:tcPr>
            <w:tcW w:w="320" w:type="dxa"/>
            <w:vAlign w:val="bottom"/>
            <w:tcBorders>
              <w:top w:val="single" w:sz="8" w:color="0000FF"/>
            </w:tcBorders>
          </w:tcPr>
          <w:p>
            <w:pPr>
              <w:spacing w:after="0"/>
              <w:rPr>
                <w:sz w:val="18"/>
                <w:szCs w:val="18"/>
                <w:color w:val="auto"/>
              </w:rPr>
            </w:pPr>
          </w:p>
        </w:tc>
        <w:tc>
          <w:tcPr>
            <w:tcW w:w="744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63">
              <w:r>
                <w:rPr>
                  <w:rFonts w:ascii="Arial" w:cs="Arial" w:eastAsia="Arial" w:hAnsi="Arial"/>
                  <w:sz w:val="18"/>
                  <w:szCs w:val="18"/>
                  <w:color w:val="0000FF"/>
                  <w:w w:val="93"/>
                </w:rPr>
                <w:t>Item 1A. RISK FACTORS</w:t>
              </w:r>
            </w:hyperlink>
          </w:p>
        </w:tc>
        <w:tc>
          <w:tcPr>
            <w:tcW w:w="826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Item 2. UNREGISTERED SALES OF EQUITY SECURITIES AND USE OF PROCEEDS</w:t>
              </w:r>
            </w:hyperlink>
          </w:p>
        </w:tc>
        <w:tc>
          <w:tcPr>
            <w:tcW w:w="100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1"/>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Item 3. DEFAULTS UPON SENIOR SECURITIES</w:t>
              </w:r>
            </w:hyperlink>
          </w:p>
        </w:tc>
        <w:tc>
          <w:tcPr>
            <w:tcW w:w="35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4"/>
              </w:rPr>
            </w:pPr>
            <w:hyperlink w:anchor="page64">
              <w:r>
                <w:rPr>
                  <w:rFonts w:ascii="Arial" w:cs="Arial" w:eastAsia="Arial" w:hAnsi="Arial"/>
                  <w:sz w:val="18"/>
                  <w:szCs w:val="18"/>
                  <w:color w:val="0000FF"/>
                  <w:w w:val="94"/>
                </w:rPr>
                <w:t>Item 4. MINE SAFETY DISCLOSURES</w:t>
              </w:r>
            </w:hyperlink>
          </w:p>
        </w:tc>
        <w:tc>
          <w:tcPr>
            <w:tcW w:w="740" w:type="dxa"/>
            <w:vAlign w:val="bottom"/>
            <w:tcBorders>
              <w:top w:val="single" w:sz="8" w:color="0000FF"/>
            </w:tcBorders>
            <w:gridSpan w:val="3"/>
          </w:tcPr>
          <w:p>
            <w:pPr>
              <w:spacing w:after="0"/>
              <w:rPr>
                <w:sz w:val="18"/>
                <w:szCs w:val="18"/>
                <w:color w:val="auto"/>
              </w:rPr>
            </w:pPr>
          </w:p>
        </w:tc>
        <w:tc>
          <w:tcPr>
            <w:tcW w:w="646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0"/>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Item 5. OTHER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9"/>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Item 6. EXHIBITS</w:t>
              </w:r>
            </w:hyperlink>
          </w:p>
        </w:tc>
        <w:tc>
          <w:tcPr>
            <w:tcW w:w="776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SIGNATURES</w:t>
              </w:r>
            </w:hyperlink>
          </w:p>
        </w:tc>
        <w:tc>
          <w:tcPr>
            <w:tcW w:w="882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7">
              <w:r>
                <w:rPr>
                  <w:rFonts w:ascii="Arial" w:cs="Arial" w:eastAsia="Arial" w:hAnsi="Arial"/>
                  <w:sz w:val="18"/>
                  <w:szCs w:val="18"/>
                  <w:color w:val="0000FF"/>
                  <w:w w:val="79"/>
                </w:rPr>
                <w:t>68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unit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191"/>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2,553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3,665</w:t>
            </w:r>
          </w:p>
        </w:tc>
      </w:tr>
      <w:tr>
        <w:trPr>
          <w:trHeight w:val="88"/>
        </w:trPr>
        <w:tc>
          <w:tcPr>
            <w:tcW w:w="8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18,585</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(3,974)</w:t>
            </w: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13,084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14,611</w:t>
            </w:r>
          </w:p>
        </w:tc>
      </w:tr>
      <w:tr>
        <w:trPr>
          <w:trHeight w:val="88"/>
        </w:trPr>
        <w:tc>
          <w:tcPr>
            <w:tcW w:w="8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3,764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378</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assets, net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24,197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49"/>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3,873</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2,437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4,253</w:t>
            </w:r>
          </w:p>
        </w:tc>
      </w:tr>
      <w:tr>
        <w:trPr>
          <w:trHeight w:val="88"/>
        </w:trPr>
        <w:tc>
          <w:tcPr>
            <w:tcW w:w="8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8,327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9,071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10,506</w:t>
            </w:r>
          </w:p>
        </w:tc>
      </w:tr>
      <w:tr>
        <w:trPr>
          <w:trHeight w:val="88"/>
        </w:trPr>
        <w:tc>
          <w:tcPr>
            <w:tcW w:w="8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 (NOTE 10)</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08"/>
        </w:trPr>
        <w:tc>
          <w:tcPr>
            <w:tcW w:w="8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PARTNERS’ CAPITAL</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preferred unitholders (71,090,468 and 71,090,468 units outstanding, respectively)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Series B preferred unitholders (800,000 and 800,000 units outstanding, respectively)</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unitholders (711,121,882 and 722,380,416 units outstanding,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7,301</w:t>
            </w:r>
          </w:p>
        </w:tc>
      </w:tr>
      <w:tr>
        <w:trPr>
          <w:trHeight w:val="209"/>
        </w:trPr>
        <w:tc>
          <w:tcPr>
            <w:tcW w:w="8240" w:type="dxa"/>
            <w:vAlign w:val="bottom"/>
          </w:tcPr>
          <w:p>
            <w:pPr>
              <w:ind w:left="140"/>
              <w:spacing w:after="0"/>
              <w:rPr>
                <w:sz w:val="20"/>
                <w:szCs w:val="20"/>
                <w:color w:val="auto"/>
              </w:rPr>
            </w:pPr>
            <w:r>
              <w:rPr>
                <w:rFonts w:ascii="Arial" w:cs="Arial" w:eastAsia="Arial" w:hAnsi="Arial"/>
                <w:sz w:val="17"/>
                <w:szCs w:val="17"/>
                <w:color w:val="auto"/>
              </w:rPr>
              <w:t>Total partners’ capital excluding noncontrolling interests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9,152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9,593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9,738</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24,197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183"/>
        </w:trPr>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5"/>
                <w:szCs w:val="15"/>
                <w:color w:val="auto"/>
              </w:rPr>
            </w:pPr>
          </w:p>
        </w:tc>
      </w:tr>
      <w:tr>
        <w:trPr>
          <w:trHeight w:val="23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10,515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5,537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28,221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16,370</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revenues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r>
      <w:tr>
        <w:trPr>
          <w:trHeight w:val="223"/>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w:t>
            </w:r>
          </w:p>
        </w:tc>
      </w:tr>
      <w:tr>
        <w:trPr>
          <w:trHeight w:val="162"/>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 losses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10,814</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28,837</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19,637</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(2,310)</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Interest expense (net of capitalized interest of $4, $6, $14 and $17,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142"/>
        </w:trPr>
        <w:tc>
          <w:tcPr>
            <w:tcW w:w="5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(2,548)</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142"/>
        </w:trPr>
        <w:tc>
          <w:tcPr>
            <w:tcW w:w="5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(2,555)</w:t>
            </w: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5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 PER COMMON UNIT (NOTE 4):</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Net income/(loss) allocated to common unitholders — Basic and 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Basic and diluted weighted average common units outstanding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55"/>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and diluted net income/(loss) per common unit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INCOME/(LOSS)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0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296"/>
              <w:spacing w:after="0"/>
              <w:rPr>
                <w:sz w:val="20"/>
                <w:szCs w:val="20"/>
                <w:color w:val="auto"/>
              </w:rPr>
            </w:pPr>
            <w:r>
              <w:rPr>
                <w:rFonts w:ascii="Arial" w:cs="Arial" w:eastAsia="Arial" w:hAnsi="Arial"/>
                <w:sz w:val="14"/>
                <w:szCs w:val="14"/>
                <w:b w:val="1"/>
                <w:bCs w:val="1"/>
                <w:color w:val="auto"/>
                <w:w w:val="89"/>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183"/>
        </w:trPr>
        <w:tc>
          <w:tcPr>
            <w:tcW w:w="5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3"/>
          </w:tcPr>
          <w:p>
            <w:pPr>
              <w:jc w:val="center"/>
              <w:ind w:right="296"/>
              <w:spacing w:after="0"/>
              <w:rPr>
                <w:sz w:val="20"/>
                <w:szCs w:val="20"/>
                <w:color w:val="auto"/>
              </w:rPr>
            </w:pPr>
            <w:r>
              <w:rPr>
                <w:rFonts w:ascii="Arial" w:cs="Arial" w:eastAsia="Arial" w:hAnsi="Arial"/>
                <w:sz w:val="14"/>
                <w:szCs w:val="14"/>
                <w:b w:val="1"/>
                <w:bCs w:val="1"/>
                <w:color w:val="auto"/>
                <w:w w:val="91"/>
              </w:rPr>
              <w:t>(unaudited)</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5"/>
                <w:szCs w:val="15"/>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income/(loss)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r>
      <w:tr>
        <w:trPr>
          <w:trHeight w:val="229"/>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PAA</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Instruments</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jc w:val="right"/>
              <w:ind w:right="602"/>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5"/>
              </w:rPr>
              <w:t>(657)</w:t>
            </w:r>
          </w:p>
        </w:tc>
        <w:tc>
          <w:tcPr>
            <w:tcW w:w="1080" w:type="dxa"/>
            <w:vAlign w:val="bottom"/>
            <w:gridSpan w:val="3"/>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(3)</w:t>
            </w: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Pr>
          <w:p>
            <w:pPr>
              <w:ind w:left="40"/>
              <w:spacing w:after="0"/>
              <w:rPr>
                <w:sz w:val="20"/>
                <w:szCs w:val="20"/>
                <w:color w:val="auto"/>
              </w:rPr>
            </w:pPr>
            <w:r>
              <w:rPr>
                <w:rFonts w:ascii="Arial" w:cs="Arial" w:eastAsia="Arial" w:hAnsi="Arial"/>
                <w:sz w:val="18"/>
                <w:szCs w:val="18"/>
                <w:color w:val="auto"/>
              </w:rPr>
              <w:t>Unrealized gain on hedges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period activity</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ind w:left="40"/>
              <w:spacing w:after="0"/>
              <w:rPr>
                <w:sz w:val="20"/>
                <w:szCs w:val="20"/>
                <w:color w:val="auto"/>
              </w:rPr>
            </w:pPr>
            <w:r>
              <w:rPr>
                <w:rFonts w:ascii="Arial" w:cs="Arial" w:eastAsia="Arial" w:hAnsi="Arial"/>
                <w:sz w:val="18"/>
                <w:szCs w:val="18"/>
                <w:color w:val="auto"/>
              </w:rPr>
              <w:t>Balance at September 30, 2021</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center"/>
              <w:ind w:left="695"/>
              <w:spacing w:after="0"/>
              <w:rPr>
                <w:sz w:val="20"/>
                <w:szCs w:val="20"/>
                <w:color w:val="auto"/>
              </w:rPr>
            </w:pPr>
            <w:r>
              <w:rPr>
                <w:rFonts w:ascii="Arial" w:cs="Arial" w:eastAsia="Arial" w:hAnsi="Arial"/>
                <w:sz w:val="18"/>
                <w:szCs w:val="18"/>
                <w:color w:val="auto"/>
                <w:w w:val="95"/>
              </w:rPr>
              <w:t>(656)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Instruments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5"/>
          </w:tcPr>
          <w:p>
            <w:pPr>
              <w:jc w:val="right"/>
              <w:ind w:right="662"/>
              <w:spacing w:after="0"/>
              <w:rPr>
                <w:sz w:val="20"/>
                <w:szCs w:val="20"/>
                <w:color w:val="auto"/>
              </w:rPr>
            </w:pPr>
            <w:r>
              <w:rPr>
                <w:rFonts w:ascii="Arial" w:cs="Arial" w:eastAsia="Arial" w:hAnsi="Arial"/>
                <w:sz w:val="14"/>
                <w:szCs w:val="14"/>
                <w:b w:val="1"/>
                <w:bCs w:val="1"/>
                <w:color w:val="auto"/>
              </w:rPr>
              <w:t>(unaudited)</w:t>
            </w: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715"/>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Unrealized loss on hedges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71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71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52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period activity</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2020</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84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6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Nine Months Ended</w:t>
      </w:r>
    </w:p>
    <w:p>
      <w:pPr>
        <w:jc w:val="center"/>
        <w:ind w:left="82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183"/>
        </w:trPr>
        <w:tc>
          <w:tcPr>
            <w:tcW w:w="8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income/(loss)</w:t>
            </w:r>
          </w:p>
        </w:tc>
        <w:tc>
          <w:tcPr>
            <w:tcW w:w="880" w:type="dxa"/>
            <w:vAlign w:val="bottom"/>
          </w:tcPr>
          <w:p>
            <w:pPr>
              <w:jc w:val="right"/>
              <w:ind w:right="697"/>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(2,555)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Reconciliation of net income/(loss) to net cash provided by operating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551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493</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(Gains)/losses on asset sales and asset impairments, net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Goodwill impairment losses</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2,515</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Inventory valuation adjustments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Deferred income tax benefit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Settlement of terminated interest rate hedging instruments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Change in fair value of Preferred Distribution Rate Reset Option (Note 8)</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Equity earnings in unconsolidated entities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Distributions on earnings from unconsolidated entities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344</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 on)/impairment of investments in unconsolidated entities, net</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Other</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assets and liabilities, net of acquisitions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0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Net cash provided by operating activities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w:t>
            </w:r>
          </w:p>
        </w:tc>
      </w:tr>
      <w:tr>
        <w:trPr>
          <w:trHeight w:val="88"/>
        </w:trPr>
        <w:tc>
          <w:tcPr>
            <w:tcW w:w="8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in connection with acquisitions, net of cash acquired</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(386)</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to property, equipment and other</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Proceeds from sales of assets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246</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investing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Net cash provided by/(used in) investing activities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(1,066)</w:t>
            </w:r>
          </w:p>
        </w:tc>
      </w:tr>
      <w:tr>
        <w:trPr>
          <w:trHeight w:val="88"/>
        </w:trPr>
        <w:tc>
          <w:tcPr>
            <w:tcW w:w="8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borrowings/(repayments) under commercial paper program (Note 6)</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repayments under senior secured hedged inventory facility (Note 6)</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 of GO Zone term loans (Note 6)</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Proceeds from the issuance of senior notes</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748</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of senior notes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30"/>
        </w:trPr>
        <w:tc>
          <w:tcPr>
            <w:tcW w:w="8240" w:type="dxa"/>
            <w:vAlign w:val="bottom"/>
          </w:tcPr>
          <w:p>
            <w:pPr>
              <w:ind w:left="20"/>
              <w:spacing w:after="0"/>
              <w:rPr>
                <w:sz w:val="20"/>
                <w:szCs w:val="20"/>
                <w:color w:val="auto"/>
              </w:rPr>
            </w:pPr>
            <w:r>
              <w:rPr>
                <w:rFonts w:ascii="Arial" w:cs="Arial" w:eastAsia="Arial" w:hAnsi="Arial"/>
                <w:sz w:val="17"/>
                <w:szCs w:val="17"/>
                <w:color w:val="auto"/>
              </w:rPr>
              <w:t>Repurchase of common units (Note 7)</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paid to Series A preferred unitholders (Note 7)</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Distributions paid to Series B preferred unitholders (Note 7)</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paid to common unitholders (Note 7)</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financing activities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used in financing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(1,707)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w:t>
            </w:r>
          </w:p>
        </w:tc>
      </w:tr>
      <w:tr>
        <w:trPr>
          <w:trHeight w:val="88"/>
        </w:trPr>
        <w:tc>
          <w:tcPr>
            <w:tcW w:w="8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translation adjustment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108"/>
        </w:trPr>
        <w:tc>
          <w:tcPr>
            <w:tcW w:w="8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increase/(decrease) in cash and cash equivalents and restricted cash</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and restricted cash, beginning of period</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and restricted cash, end of period</w:t>
            </w: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Interest, net of amounts capitalized</w:t>
            </w:r>
          </w:p>
        </w:tc>
        <w:tc>
          <w:tcPr>
            <w:tcW w:w="880" w:type="dxa"/>
            <w:vAlign w:val="bottom"/>
          </w:tcPr>
          <w:p>
            <w:pPr>
              <w:jc w:val="right"/>
              <w:ind w:right="697"/>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285</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taxes, net of amounts refunded</w:t>
            </w: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Limited Partners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35"/>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3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Arial" w:cs="Arial" w:eastAsia="Arial" w:hAnsi="Arial"/>
                <w:sz w:val="14"/>
                <w:szCs w:val="14"/>
                <w:b w:val="1"/>
                <w:bCs w:val="1"/>
                <w:color w:val="auto"/>
                <w:w w:val="89"/>
              </w:rPr>
              <w:t>Series B</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112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 (Note 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Repurchase of common units (Note 7)</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75"/>
        </w:trPr>
        <w:tc>
          <w:tcPr>
            <w:tcW w:w="3160" w:type="dxa"/>
            <w:vAlign w:val="bottom"/>
          </w:tcPr>
          <w:p>
            <w:pPr>
              <w:ind w:left="100"/>
              <w:spacing w:after="0" w:line="176" w:lineRule="exact"/>
              <w:rPr>
                <w:sz w:val="20"/>
                <w:szCs w:val="20"/>
                <w:color w:val="auto"/>
              </w:rPr>
            </w:pPr>
            <w:r>
              <w:rPr>
                <w:rFonts w:ascii="Arial" w:cs="Arial" w:eastAsia="Arial" w:hAnsi="Arial"/>
                <w:sz w:val="18"/>
                <w:szCs w:val="18"/>
                <w:color w:val="auto"/>
              </w:rPr>
              <w:t>Contributions from noncontrolling</w:t>
            </w:r>
          </w:p>
        </w:tc>
        <w:tc>
          <w:tcPr>
            <w:tcW w:w="24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16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9,297</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Limited Partners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35"/>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3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Arial" w:cs="Arial" w:eastAsia="Arial" w:hAnsi="Arial"/>
                <w:sz w:val="14"/>
                <w:szCs w:val="14"/>
                <w:b w:val="1"/>
                <w:bCs w:val="1"/>
                <w:color w:val="auto"/>
                <w:w w:val="89"/>
              </w:rPr>
              <w:t>Series B</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 (Note 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Repurchase of common units (Note 7)</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8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Capital Excluding</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55"/>
              <w:spacing w:after="0" w:line="122"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89"/>
              </w:rPr>
              <w:t>Series B</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(2,711)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(2,562)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9"/>
        </w:trPr>
        <w:tc>
          <w:tcPr>
            <w:tcW w:w="3100" w:type="dxa"/>
            <w:vAlign w:val="bottom"/>
          </w:tcPr>
          <w:p>
            <w:pPr>
              <w:ind w:left="10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8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Capital Excluding</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55"/>
              <w:spacing w:after="0" w:line="122"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89"/>
              </w:rPr>
              <w:t>Series B</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310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crude oil and NGL. Our business activities are conducted through three operating segments: Transportation, Facilities and Supply and Logistics. See Note 11 for further discussion of our operating segments.</w:t>
      </w:r>
    </w:p>
    <w:p>
      <w:pPr>
        <w:spacing w:after="0" w:line="17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non-economic general partner interest is held by PAA GP LLC (“PAA GP”), a Delaware limited liability company, whose sole member is Plains AAP, L.P. (“AAP”), a Delaware limited partnership. In addition to its ownership of PAA GP, as of September 30, 2021, AAP also owned a limited partner interest in us through its ownership of approximately 245.0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September 30, 2021, owned an approximate 79% limited partner interest in AAP. PAA GP Holdings LLC (“PAGP GP”) is the general partner of PAGP.</w:t>
      </w:r>
    </w:p>
    <w:p>
      <w:pPr>
        <w:spacing w:after="0" w:line="17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2020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20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condensed consolidated balance sheet data as of December 31, 2020 was derived from audited financial statements, but does not include all disclosures required by GAAP. The results of operations for the three and nine months ended September 30, 2021 should not be taken as indicative of results to be expected for the entire year.</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Sheets that sum to the total of the amounts shown on our Condensed Consolidated Statements of Cash Flows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cash and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During the first quarter of 2021, we modified the useful lives of certain of our Pipelines and related facilities and Storage, terminal and rail facilities to useful lives of 10 to 50 years from useful lives of 10 to 70 years to reflect current expectations given our future operating and commercial outlook. These depreciable life adjustments will prospectively increase depreciation expense. For the three and nine months ended September 30, 2021, these reductions in useful lives increased depreciation expense by approximately $18 million and $54 million, respectively, which resulted in a decrease to both basic and diluted net income per common unit of approximately $0.02 for the three months ended September 30, 2021 and approximately $0.07 for the nine months ended September 30, 2021 from what these amounts would have been absent the change in useful lives.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Except as discussed below and in our 2020 Annual Report on Form 10-K, there have been no new accounting pronouncements that have become effective or have been issued during the nine months ended September 30, 2021 that are of significance or potential significance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adopted the following ASUs during the period:</w:t>
      </w:r>
    </w:p>
    <w:p>
      <w:pPr>
        <w:spacing w:after="0" w:line="252" w:lineRule="exact"/>
        <w:rPr>
          <w:sz w:val="20"/>
          <w:szCs w:val="20"/>
          <w:color w:val="auto"/>
        </w:rPr>
      </w:pPr>
    </w:p>
    <w:p>
      <w:pPr>
        <w:ind w:left="820" w:right="220" w:hanging="164"/>
        <w:spacing w:after="0" w:line="311" w:lineRule="auto"/>
        <w:tabs>
          <w:tab w:leader="none" w:pos="81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ASU 2019-12, Income Taxes (Topic 740):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See Note 2 to our Consolidated Financial Statements included in Part IV of our 2020 Annual Report on Form 10-K for additional information regarding this ASU. We adopted this ASU effective January 1, 2021 and our adoption did not have a material impact on our financial position, results of operations or cash flows.</w:t>
      </w:r>
    </w:p>
    <w:p>
      <w:pPr>
        <w:spacing w:after="0" w:line="175" w:lineRule="exact"/>
        <w:rPr>
          <w:rFonts w:ascii="Arial" w:cs="Arial" w:eastAsia="Arial" w:hAnsi="Arial"/>
          <w:sz w:val="16"/>
          <w:szCs w:val="16"/>
          <w:color w:val="auto"/>
        </w:rPr>
      </w:pPr>
    </w:p>
    <w:p>
      <w:pPr>
        <w:ind w:left="820" w:right="20" w:hanging="164"/>
        <w:spacing w:after="0" w:line="293" w:lineRule="auto"/>
        <w:tabs>
          <w:tab w:leader="none" w:pos="81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ASU 2021-05, Leases (Topic 842): </w:t>
      </w:r>
      <w:r>
        <w:rPr>
          <w:rFonts w:ascii="Arial" w:cs="Arial" w:eastAsia="Arial" w:hAnsi="Arial"/>
          <w:sz w:val="16"/>
          <w:szCs w:val="16"/>
          <w:i w:val="1"/>
          <w:iCs w:val="1"/>
          <w:color w:val="auto"/>
        </w:rPr>
        <w:t>Lessors - Certain Leases with Variable Lease Payments</w:t>
      </w:r>
      <w:r>
        <w:rPr>
          <w:rFonts w:ascii="Arial" w:cs="Arial" w:eastAsia="Arial" w:hAnsi="Arial"/>
          <w:sz w:val="16"/>
          <w:szCs w:val="16"/>
          <w:color w:val="auto"/>
        </w:rPr>
        <w:t>. Issued by the FASB in July 2021, ASU 2021-05 modifies the lease classification requirements for lessors in Topic 842, which we adopted on the effective date of January 1, 2019. The amendments require lessors to classify and account for a lease with variable lease payments that do not depend on a reference index or a rate as an operating lease at lease commencement if another classification (i.e., sales-type or direct financing) would result in the recognition of a day-one loss. For entities that have adopted Topic 842, the guidance is effective for fiscal years, and for interim periods within those fiscal years, beginning after December 15, 2021, with early adoption permitted. We have elected to early adopt the guidance on a prospective basis as of July 1, 2021. Our adoption did not have a material impact on our financial position, results of operations or cash flows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disaggregate our revenues by segment and type of activity. These categories depict how the nature, amount, timing and uncertainty of revenues and cash flows are affected by economic factors. See Note 3 to our Consolidated Financial Statements included in Part IV of our 2020 Annual Report on Form 10-K for additional information regarding our types of revenues and policies for revenue recognition.</w:t>
      </w:r>
    </w:p>
    <w:p>
      <w:pPr>
        <w:spacing w:after="0" w:line="192"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following tables present our Supply and Logistics, Transportation and Facilities segment revenues from contracts with customers disaggregated by type of activity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4"/>
              </w:rPr>
              <w:t>Supply and Logistics segment revenues from contracts with customers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Crude oil transactions</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10,417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27,747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15,644</w:t>
            </w: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other transactions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w w:val="95"/>
              </w:rPr>
              <w:t>Total Supply and Logistics segment revenues from contracts with customers</w:t>
            </w: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16,380</w:t>
            </w:r>
          </w:p>
        </w:tc>
      </w:tr>
      <w:tr>
        <w:trPr>
          <w:trHeight w:val="21"/>
        </w:trPr>
        <w:tc>
          <w:tcPr>
            <w:tcW w:w="5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493"/>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89"/>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Tariff activities: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Crude oil pipelines</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30"/>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NGL pipelines</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tariff activities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29"/>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Trucking</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60"/>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89"/>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Crude oil, NGL and other terminalling and storage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natural gas processing and fractionation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Rail load / unload</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(as described above for each segment) to segment revenues and total revenues as disclosed in our Condensed Consolidated Statements of Operations (in millions):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2021</w:t>
            </w:r>
          </w:p>
        </w:tc>
        <w:tc>
          <w:tcPr>
            <w:tcW w:w="14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11,465</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2020</w:t>
            </w:r>
          </w:p>
        </w:tc>
        <w:tc>
          <w:tcPr>
            <w:tcW w:w="140" w:type="dxa"/>
            <w:vAlign w:val="bottom"/>
          </w:tcPr>
          <w:p>
            <w:pPr>
              <w:spacing w:after="0"/>
              <w:rPr>
                <w:sz w:val="24"/>
                <w:szCs w:val="2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140" w:type="dxa"/>
            <w:vAlign w:val="bottom"/>
          </w:tcPr>
          <w:p>
            <w:pPr>
              <w:spacing w:after="0"/>
              <w:rPr>
                <w:sz w:val="24"/>
                <w:szCs w:val="2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31,204</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140" w:type="dxa"/>
            <w:vAlign w:val="bottom"/>
          </w:tcPr>
          <w:p>
            <w:pPr>
              <w:spacing w:after="0"/>
              <w:rPr>
                <w:sz w:val="24"/>
                <w:szCs w:val="2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18,725</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3780" w:type="dxa"/>
            <w:vAlign w:val="bottom"/>
            <w:gridSpan w:val="2"/>
            <w:vMerge w:val="continue"/>
          </w:tcPr>
          <w:p>
            <w:pPr>
              <w:spacing w:after="0"/>
              <w:rPr>
                <w:sz w:val="16"/>
                <w:szCs w:val="16"/>
                <w:color w:val="auto"/>
              </w:rPr>
            </w:pPr>
          </w:p>
        </w:tc>
        <w:tc>
          <w:tcPr>
            <w:tcW w:w="3780" w:type="dxa"/>
            <w:vAlign w:val="bottom"/>
            <w:gridSpan w:val="3"/>
            <w:vMerge w:val="continue"/>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7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N/A</w:t>
            </w:r>
          </w:p>
        </w:tc>
        <w:tc>
          <w:tcPr>
            <w:tcW w:w="1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right="24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83"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 in the liability balance associated with contracts with customers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5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1"/>
                <w:szCs w:val="21"/>
                <w:color w:val="auto"/>
              </w:rPr>
            </w:pPr>
          </w:p>
        </w:tc>
        <w:tc>
          <w:tcPr>
            <w:tcW w:w="9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2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Arial" w:cs="Arial" w:eastAsia="Arial" w:hAnsi="Arial"/>
                <w:sz w:val="18"/>
                <w:szCs w:val="18"/>
                <w:color w:val="auto"/>
              </w:rPr>
              <w:t xml:space="preserve">Amounts recognized as revenue </w:t>
            </w:r>
            <w:r>
              <w:rPr>
                <w:rFonts w:ascii="Arial" w:cs="Arial" w:eastAsia="Arial" w:hAnsi="Arial"/>
                <w:sz w:val="23"/>
                <w:szCs w:val="23"/>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9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Balance at September 30,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$361 million associated with crude oil sales agreements that were entered into in the fourth quarter of 2020 in conjunction with storage arrangements and inventory exchanges, which were settled in the first quarter of 2021.</w:t>
      </w:r>
    </w:p>
    <w:p>
      <w:pPr>
        <w:spacing w:after="0" w:line="28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September 30, 2021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2026 and</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2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174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1"/>
              </w:rPr>
              <w:t>Storage, terminalling and throughput agreement revenues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76"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other Supply and Logistics contracts, due to the election of practical expedients related to variable consideration and short-term contracts;</w:t>
      </w:r>
    </w:p>
    <w:p>
      <w:pPr>
        <w:spacing w:after="0" w:line="140" w:lineRule="exact"/>
        <w:rPr>
          <w:rFonts w:ascii="Arial" w:cs="Arial" w:eastAsia="Arial" w:hAnsi="Arial"/>
          <w:sz w:val="16"/>
          <w:szCs w:val="16"/>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September 30, 2021 and December 31, 2020,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firstLine="648"/>
        <w:spacing w:after="0" w:line="269"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tbl>
      <w:tblPr>
        <w:tblLayout w:type="fixed"/>
        <w:tblInd w:w="0" w:type="dxa"/>
        <w:tblCellMar>
          <w:top w:w="0" w:type="dxa"/>
          <w:left w:w="0" w:type="dxa"/>
          <w:bottom w:w="0" w:type="dxa"/>
          <w:right w:w="0" w:type="dxa"/>
        </w:tblCellMar>
      </w:tblPr>
      <w:tr>
        <w:trPr>
          <w:trHeight w:val="144"/>
        </w:trPr>
        <w:tc>
          <w:tcPr>
            <w:tcW w:w="38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496"/>
              <w:spacing w:after="0"/>
              <w:rPr>
                <w:sz w:val="20"/>
                <w:szCs w:val="20"/>
                <w:color w:val="auto"/>
              </w:rPr>
            </w:pPr>
            <w:r>
              <w:rPr>
                <w:rFonts w:ascii="Arial" w:cs="Arial" w:eastAsia="Arial" w:hAnsi="Arial"/>
                <w:sz w:val="18"/>
                <w:szCs w:val="18"/>
                <w:color w:val="auto"/>
                <w:w w:val="93"/>
              </w:rPr>
              <w:t>3,294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2,317</w:t>
            </w:r>
          </w:p>
        </w:tc>
        <w:tc>
          <w:tcPr>
            <w:tcW w:w="0" w:type="dxa"/>
            <w:vAlign w:val="bottom"/>
          </w:tcPr>
          <w:p>
            <w:pPr>
              <w:spacing w:after="0"/>
              <w:rPr>
                <w:sz w:val="1"/>
                <w:szCs w:val="1"/>
                <w:color w:val="auto"/>
              </w:rPr>
            </w:pPr>
          </w:p>
        </w:tc>
      </w:tr>
      <w:tr>
        <w:trPr>
          <w:trHeight w:val="229"/>
        </w:trPr>
        <w:tc>
          <w:tcPr>
            <w:tcW w:w="8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tcPr>
          <w:p>
            <w:pPr>
              <w:jc w:val="center"/>
              <w:ind w:left="496"/>
              <w:spacing w:after="0"/>
              <w:rPr>
                <w:sz w:val="20"/>
                <w:szCs w:val="20"/>
                <w:color w:val="auto"/>
              </w:rPr>
            </w:pPr>
            <w:r>
              <w:rPr>
                <w:rFonts w:ascii="Arial" w:cs="Arial" w:eastAsia="Arial" w:hAnsi="Arial"/>
                <w:sz w:val="18"/>
                <w:szCs w:val="18"/>
                <w:color w:val="auto"/>
                <w:w w:val="93"/>
              </w:rPr>
              <w:t>4,176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center"/>
              <w:ind w:left="210"/>
              <w:spacing w:after="0"/>
              <w:rPr>
                <w:sz w:val="20"/>
                <w:szCs w:val="20"/>
                <w:color w:val="auto"/>
              </w:rPr>
            </w:pPr>
            <w:r>
              <w:rPr>
                <w:rFonts w:ascii="Arial" w:cs="Arial" w:eastAsia="Arial" w:hAnsi="Arial"/>
                <w:sz w:val="18"/>
                <w:szCs w:val="18"/>
                <w:color w:val="auto"/>
                <w:w w:val="88"/>
              </w:rPr>
              <w:t>2,818</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91"/>
              </w:rPr>
              <w:t>(3,705)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4"/>
              </w:rPr>
              <w:t>(2,582)</w:t>
            </w:r>
          </w:p>
        </w:tc>
        <w:tc>
          <w:tcPr>
            <w:tcW w:w="0" w:type="dxa"/>
            <w:vAlign w:val="bottom"/>
          </w:tcPr>
          <w:p>
            <w:pPr>
              <w:spacing w:after="0"/>
              <w:rPr>
                <w:sz w:val="1"/>
                <w:szCs w:val="1"/>
                <w:color w:val="auto"/>
              </w:rPr>
            </w:pPr>
          </w:p>
        </w:tc>
      </w:tr>
      <w:tr>
        <w:trPr>
          <w:trHeight w:val="223"/>
        </w:trPr>
        <w:tc>
          <w:tcPr>
            <w:tcW w:w="8600" w:type="dxa"/>
            <w:vAlign w:val="bottom"/>
            <w:gridSpan w:val="2"/>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496"/>
              <w:spacing w:after="0"/>
              <w:rPr>
                <w:sz w:val="20"/>
                <w:szCs w:val="20"/>
                <w:color w:val="auto"/>
              </w:rPr>
            </w:pPr>
            <w:r>
              <w:rPr>
                <w:rFonts w:ascii="Arial" w:cs="Arial" w:eastAsia="Arial" w:hAnsi="Arial"/>
                <w:sz w:val="18"/>
                <w:szCs w:val="18"/>
                <w:color w:val="auto"/>
                <w:w w:val="93"/>
              </w:rPr>
              <w:t>3,765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8"/>
              </w:rPr>
              <w:t>2,553</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Common Unit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calculate basic and diluted net income/(loss) per common unit by dividing net income/(loss) attributable to PAA (after deducting amounts allocated to preferred unitholders and participating securities) by the basic and diluted weighted average number of common units outstanding during the period. Participating securities include equity-indexed compensation plan awards that have vested distribution equivalent rights, which entitle the grantee to a cash payment equal to the cash distribution paid on our outstanding common units.</w:t>
      </w:r>
    </w:p>
    <w:p>
      <w:pPr>
        <w:spacing w:after="0" w:line="214"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When applying the if-converted method prescribed by FASB guidance, the possible conversion of approximately 71 million Series A preferred units, on a weighted-average basis, were excluded from the calculation of diluted net income/(loss) per common unit for the three and nine months ended September 30, 2021 and 2020 as the effect was antidilutive for each period.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 As a result of the hypothetical common unit repurchase, there were no potentially dilutive equity-indexed compensation awards for the three months ended September 30, 2020. For the three and nine months ended September 30, 2021 and the nine months ended September 30, 2020, approximately</w:t>
      </w:r>
    </w:p>
    <w:p>
      <w:pPr>
        <w:spacing w:after="0" w:line="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0.6 million, 0.5 million and 0.4 million equity-indexed compensation plan awards, respectively, on a weighted-average basis, were excluded from the computation of diluted net loss per common unit as the effect was antidilutive. See Note 18 to our Consolidated Financial Statements included in Part IV of our 2020 Annual Report on Form 10-K for a discussion of our equity-indexed compensation plan awards.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net income/(loss) per common unit (in millions, except per unit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05"/>
        </w:trPr>
        <w:tc>
          <w:tcPr>
            <w:tcW w:w="388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16"/>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Common Unit</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Net income/(loss) attributable to PAA</w:t>
            </w:r>
          </w:p>
        </w:tc>
        <w:tc>
          <w:tcPr>
            <w:tcW w:w="800" w:type="dxa"/>
            <w:vAlign w:val="bottom"/>
          </w:tcPr>
          <w:p>
            <w:pPr>
              <w:jc w:val="right"/>
              <w:ind w:right="617"/>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(2,562)</w:t>
            </w: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Distributions to Series A preferred unitholders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Distributions to Series B preferred unitholders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Distributions to participating securities</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40" w:type="dxa"/>
            <w:vAlign w:val="bottom"/>
            <w:gridSpan w:val="2"/>
          </w:tcPr>
          <w:p>
            <w:pPr>
              <w:ind w:left="180"/>
              <w:spacing w:after="0" w:line="223" w:lineRule="exact"/>
              <w:rPr>
                <w:sz w:val="20"/>
                <w:szCs w:val="20"/>
                <w:color w:val="auto"/>
              </w:rPr>
            </w:pPr>
            <w:r>
              <w:rPr>
                <w:rFonts w:ascii="Arial" w:cs="Arial" w:eastAsia="Arial" w:hAnsi="Arial"/>
                <w:sz w:val="18"/>
                <w:szCs w:val="18"/>
                <w:color w:val="auto"/>
              </w:rPr>
              <w:t xml:space="preserve">Net income/(loss) allocated to common unitholders </w:t>
            </w:r>
            <w:r>
              <w:rPr>
                <w:rFonts w:ascii="Arial" w:cs="Arial" w:eastAsia="Arial" w:hAnsi="Arial"/>
                <w:sz w:val="23"/>
                <w:szCs w:val="23"/>
                <w:color w:val="auto"/>
                <w:vertAlign w:val="superscript"/>
              </w:rPr>
              <w:t>(1)</w:t>
            </w:r>
          </w:p>
        </w:tc>
        <w:tc>
          <w:tcPr>
            <w:tcW w:w="800" w:type="dxa"/>
            <w:vAlign w:val="bottom"/>
            <w:tcBorders>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Basic and diluted weighted average common units outstanding</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57"/>
        </w:trPr>
        <w:tc>
          <w:tcPr>
            <w:tcW w:w="388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Basic and diluted net income/(loss) per common unit</w:t>
            </w:r>
          </w:p>
        </w:tc>
        <w:tc>
          <w:tcPr>
            <w:tcW w:w="800" w:type="dxa"/>
            <w:vAlign w:val="bottom"/>
            <w:tcBorders>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(0.15)</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r>
      <w:tr>
        <w:trPr>
          <w:trHeight w:val="20"/>
        </w:trPr>
        <w:tc>
          <w:tcPr>
            <w:tcW w:w="3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1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121" w:lineRule="exact"/>
        <w:rPr>
          <w:sz w:val="20"/>
          <w:szCs w:val="20"/>
          <w:color w:val="auto"/>
        </w:rPr>
      </w:pPr>
    </w:p>
    <w:p>
      <w:pPr>
        <w:ind w:left="660" w:right="200" w:hanging="652"/>
        <w:spacing w:after="0" w:line="238"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40" w:type="dxa"/>
            <w:vAlign w:val="bottom"/>
          </w:tcPr>
          <w:p>
            <w:pPr>
              <w:jc w:val="right"/>
              <w:ind w:right="5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94"/>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6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15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Unit </w:t>
            </w:r>
            <w:r>
              <w:rPr>
                <w:rFonts w:ascii="Arial" w:cs="Arial" w:eastAsia="Arial" w:hAnsi="Arial"/>
                <w:sz w:val="9"/>
                <w:szCs w:val="9"/>
                <w:b w:val="1"/>
                <w:bCs w:val="1"/>
                <w:color w:val="auto"/>
                <w:w w:val="94"/>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1"/>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6,125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61.39</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3"/>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right w:val="single" w:sz="8" w:color="auto"/>
            </w:tcBorders>
            <w:gridSpan w:val="2"/>
          </w:tcPr>
          <w:p>
            <w:pPr>
              <w:ind w:left="36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 and base gas</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15,150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56.50</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Natural gas </w:t>
            </w:r>
            <w:r>
              <w:rPr>
                <w:rFonts w:ascii="Arial" w:cs="Arial" w:eastAsia="Arial" w:hAnsi="Arial"/>
                <w:sz w:val="23"/>
                <w:szCs w:val="23"/>
                <w:color w:val="auto"/>
                <w:vertAlign w:val="superscript"/>
              </w:rPr>
              <w:t>(2)</w:t>
            </w:r>
          </w:p>
        </w:tc>
        <w:tc>
          <w:tcPr>
            <w:tcW w:w="1080" w:type="dxa"/>
            <w:vAlign w:val="bottom"/>
            <w:tcBorders>
              <w:bottom w:val="single" w:sz="8" w:color="CCEEFF"/>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25,576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Linefill and base gas subtotal</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2,737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68.69</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inventory subtotal</w:t>
            </w: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360" w:hanging="652"/>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08" w:lineRule="exact"/>
        <w:rPr>
          <w:sz w:val="20"/>
          <w:szCs w:val="20"/>
          <w:color w:val="auto"/>
        </w:rPr>
      </w:pPr>
    </w:p>
    <w:p>
      <w:pPr>
        <w:ind w:left="660" w:right="140" w:hanging="652"/>
        <w:spacing w:after="0" w:line="227"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Base gas with a carrying value of $110 million was included in the sale of our natural gas storage facilities, which closed on August 2, 2021. See Note 12 for additional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74" w:lineRule="exact"/>
        <w:rPr>
          <w:sz w:val="20"/>
          <w:szCs w:val="20"/>
          <w:color w:val="auto"/>
        </w:rPr>
      </w:pPr>
    </w:p>
    <w:p>
      <w:pPr>
        <w:ind w:left="8640"/>
        <w:spacing w:after="0"/>
        <w:tabs>
          <w:tab w:leader="none" w:pos="1010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ind w:left="89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ectPr>
          <w:pgSz w:w="11900" w:h="16838" w:orient="portrait"/>
          <w:cols w:equalWidth="0" w:num="1">
            <w:col w:w="11200"/>
          </w:cols>
          <w:pgMar w:left="320" w:top="125" w:right="379" w:bottom="144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Commercial paper notes, bearing a weighted-average interest rate of 0.7%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 xml:space="preserve">Senior secured hedged inventory facility, bearing a weighted-average interest rate of 1.2%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0628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3.65% senior notes due June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short-term debt</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notes, net of unamortized discounts and debt issuance costs of $55 and $62,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2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4" w:lineRule="exact"/>
        <w:rPr>
          <w:sz w:val="20"/>
          <w:szCs w:val="20"/>
          <w:color w:val="auto"/>
        </w:rPr>
      </w:pPr>
    </w:p>
    <w:p>
      <w:pPr>
        <w:ind w:left="20" w:right="100"/>
        <w:spacing w:after="0" w:line="233" w:lineRule="auto"/>
        <w:rPr>
          <w:sz w:val="20"/>
          <w:szCs w:val="20"/>
          <w:color w:val="auto"/>
        </w:rPr>
      </w:pPr>
      <w:r>
        <w:rPr>
          <w:rFonts w:ascii="Arial" w:cs="Arial" w:eastAsia="Arial" w:hAnsi="Arial"/>
          <w:sz w:val="18"/>
          <w:szCs w:val="18"/>
          <w:color w:val="auto"/>
        </w:rPr>
        <w:t xml:space="preserve">GO Zone term loans, net of debt issuance costs of $1, bearing a weighted-average interest rate of 1.3%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Total long-term debt</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2459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4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458"/>
        </w:trPr>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24"/>
        </w:trPr>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673"/>
        </w:trPr>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9,071</w:t>
            </w:r>
          </w:p>
        </w:tc>
      </w:tr>
      <w:tr>
        <w:trPr>
          <w:trHeight w:val="230"/>
        </w:trPr>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7700" w:space="720"/>
            <w:col w:w="2780"/>
          </w:cols>
          <w:pgMar w:left="320" w:top="125" w:right="37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60" w:hanging="11"/>
        <w:spacing w:after="0" w:line="263" w:lineRule="auto"/>
        <w:rPr>
          <w:sz w:val="20"/>
          <w:szCs w:val="20"/>
          <w:color w:val="auto"/>
        </w:rPr>
      </w:pPr>
      <w:r>
        <w:rPr>
          <w:rFonts w:ascii="Arial" w:cs="Arial" w:eastAsia="Arial" w:hAnsi="Arial"/>
          <w:sz w:val="18"/>
          <w:szCs w:val="18"/>
          <w:color w:val="auto"/>
        </w:rPr>
        <w:t>We classified these commercial paper notes and credit facility borrowings as short-term as of December 31, 2020, as these notes and borrowings were primarily designated as working capital borrowings, were required to be repaid within one year and were primarily for hedged NGL and crude oil inventory and NYMEX and ICE margin deposits.</w:t>
      </w:r>
    </w:p>
    <w:p>
      <w:pPr>
        <w:spacing w:after="0" w:line="76" w:lineRule="exact"/>
        <w:rPr>
          <w:sz w:val="20"/>
          <w:szCs w:val="20"/>
          <w:color w:val="auto"/>
        </w:rPr>
      </w:pPr>
    </w:p>
    <w:p>
      <w:pPr>
        <w:ind w:right="280" w:hanging="11"/>
        <w:spacing w:after="0" w:line="342" w:lineRule="auto"/>
        <w:rPr>
          <w:sz w:val="20"/>
          <w:szCs w:val="20"/>
          <w:color w:val="auto"/>
        </w:rPr>
      </w:pPr>
      <w:r>
        <w:rPr>
          <w:rFonts w:ascii="Arial" w:cs="Arial" w:eastAsia="Arial" w:hAnsi="Arial"/>
          <w:sz w:val="16"/>
          <w:szCs w:val="16"/>
          <w:color w:val="auto"/>
        </w:rPr>
        <w:t>The GO Zone term loans were initially assumed by one of our subsidiaries in connection with the acquisition of the Southern Pines natural gas storage facility. The loans were repaid in August 2021 in connection with the sale of that facility. See Note 12 for additional information.</w:t>
      </w:r>
    </w:p>
    <w:p>
      <w:pPr>
        <w:spacing w:after="0" w:line="16" w:lineRule="exact"/>
        <w:rPr>
          <w:sz w:val="20"/>
          <w:szCs w:val="20"/>
          <w:color w:val="auto"/>
        </w:rPr>
      </w:pPr>
    </w:p>
    <w:p>
      <w:pPr>
        <w:ind w:right="40" w:hanging="11"/>
        <w:spacing w:after="0" w:line="272" w:lineRule="auto"/>
        <w:rPr>
          <w:sz w:val="20"/>
          <w:szCs w:val="20"/>
          <w:color w:val="auto"/>
        </w:rPr>
      </w:pPr>
      <w:r>
        <w:rPr>
          <w:rFonts w:ascii="Arial" w:cs="Arial" w:eastAsia="Arial" w:hAnsi="Arial"/>
          <w:sz w:val="17"/>
          <w:szCs w:val="17"/>
          <w:color w:val="auto"/>
        </w:rPr>
        <w:t>Our fixed-rate senior notes had a face value of approximately $9.1 billion at both September 30, 2021 and December 31, 2020. We estimated the aggregate fair value of these notes as of September 30, 2021 and December 31, 2020 to be approximately $10.0 billion and $9.9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commercial paper program and GO Zone term loans approximates fair value as interest rates reflect current market rates. The fair value estimates for our senior notes, credit facilities, commercial paper program and GO Zone term loans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40"/>
          </w:cols>
          <w:pgMar w:left="320" w:top="125" w:right="3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2021, we renewed and extended our credit facilities by entering into new and amended credit agreements, as discussed further below.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covenants and events of default under the new and amended credit agreements remain substantially unchanged from the previous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Senior secured hedged inventory facility</w:t>
      </w:r>
      <w:r>
        <w:rPr>
          <w:rFonts w:ascii="Arial" w:cs="Arial" w:eastAsia="Arial" w:hAnsi="Arial"/>
          <w:sz w:val="17"/>
          <w:szCs w:val="17"/>
          <w:color w:val="auto"/>
        </w:rPr>
        <w:t>. In August 2021, we entered into an amended credit agreement which replaced our $1.4 billion senior</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hedged inventory facility scheduled to mature in August 2022 with a $1.35 billion senior secured hedged inventory facility with an initial maturity date of August 2024. Subject to obtaining additional or increased lender commitments and other terms and conditions, the committed capacity of the facility may be increased to $1.9 billion. The amended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w:t>
      </w:r>
    </w:p>
    <w:p>
      <w:pPr>
        <w:spacing w:after="0" w:line="20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Senior unsecured revolving credit facility. </w:t>
      </w:r>
      <w:r>
        <w:rPr>
          <w:rFonts w:ascii="Arial" w:cs="Arial" w:eastAsia="Arial" w:hAnsi="Arial"/>
          <w:sz w:val="17"/>
          <w:szCs w:val="17"/>
          <w:color w:val="auto"/>
        </w:rPr>
        <w:t>In August 2021, we entered into a new unsecured credit agreement that provides for a senior unsecured</w:t>
      </w:r>
      <w:r>
        <w:rPr>
          <w:rFonts w:ascii="Arial" w:cs="Arial" w:eastAsia="Arial" w:hAnsi="Arial"/>
          <w:sz w:val="17"/>
          <w:szCs w:val="17"/>
          <w:i w:val="1"/>
          <w:iCs w:val="1"/>
          <w:color w:val="auto"/>
        </w:rPr>
        <w:t xml:space="preserve"> </w:t>
      </w:r>
      <w:r>
        <w:rPr>
          <w:rFonts w:ascii="Arial" w:cs="Arial" w:eastAsia="Arial" w:hAnsi="Arial"/>
          <w:sz w:val="17"/>
          <w:szCs w:val="17"/>
          <w:color w:val="auto"/>
        </w:rPr>
        <w:t>revolving credit facility with a committed borrowing capacity of $1.35 billion, of which $400 million is available for the issuance of letters of credit. The new credit agreement replaced our previous credit agreement that provided for a $1.6 billion senior unsecured revolving credit facility and was scheduled to mature in August 2024.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new credit agreement has an initial maturity date of August 2026 and provides for one or more one-year extensions, subject to applicable approval and other terms and conditions.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borrowings under our credit facilities and commercial paper program for the nine months ended September 30, 2021 and 2020 were approximately $31.2 billion and $20.2 billion, respectively. Total repayments under our credit facilities and commercial paper program were approximately $31.9 billion and $20.5 billion for the nine months ended September 30, 2021 and 2020,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September 30, 2021 and December 31, 2020, we had outstanding letters of credit of $64 million and $129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preferred and common units: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Limited Partners</w:t>
            </w:r>
          </w:p>
        </w:tc>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Series A</w:t>
            </w:r>
          </w:p>
        </w:tc>
        <w:tc>
          <w:tcPr>
            <w:tcW w:w="40" w:type="dxa"/>
            <w:vAlign w:val="bottom"/>
          </w:tcPr>
          <w:p>
            <w:pPr>
              <w:spacing w:after="0"/>
              <w:rPr>
                <w:sz w:val="11"/>
                <w:szCs w:val="11"/>
                <w:color w:val="auto"/>
              </w:rPr>
            </w:pPr>
          </w:p>
        </w:tc>
        <w:tc>
          <w:tcPr>
            <w:tcW w:w="16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Series B</w:t>
            </w:r>
          </w:p>
        </w:tc>
        <w:tc>
          <w:tcPr>
            <w:tcW w:w="40" w:type="dxa"/>
            <w:vAlign w:val="bottom"/>
          </w:tcPr>
          <w:p>
            <w:pPr>
              <w:spacing w:after="0"/>
              <w:rPr>
                <w:sz w:val="11"/>
                <w:szCs w:val="11"/>
                <w:color w:val="auto"/>
              </w:rPr>
            </w:pPr>
          </w:p>
        </w:tc>
        <w:tc>
          <w:tcPr>
            <w:tcW w:w="14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Preferred Units</w:t>
            </w:r>
          </w:p>
        </w:tc>
        <w:tc>
          <w:tcPr>
            <w:tcW w:w="4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Preferred Units</w:t>
            </w:r>
          </w:p>
        </w:tc>
        <w:tc>
          <w:tcPr>
            <w:tcW w:w="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722,380,416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360" w:type="dxa"/>
            <w:vAlign w:val="bottom"/>
            <w:tcBorders>
              <w:top w:val="single" w:sz="8" w:color="CCEEFF"/>
              <w:bottom w:val="single" w:sz="8" w:color="CCEEFF"/>
            </w:tcBorders>
            <w:gridSpan w:val="2"/>
            <w:vMerge w:val="restart"/>
          </w:tcPr>
          <w:p>
            <w:pPr>
              <w:ind w:left="140"/>
              <w:spacing w:after="0" w:line="163" w:lineRule="exact"/>
              <w:rPr>
                <w:sz w:val="20"/>
                <w:szCs w:val="20"/>
                <w:color w:val="auto"/>
              </w:rPr>
            </w:pPr>
            <w:r>
              <w:rPr>
                <w:rFonts w:ascii="Arial" w:cs="Arial" w:eastAsia="Arial" w:hAnsi="Arial"/>
                <w:sz w:val="18"/>
                <w:szCs w:val="18"/>
                <w:color w:val="auto"/>
                <w:w w:val="94"/>
              </w:rPr>
              <w:t>Repurchase and cancellation of common units under Common Equity Repurchase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vMerge w:val="continue"/>
          </w:tcPr>
          <w:p>
            <w:pPr>
              <w:spacing w:after="0"/>
              <w:rPr>
                <w:sz w:val="10"/>
                <w:szCs w:val="10"/>
                <w:color w:val="auto"/>
              </w:rPr>
            </w:pPr>
          </w:p>
        </w:tc>
        <w:tc>
          <w:tcPr>
            <w:tcW w:w="63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0"/>
                <w:szCs w:val="10"/>
                <w:color w:val="auto"/>
              </w:rPr>
            </w:pPr>
          </w:p>
        </w:tc>
        <w:tc>
          <w:tcPr>
            <w:tcW w:w="16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60" w:type="dxa"/>
            <w:vAlign w:val="bottom"/>
            <w:gridSpan w:val="2"/>
          </w:tcPr>
          <w:p>
            <w:pPr>
              <w:ind w:left="320"/>
              <w:spacing w:after="0" w:line="230" w:lineRule="exact"/>
              <w:rPr>
                <w:sz w:val="20"/>
                <w:szCs w:val="20"/>
                <w:color w:val="auto"/>
              </w:rPr>
            </w:pPr>
            <w:r>
              <w:rPr>
                <w:rFonts w:ascii="Arial" w:cs="Arial" w:eastAsia="Arial" w:hAnsi="Arial"/>
                <w:sz w:val="18"/>
                <w:szCs w:val="18"/>
                <w:color w:val="auto"/>
              </w:rPr>
              <w:t xml:space="preserve">Program </w:t>
            </w:r>
            <w:r>
              <w:rPr>
                <w:rFonts w:ascii="Arial" w:cs="Arial" w:eastAsia="Arial" w:hAnsi="Arial"/>
                <w:sz w:val="23"/>
                <w:szCs w:val="23"/>
                <w:color w:val="auto"/>
                <w:vertAlign w:val="superscript"/>
              </w:rPr>
              <w:t>(1)</w:t>
            </w:r>
          </w:p>
        </w:tc>
        <w:tc>
          <w:tcPr>
            <w:tcW w:w="4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Outstanding at March 31, 2021</w:t>
            </w: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722,055,847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63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Repurchase and cancellation of common units under Common Equity Repurchase</w:t>
            </w:r>
          </w:p>
        </w:tc>
        <w:tc>
          <w:tcPr>
            <w:tcW w:w="40" w:type="dxa"/>
            <w:vAlign w:val="bottom"/>
            <w:shd w:val="clear" w:color="auto" w:fill="CCEEFF"/>
          </w:tcPr>
          <w:p>
            <w:pPr>
              <w:spacing w:after="0"/>
              <w:rPr>
                <w:sz w:val="15"/>
                <w:szCs w:val="15"/>
                <w:color w:val="auto"/>
              </w:rPr>
            </w:pPr>
          </w:p>
        </w:tc>
        <w:tc>
          <w:tcPr>
            <w:tcW w:w="15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(4,940,592)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Program</w:t>
            </w:r>
          </w:p>
        </w:tc>
        <w:tc>
          <w:tcPr>
            <w:tcW w:w="40" w:type="dxa"/>
            <w:vAlign w:val="bottom"/>
            <w:shd w:val="clear" w:color="auto" w:fill="CCEEFF"/>
          </w:tcPr>
          <w:p>
            <w:pPr>
              <w:spacing w:after="0"/>
              <w:rPr>
                <w:sz w:val="19"/>
                <w:szCs w:val="19"/>
                <w:color w:val="auto"/>
              </w:rPr>
            </w:pPr>
          </w:p>
        </w:tc>
        <w:tc>
          <w:tcPr>
            <w:tcW w:w="158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0" w:type="dxa"/>
            <w:vAlign w:val="bottom"/>
            <w:gridSpan w:val="3"/>
            <w:vMerge w:val="continue"/>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Issuances of common units under equity-indexed compensation plans</w:t>
            </w:r>
          </w:p>
        </w:tc>
        <w:tc>
          <w:tcPr>
            <w:tcW w:w="4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256,321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June 30, 2021</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717,371,576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360" w:type="dxa"/>
            <w:vAlign w:val="bottom"/>
            <w:tcBorders>
              <w:top w:val="single" w:sz="8" w:color="CCEEFF"/>
              <w:bottom w:val="single" w:sz="8" w:color="CCEEFF"/>
            </w:tcBorders>
            <w:gridSpan w:val="2"/>
            <w:vMerge w:val="restart"/>
          </w:tcPr>
          <w:p>
            <w:pPr>
              <w:ind w:left="140"/>
              <w:spacing w:after="0" w:line="163" w:lineRule="exact"/>
              <w:rPr>
                <w:sz w:val="20"/>
                <w:szCs w:val="20"/>
                <w:color w:val="auto"/>
              </w:rPr>
            </w:pPr>
            <w:r>
              <w:rPr>
                <w:rFonts w:ascii="Arial" w:cs="Arial" w:eastAsia="Arial" w:hAnsi="Arial"/>
                <w:sz w:val="18"/>
                <w:szCs w:val="18"/>
                <w:color w:val="auto"/>
                <w:w w:val="94"/>
              </w:rPr>
              <w:t>Repurchase and cancellation of common units under Common Equity Repurchase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vMerge w:val="continue"/>
          </w:tcPr>
          <w:p>
            <w:pPr>
              <w:spacing w:after="0"/>
              <w:rPr>
                <w:sz w:val="10"/>
                <w:szCs w:val="10"/>
                <w:color w:val="auto"/>
              </w:rPr>
            </w:pPr>
          </w:p>
        </w:tc>
        <w:tc>
          <w:tcPr>
            <w:tcW w:w="63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0"/>
                <w:szCs w:val="10"/>
                <w:color w:val="auto"/>
              </w:rPr>
            </w:pPr>
          </w:p>
        </w:tc>
        <w:tc>
          <w:tcPr>
            <w:tcW w:w="16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auto"/>
              </w:rPr>
              <w:t>(6,626,711)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360" w:type="dxa"/>
            <w:vAlign w:val="bottom"/>
            <w:gridSpan w:val="2"/>
            <w:vMerge w:val="restart"/>
          </w:tcPr>
          <w:p>
            <w:pPr>
              <w:ind w:left="320"/>
              <w:spacing w:after="0"/>
              <w:rPr>
                <w:sz w:val="20"/>
                <w:szCs w:val="20"/>
                <w:color w:val="auto"/>
              </w:rPr>
            </w:pPr>
            <w:r>
              <w:rPr>
                <w:rFonts w:ascii="Arial" w:cs="Arial" w:eastAsia="Arial" w:hAnsi="Arial"/>
                <w:sz w:val="18"/>
                <w:szCs w:val="18"/>
                <w:color w:val="auto"/>
              </w:rPr>
              <w:t>Program</w:t>
            </w:r>
          </w:p>
        </w:tc>
        <w:tc>
          <w:tcPr>
            <w:tcW w:w="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3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Issuances of common units under equity-indexed compensation plans</w:t>
            </w:r>
          </w:p>
        </w:tc>
        <w:tc>
          <w:tcPr>
            <w:tcW w:w="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Outstanding at September 30, 2021</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711,121,882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5"/>
              </w:rPr>
              <w:t>Limited Partners</w:t>
            </w:r>
          </w:p>
        </w:tc>
        <w:tc>
          <w:tcPr>
            <w:tcW w:w="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Series A</w:t>
            </w:r>
          </w:p>
        </w:tc>
        <w:tc>
          <w:tcPr>
            <w:tcW w:w="40" w:type="dxa"/>
            <w:vAlign w:val="bottom"/>
          </w:tcPr>
          <w:p>
            <w:pPr>
              <w:spacing w:after="0"/>
              <w:rPr>
                <w:sz w:val="11"/>
                <w:szCs w:val="11"/>
                <w:color w:val="auto"/>
              </w:rPr>
            </w:pPr>
          </w:p>
        </w:tc>
        <w:tc>
          <w:tcPr>
            <w:tcW w:w="16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Series B</w:t>
            </w:r>
          </w:p>
        </w:tc>
        <w:tc>
          <w:tcPr>
            <w:tcW w:w="40" w:type="dxa"/>
            <w:vAlign w:val="bottom"/>
          </w:tcPr>
          <w:p>
            <w:pPr>
              <w:spacing w:after="0"/>
              <w:rPr>
                <w:sz w:val="11"/>
                <w:szCs w:val="11"/>
                <w:color w:val="auto"/>
              </w:rPr>
            </w:pPr>
          </w:p>
        </w:tc>
        <w:tc>
          <w:tcPr>
            <w:tcW w:w="14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Preferred Units</w:t>
            </w:r>
          </w:p>
        </w:tc>
        <w:tc>
          <w:tcPr>
            <w:tcW w:w="40" w:type="dxa"/>
            <w:vAlign w:val="bottom"/>
          </w:tcPr>
          <w:p>
            <w:pPr>
              <w:spacing w:after="0"/>
              <w:rPr>
                <w:sz w:val="16"/>
                <w:szCs w:val="16"/>
                <w:color w:val="auto"/>
              </w:rPr>
            </w:pPr>
          </w:p>
        </w:tc>
        <w:tc>
          <w:tcPr>
            <w:tcW w:w="1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Preferred Units</w:t>
            </w:r>
          </w:p>
        </w:tc>
        <w:tc>
          <w:tcPr>
            <w:tcW w:w="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8"/>
                <w:szCs w:val="18"/>
                <w:color w:val="auto"/>
              </w:rPr>
            </w:pPr>
          </w:p>
        </w:tc>
        <w:tc>
          <w:tcPr>
            <w:tcW w:w="6360" w:type="dxa"/>
            <w:vAlign w:val="bottom"/>
            <w:tcBorders>
              <w:top w:val="single" w:sz="8" w:color="CCEEFF"/>
              <w:bottom w:val="single" w:sz="8" w:color="CCEEFF"/>
            </w:tcBorders>
            <w:gridSpan w:val="2"/>
            <w:shd w:val="clear" w:color="auto" w:fill="CCEEFF"/>
          </w:tcPr>
          <w:p>
            <w:pPr>
              <w:ind w:left="40"/>
              <w:spacing w:after="0" w:line="197" w:lineRule="exact"/>
              <w:rPr>
                <w:sz w:val="20"/>
                <w:szCs w:val="20"/>
                <w:color w:val="auto"/>
              </w:rPr>
            </w:pPr>
            <w:r>
              <w:rPr>
                <w:rFonts w:ascii="Arial" w:cs="Arial" w:eastAsia="Arial" w:hAnsi="Arial"/>
                <w:sz w:val="18"/>
                <w:szCs w:val="18"/>
                <w:color w:val="auto"/>
              </w:rPr>
              <w:t>Outstanding at December 31, 2019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71,090,468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800,000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728,028,576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60" w:type="dxa"/>
            <w:vAlign w:val="bottom"/>
            <w:tcBorders>
              <w:top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360" w:type="dxa"/>
            <w:vAlign w:val="bottom"/>
            <w:tcBorders>
              <w:top w:val="single" w:sz="8" w:color="CCEEFF"/>
              <w:bottom w:val="single" w:sz="8" w:color="CCEEFF"/>
            </w:tcBorders>
            <w:gridSpan w:val="2"/>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24,431</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2020</w:t>
            </w: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728,053,007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40" w:type="dxa"/>
            <w:vAlign w:val="bottom"/>
          </w:tcPr>
          <w:p>
            <w:pPr>
              <w:spacing w:after="0"/>
              <w:rPr>
                <w:sz w:val="19"/>
                <w:szCs w:val="19"/>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47,391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3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June 30, 2020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728,100,398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60" w:type="dxa"/>
            <w:vAlign w:val="bottom"/>
            <w:tcBorders>
              <w:top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6360" w:type="dxa"/>
            <w:vAlign w:val="bottom"/>
            <w:tcBorders>
              <w:top w:val="single" w:sz="8" w:color="CCEEFF"/>
              <w:bottom w:val="single" w:sz="8" w:color="CCEEFF"/>
            </w:tcBorders>
            <w:gridSpan w:val="2"/>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376,193</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September 30, 2020</w:t>
            </w:r>
          </w:p>
        </w:tc>
        <w:tc>
          <w:tcPr>
            <w:tcW w:w="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728,476,591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Trades for these units were executed in late December 2020, but settled in early January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Equity Repurchase Program</w:t>
      </w:r>
    </w:p>
    <w:p>
      <w:pPr>
        <w:spacing w:after="0" w:line="23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repurchased 11,917,303 common units under our Common Equity Repurchase Program (the “Program”) through open market purchases that settled during the nine months ended September 30, 2021. The total purchase price of these repurchases was $117 million, including commissions and fees. The repurchased common units were canceled immediately upon acquisition, as were the PAGP Class C shares held by us associated with the repurchased common units. At September 30, 2021, the remaining available capacity under the Program was $333 million. See Note 12 to our Consolidated Financial Statements included in Part IV of our 2020 Annual Report on Form 10-K for additional information regarding the Program.</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3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Series A Preferred Unit Distributions</w:t>
      </w:r>
      <w:r>
        <w:rPr>
          <w:rFonts w:ascii="Arial" w:cs="Arial" w:eastAsia="Arial" w:hAnsi="Arial"/>
          <w:sz w:val="18"/>
          <w:szCs w:val="18"/>
          <w:color w:val="auto"/>
        </w:rPr>
        <w:t>. The following table details distributions to our Series A preferred unitholders paid during or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nine months of 2021 (in millions, except per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4"/>
              <w:spacing w:after="0"/>
              <w:rPr>
                <w:sz w:val="20"/>
                <w:szCs w:val="20"/>
                <w:color w:val="auto"/>
              </w:rPr>
            </w:pPr>
            <w:r>
              <w:rPr>
                <w:rFonts w:ascii="Arial" w:cs="Arial" w:eastAsia="Arial" w:hAnsi="Arial"/>
                <w:sz w:val="14"/>
                <w:szCs w:val="14"/>
                <w:b w:val="1"/>
                <w:bCs w:val="1"/>
                <w:color w:val="auto"/>
              </w:rPr>
              <w:t>Series A Preferred Unitholders</w:t>
            </w:r>
          </w:p>
        </w:tc>
      </w:tr>
      <w:tr>
        <w:trPr>
          <w:trHeight w:val="188"/>
        </w:trPr>
        <w:tc>
          <w:tcPr>
            <w:tcW w:w="786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6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November 12,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29"/>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August 13,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230"/>
        </w:trPr>
        <w:tc>
          <w:tcPr>
            <w:tcW w:w="7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May 14,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29"/>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February 12,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176"/>
        </w:trPr>
        <w:tc>
          <w:tcPr>
            <w:tcW w:w="3880" w:type="dxa"/>
            <w:vAlign w:val="bottom"/>
            <w:tcBorders>
              <w:bottom w:val="single" w:sz="8" w:color="auto"/>
            </w:tcBorders>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21" w:lineRule="exact"/>
        <w:rPr>
          <w:sz w:val="20"/>
          <w:szCs w:val="20"/>
          <w:color w:val="auto"/>
        </w:rPr>
      </w:pPr>
    </w:p>
    <w:p>
      <w:pPr>
        <w:ind w:left="660" w:right="340" w:hanging="652"/>
        <w:spacing w:after="0" w:line="234" w:lineRule="auto"/>
        <w:tabs>
          <w:tab w:leader="none" w:pos="64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October 29, 2021 for the period from July 1, 2021 through September 30, 2021. At September 30, 2021, such amount was accrued as distributions payable in “Other current liabilities” on our Condensed Consolidated Balance Sheet.</w:t>
      </w:r>
    </w:p>
    <w:p>
      <w:pPr>
        <w:spacing w:after="0" w:line="23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Series B Preferred Unit Distributions</w:t>
      </w:r>
      <w:r>
        <w:rPr>
          <w:rFonts w:ascii="Arial" w:cs="Arial" w:eastAsia="Arial" w:hAnsi="Arial"/>
          <w:sz w:val="17"/>
          <w:szCs w:val="17"/>
          <w:color w:val="auto"/>
        </w:rPr>
        <w:t>. Distributions on our Series B preferred units are payable semi-annually in arrears on the 15th day of May</w:t>
      </w:r>
      <w:r>
        <w:rPr>
          <w:rFonts w:ascii="Arial" w:cs="Arial" w:eastAsia="Arial" w:hAnsi="Arial"/>
          <w:sz w:val="17"/>
          <w:szCs w:val="17"/>
          <w:i w:val="1"/>
          <w:iCs w:val="1"/>
          <w:color w:val="auto"/>
        </w:rPr>
        <w:t xml:space="preserve"> </w:t>
      </w:r>
      <w:r>
        <w:rPr>
          <w:rFonts w:ascii="Arial" w:cs="Arial" w:eastAsia="Arial" w:hAnsi="Arial"/>
          <w:sz w:val="17"/>
          <w:szCs w:val="17"/>
          <w:color w:val="auto"/>
        </w:rPr>
        <w:t>and November. The following table details distributions paid to our Series B preferred unitholders (in millions, except per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4"/>
                <w:szCs w:val="14"/>
                <w:b w:val="1"/>
                <w:bCs w:val="1"/>
                <w:color w:val="auto"/>
              </w:rPr>
              <w:t>Series B Preferred Unitholders</w:t>
            </w:r>
          </w:p>
        </w:tc>
      </w:tr>
      <w:tr>
        <w:trPr>
          <w:trHeight w:val="188"/>
        </w:trPr>
        <w:tc>
          <w:tcPr>
            <w:tcW w:w="78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2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November 15,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r>
      <w:tr>
        <w:trPr>
          <w:trHeight w:val="229"/>
        </w:trPr>
        <w:tc>
          <w:tcPr>
            <w:tcW w:w="7820" w:type="dxa"/>
            <w:vAlign w:val="bottom"/>
            <w:gridSpan w:val="3"/>
          </w:tcPr>
          <w:p>
            <w:pPr>
              <w:ind w:left="20"/>
              <w:spacing w:after="0"/>
              <w:rPr>
                <w:sz w:val="20"/>
                <w:szCs w:val="20"/>
                <w:color w:val="auto"/>
              </w:rPr>
            </w:pPr>
            <w:r>
              <w:rPr>
                <w:rFonts w:ascii="Arial" w:cs="Arial" w:eastAsia="Arial" w:hAnsi="Arial"/>
                <w:sz w:val="18"/>
                <w:szCs w:val="18"/>
                <w:color w:val="auto"/>
              </w:rPr>
              <w:t>May 17,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30.625</w:t>
            </w:r>
          </w:p>
        </w:tc>
      </w:tr>
      <w:tr>
        <w:trPr>
          <w:trHeight w:val="175"/>
        </w:trPr>
        <w:tc>
          <w:tcPr>
            <w:tcW w:w="3880" w:type="dxa"/>
            <w:vAlign w:val="bottom"/>
            <w:tcBorders>
              <w:bottom w:val="single" w:sz="8" w:color="auto"/>
            </w:tcBorders>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23"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November 1, 2021 for the period from May 15, 2021 through November 14, 2021.</w:t>
      </w:r>
    </w:p>
    <w:p>
      <w:pPr>
        <w:spacing w:after="0" w:line="33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At September 30, 2021, approximately $18 million of accrued distributions payable to our Series B preferred unitholders was included in “Other current liabilities” on our Condensed Consolidated Balance Sheet.</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Common Unit Distributions</w:t>
      </w:r>
      <w:r>
        <w:rPr>
          <w:rFonts w:ascii="Arial" w:cs="Arial" w:eastAsia="Arial" w:hAnsi="Arial"/>
          <w:sz w:val="18"/>
          <w:szCs w:val="18"/>
          <w:color w:val="auto"/>
        </w:rPr>
        <w:t>. The following table details distributions to our common unitholders paid during or pertaining to the first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2021 (in millions, except per unit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6"/>
        </w:trPr>
        <w:tc>
          <w:tcPr>
            <w:tcW w:w="3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Common Unitholders</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6"/>
              <w:spacing w:after="0"/>
              <w:rPr>
                <w:sz w:val="20"/>
                <w:szCs w:val="20"/>
                <w:color w:val="auto"/>
              </w:rPr>
            </w:pPr>
            <w:r>
              <w:rPr>
                <w:rFonts w:ascii="Arial" w:cs="Arial" w:eastAsia="Arial" w:hAnsi="Arial"/>
                <w:sz w:val="14"/>
                <w:szCs w:val="14"/>
                <w:b w:val="1"/>
                <w:bCs w:val="1"/>
                <w:color w:val="auto"/>
                <w:w w:val="94"/>
              </w:rPr>
              <w:t>Cash Distribution per</w:t>
            </w:r>
          </w:p>
        </w:tc>
      </w:tr>
      <w:tr>
        <w:trPr>
          <w:trHeight w:val="201"/>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60" w:type="dxa"/>
            <w:vAlign w:val="bottom"/>
          </w:tcPr>
          <w:p>
            <w:pPr>
              <w:jc w:val="right"/>
              <w:ind w:right="96"/>
              <w:spacing w:after="0"/>
              <w:rPr>
                <w:sz w:val="20"/>
                <w:szCs w:val="20"/>
                <w:color w:val="auto"/>
              </w:rPr>
            </w:pPr>
            <w:r>
              <w:rPr>
                <w:rFonts w:ascii="Arial" w:cs="Arial" w:eastAsia="Arial" w:hAnsi="Arial"/>
                <w:sz w:val="14"/>
                <w:szCs w:val="14"/>
                <w:b w:val="1"/>
                <w:bCs w:val="1"/>
                <w:color w:val="auto"/>
              </w:rPr>
              <w:t>Public</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rPr>
              <w:t>AAP</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256"/>
              <w:spacing w:after="0"/>
              <w:rPr>
                <w:sz w:val="20"/>
                <w:szCs w:val="20"/>
                <w:color w:val="auto"/>
              </w:rPr>
            </w:pPr>
            <w:r>
              <w:rPr>
                <w:rFonts w:ascii="Arial" w:cs="Arial" w:eastAsia="Arial" w:hAnsi="Arial"/>
                <w:sz w:val="14"/>
                <w:szCs w:val="14"/>
                <w:b w:val="1"/>
                <w:bCs w:val="1"/>
                <w:color w:val="auto"/>
              </w:rPr>
              <w:t>Common Unit</w:t>
            </w:r>
          </w:p>
        </w:tc>
      </w:tr>
      <w:tr>
        <w:trPr>
          <w:trHeight w:val="224"/>
        </w:trPr>
        <w:tc>
          <w:tcPr>
            <w:tcW w:w="440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November 12,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August 13, 2021</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240" w:type="dxa"/>
            <w:vAlign w:val="bottom"/>
          </w:tcPr>
          <w:p>
            <w:pPr>
              <w:jc w:val="right"/>
              <w:ind w:right="1056"/>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May 14, 2021</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8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right w:val="single" w:sz="8" w:color="auto"/>
            </w:tcBorders>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29"/>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February 12, 2021</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240" w:type="dxa"/>
            <w:vAlign w:val="bottom"/>
          </w:tcPr>
          <w:p>
            <w:pPr>
              <w:jc w:val="right"/>
              <w:ind w:right="1056"/>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162"/>
        </w:trPr>
        <w:tc>
          <w:tcPr>
            <w:tcW w:w="38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12"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October 29, 2021 for the period from July 1, 2021 through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5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During the nine months ended September 30, 2021, we paid distributions of $10 million to noncontrolling interests in Red River Pipeline Company LLC.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commodity price risk,</w:t>
      </w:r>
    </w:p>
    <w:p>
      <w:pPr>
        <w:ind w:firstLine="8"/>
        <w:spacing w:after="0" w:line="268" w:lineRule="auto"/>
        <w:tabs>
          <w:tab w:leader="none" w:pos="2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7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260" w:firstLine="607"/>
        <w:spacing w:after="0" w:line="259" w:lineRule="auto"/>
        <w:rPr>
          <w:sz w:val="20"/>
          <w:szCs w:val="20"/>
          <w:color w:val="auto"/>
        </w:rPr>
      </w:pPr>
      <w:r>
        <w:rPr>
          <w:rFonts w:ascii="Arial" w:cs="Arial" w:eastAsia="Arial" w:hAnsi="Arial"/>
          <w:sz w:val="18"/>
          <w:szCs w:val="18"/>
          <w:color w:val="auto"/>
        </w:rPr>
        <w:t>At September 30, 2021 and December 31, 2020,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can be divided into the following general categories:</w:t>
      </w:r>
    </w:p>
    <w:p>
      <w:pPr>
        <w:spacing w:after="0" w:line="184"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2021, net derivative positions related to these activities included:</w:t>
      </w:r>
    </w:p>
    <w:p>
      <w:pPr>
        <w:spacing w:after="0" w:line="146" w:lineRule="exact"/>
        <w:rPr>
          <w:sz w:val="20"/>
          <w:szCs w:val="20"/>
          <w:color w:val="auto"/>
        </w:rPr>
      </w:pPr>
    </w:p>
    <w:p>
      <w:pPr>
        <w:ind w:left="980" w:right="4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long position of 10.7 million barrels associated with our crude oil purchases, which was unwound ratably during October 2021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short time spread position of 1.4 million barrels, which hedges a portion of our anticipated crude oil lease gathering purchases through December 2022.</w:t>
      </w:r>
    </w:p>
    <w:p>
      <w:pPr>
        <w:spacing w:after="0" w:line="116"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crude oil basis spread position of 11.0 million barrels at multiple locations through December 2022. These derivatives allow us to lock in grade and location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net short position of 16.5 million barrels through December 2023 related to anticipated net sales of crude oil and NGL inventory.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September 30, 2021:</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Notional Volume</w:t>
            </w:r>
          </w:p>
        </w:tc>
        <w:tc>
          <w:tcPr>
            <w:tcW w:w="2180" w:type="dxa"/>
            <w:vAlign w:val="bottom"/>
          </w:tcPr>
          <w:p>
            <w:pPr>
              <w:spacing w:after="0"/>
              <w:rPr>
                <w:sz w:val="16"/>
                <w:szCs w:val="16"/>
                <w:color w:val="auto"/>
              </w:rPr>
            </w:pPr>
          </w:p>
        </w:tc>
      </w:tr>
      <w:tr>
        <w:trPr>
          <w:trHeight w:val="195"/>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2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Natural gas purchases</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67.4 Bcf</w:t>
            </w:r>
          </w:p>
        </w:tc>
        <w:tc>
          <w:tcPr>
            <w:tcW w:w="1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2023</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Propane sales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(12.6)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r>
        <w:trPr>
          <w:trHeight w:val="23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Butane sales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(1.9)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2023</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Condensate sales (WTI position)</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(2.5)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r>
        <w:trPr>
          <w:trHeight w:val="229"/>
        </w:trPr>
        <w:tc>
          <w:tcPr>
            <w:tcW w:w="66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8.9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304"/>
        </w:trPr>
        <w:tc>
          <w:tcPr>
            <w:tcW w:w="6660" w:type="dxa"/>
            <w:vAlign w:val="bottom"/>
          </w:tcPr>
          <w:p>
            <w:pPr>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0.7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92"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4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w w:val="96"/>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05"/>
        </w:trPr>
        <w:tc>
          <w:tcPr>
            <w:tcW w:w="58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83"/>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140" w:type="dxa"/>
            <w:vAlign w:val="bottom"/>
          </w:tcPr>
          <w:p>
            <w:pPr>
              <w:spacing w:after="0"/>
              <w:rPr>
                <w:sz w:val="24"/>
                <w:szCs w:val="24"/>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3"/>
              </w:rPr>
              <w:t>(50)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receivable/(payable)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Effect of</w:t>
            </w:r>
          </w:p>
        </w:tc>
        <w:tc>
          <w:tcPr>
            <w:tcW w:w="140" w:type="dxa"/>
            <w:vAlign w:val="bottom"/>
          </w:tcPr>
          <w:p>
            <w:pPr>
              <w:spacing w:after="0"/>
              <w:rPr>
                <w:sz w:val="11"/>
                <w:szCs w:val="11"/>
                <w:color w:val="auto"/>
              </w:rPr>
            </w:pPr>
          </w:p>
        </w:tc>
        <w:tc>
          <w:tcPr>
            <w:tcW w:w="10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1"/>
                <w:szCs w:val="11"/>
                <w:color w:val="auto"/>
              </w:rPr>
            </w:pPr>
          </w:p>
        </w:tc>
        <w:tc>
          <w:tcPr>
            <w:tcW w:w="18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40" w:type="dxa"/>
            <w:vAlign w:val="bottom"/>
          </w:tcPr>
          <w:p>
            <w:pPr>
              <w:spacing w:after="0"/>
              <w:rPr>
                <w:sz w:val="8"/>
                <w:szCs w:val="8"/>
                <w:color w:val="auto"/>
              </w:rPr>
            </w:pPr>
          </w:p>
        </w:tc>
        <w:tc>
          <w:tcPr>
            <w:tcW w:w="1060" w:type="dxa"/>
            <w:vAlign w:val="bottom"/>
            <w:gridSpan w:val="3"/>
          </w:tcPr>
          <w:p>
            <w:pPr>
              <w:jc w:val="center"/>
              <w:ind w:right="340"/>
              <w:spacing w:after="0" w:line="102" w:lineRule="exact"/>
              <w:rPr>
                <w:sz w:val="20"/>
                <w:szCs w:val="20"/>
                <w:color w:val="auto"/>
              </w:rPr>
            </w:pPr>
            <w:r>
              <w:rPr>
                <w:rFonts w:ascii="Arial" w:cs="Arial" w:eastAsia="Arial" w:hAnsi="Arial"/>
                <w:sz w:val="11"/>
                <w:szCs w:val="11"/>
                <w:b w:val="1"/>
                <w:bCs w:val="1"/>
                <w:color w:val="auto"/>
              </w:rPr>
              <w:t>the Balance</w:t>
            </w:r>
          </w:p>
        </w:tc>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Netting</w:t>
            </w:r>
          </w:p>
        </w:tc>
        <w:tc>
          <w:tcPr>
            <w:tcW w:w="140" w:type="dxa"/>
            <w:vAlign w:val="bottom"/>
          </w:tcPr>
          <w:p>
            <w:pPr>
              <w:spacing w:after="0"/>
              <w:rPr>
                <w:sz w:val="17"/>
                <w:szCs w:val="17"/>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Sheet</w:t>
            </w: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terms of our outstanding interest rate derivatives as of September 30, 2021 (notional amounts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Expected</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 Rate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760" w:type="dxa"/>
            <w:vAlign w:val="bottom"/>
            <w:gridSpan w:val="2"/>
            <w:vMerge w:val="continue"/>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Derivatives Employed</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Termination Date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Locked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70"/>
        </w:trPr>
        <w:tc>
          <w:tcPr>
            <w:tcW w:w="26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6/15/2023</w:t>
            </w: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(30-year)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4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8 forward starting swaps</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92"/>
              </w:rPr>
              <w:t>6/14/2024</w:t>
            </w:r>
          </w:p>
        </w:tc>
        <w:tc>
          <w:tcPr>
            <w:tcW w:w="12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2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(30-year)</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September 30, 2021, there was a net loss of $194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2054 as the underlying hedged transactions impact earnings. A portion of these amounts is based on market prices as of September 30, 2021; thus, actual amounts to be reclassified will differ and could vary materially as a result of changes in market conditions.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6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4"/>
              </w:rPr>
              <w:t>Nine Months Ended</w:t>
            </w:r>
          </w:p>
        </w:tc>
        <w:tc>
          <w:tcPr>
            <w:tcW w:w="400" w:type="dxa"/>
            <w:vAlign w:val="bottom"/>
          </w:tcPr>
          <w:p>
            <w:pPr>
              <w:spacing w:after="0"/>
              <w:rPr>
                <w:sz w:val="14"/>
                <w:szCs w:val="14"/>
                <w:color w:val="auto"/>
              </w:rPr>
            </w:pPr>
          </w:p>
        </w:tc>
      </w:tr>
      <w:tr>
        <w:trPr>
          <w:trHeight w:val="188"/>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4"/>
                <w:szCs w:val="14"/>
                <w:b w:val="1"/>
                <w:bCs w:val="1"/>
                <w:color w:val="auto"/>
                <w:w w:val="89"/>
              </w:rPr>
              <w:t>September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bl>
    <w:p>
      <w:pPr>
        <w:spacing w:after="0" w:line="32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At September 30, 2021, the net fair value of our interest rate hedges, which were included in “Other long-term assets, net” on our Condensed Consolidated Balance Sheet, totaled $81 million. At December 31, 2020, the net fair value of these hedges totaled $46 million and was included in “Other long-term assets, net.”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4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2021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24"/>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Forward exchange contracts that exchange CAD for USD:</w:t>
            </w:r>
          </w:p>
        </w:tc>
        <w:tc>
          <w:tcPr>
            <w:tcW w:w="1540" w:type="dxa"/>
            <w:vAlign w:val="bottom"/>
            <w:tcBorders>
              <w:top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2021</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$1.00 - $1.27</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These derivatives are not designated in a hedging relationship for accounting purposes. As such, changes in fair value are recognized in earnings as a component of Supply and Logistics segment revenues. For the three months ended September 30, 2021 and 2020, the amounts recognized in earnings for our foreign currency derivatives were a loss of $3 million and a gain of $2 million, respectively. For the nine months ended September 30, 2021 and 2020, the amounts recognized in earnings for our foreign currency derivatives were a gain of less than $1 million and a loss of $2 million, respectively.</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At September 30, 2021 and December 31, 2020, the net fair value of these foreign currency derivatives, which was included in “Other current assets” on our Condensed Consolidated Balance Sheets, totaled $1 million and $2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180" w:firstLine="648"/>
        <w:spacing w:after="0" w:line="284" w:lineRule="auto"/>
        <w:rPr>
          <w:sz w:val="20"/>
          <w:szCs w:val="20"/>
          <w:color w:val="auto"/>
        </w:rPr>
      </w:pPr>
      <w:r>
        <w:rPr>
          <w:rFonts w:ascii="Arial" w:cs="Arial" w:eastAsia="Arial" w:hAnsi="Arial"/>
          <w:sz w:val="16"/>
          <w:szCs w:val="16"/>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This embedded derivative is not designated in a hedging relationship for accounting purposes and corresponding changes in fair value are recognized in “Other expense, net” in our Condensed Consolidated Statement of Operations. For the three months ended September 30, 2021 and 2020, we recognized a gain of $4 million and a loss of</w:t>
      </w:r>
    </w:p>
    <w:p>
      <w:pPr>
        <w:spacing w:after="0" w:line="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$10 million, respectively. For the nine months ended September 30, 2021 and 2020, we recognized net gains of $13 million and $7 million, respectively. The fair value of the Preferred Distribution Rate Reset Option, which was included in “Other long-term liabilities and deferred credits” on our Condensed Consolidated Balance Sheets, totaled $1 million and $14 million at September 30, 2021 and December 31, 2020, respectively. See Note 12 to our Consolidated Financial Statements included in Part IV of our 2020 Annual Report on Form 10-K for additional information regarding our Series A preferred units and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September 30, 2021</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w w:val="95"/>
              </w:rPr>
              <w:t>Fair Value as of December 31, 2020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93"/>
              </w:rPr>
              <w:t>(19)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93"/>
              </w:rPr>
              <w:t>(15)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Interest rate derivatives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ind w:left="135"/>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35"/>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ind w:left="135"/>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center"/>
              <w:ind w:left="233"/>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93"/>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9"/>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93"/>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860"/>
        <w:spacing w:after="0" w:line="308" w:lineRule="auto"/>
        <w:rPr>
          <w:rFonts w:ascii="Arial" w:cs="Arial" w:eastAsia="Arial" w:hAnsi="Arial"/>
          <w:sz w:val="23"/>
          <w:szCs w:val="23"/>
          <w:color w:val="auto"/>
          <w:vertAlign w:val="superscript"/>
        </w:rPr>
      </w:pPr>
      <w:r>
        <w:rPr>
          <w:rFonts w:ascii="Arial" w:cs="Arial" w:eastAsia="Arial" w:hAnsi="Arial"/>
          <w:sz w:val="17"/>
          <w:szCs w:val="17"/>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46" w:lineRule="exact"/>
        <w:rPr>
          <w:rFonts w:ascii="Arial" w:cs="Arial" w:eastAsia="Arial" w:hAnsi="Arial"/>
          <w:sz w:val="23"/>
          <w:szCs w:val="23"/>
          <w:color w:val="auto"/>
          <w:vertAlign w:val="superscript"/>
        </w:rPr>
      </w:pPr>
    </w:p>
    <w:p>
      <w:pPr>
        <w:ind w:left="660" w:right="12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214" w:lineRule="exact"/>
        <w:rPr>
          <w:rFonts w:ascii="Arial" w:cs="Arial" w:eastAsia="Arial" w:hAnsi="Arial"/>
          <w:sz w:val="23"/>
          <w:szCs w:val="23"/>
          <w:color w:val="auto"/>
          <w:vertAlign w:val="superscript"/>
        </w:rPr>
      </w:pPr>
    </w:p>
    <w:p>
      <w:pPr>
        <w:jc w:val="both"/>
        <w:ind w:left="660" w:right="340"/>
        <w:spacing w:after="0" w:line="301" w:lineRule="auto"/>
        <w:rPr>
          <w:rFonts w:ascii="Arial" w:cs="Arial" w:eastAsia="Arial" w:hAnsi="Arial"/>
          <w:sz w:val="23"/>
          <w:szCs w:val="23"/>
          <w:color w:val="auto"/>
          <w:vertAlign w:val="superscript"/>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2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Net gains/(losses) for the period included in earnings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2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0"/>
              <w:spacing w:after="0" w:line="176" w:lineRule="exact"/>
              <w:rPr>
                <w:sz w:val="20"/>
                <w:szCs w:val="20"/>
                <w:color w:val="auto"/>
              </w:rPr>
            </w:pPr>
            <w:r>
              <w:rPr>
                <w:rFonts w:ascii="Arial" w:cs="Arial" w:eastAsia="Arial" w:hAnsi="Arial"/>
                <w:sz w:val="18"/>
                <w:szCs w:val="18"/>
                <w:color w:val="auto"/>
                <w:w w:val="92"/>
              </w:rPr>
              <w:t>Change in unrealized losses included in earnings relating to Level 3 derivatives</w:t>
            </w:r>
          </w:p>
        </w:tc>
        <w:tc>
          <w:tcPr>
            <w:tcW w:w="820" w:type="dxa"/>
            <w:vAlign w:val="bottom"/>
            <w:vMerge w:val="restart"/>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860" w:type="dxa"/>
            <w:vAlign w:val="bottom"/>
            <w:vMerge w:val="restart"/>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still held at the end of the period</w:t>
            </w:r>
          </w:p>
        </w:tc>
        <w:tc>
          <w:tcPr>
            <w:tcW w:w="82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2020 Annual Report on Form 10-K for a complete discussion of related parties, including the determination of our related parties and nature of involvement with such related parties.</w:t>
      </w:r>
    </w:p>
    <w:p>
      <w:pPr>
        <w:spacing w:after="0" w:line="19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and effective as of August 19, 2021, the Board of Directors (the “Board”) of PAGP GP approved and adopted an amendment to PAGP GP’s limited liability company agreement (the “Amendment”) which eliminated all previously negotiated “director designation” rights and requires that all directors be subject to public election, including Kayne Anderson Capital Advisors, L.P.’s (“Kayne Anderson”) legacy contractual right to designate an individual to serve on the Board without being subject to public election. The Amendment also eliminated all previously negotiated rights, including Kayne Anderson’s right, to appoint a Board observer under certain circumstances. As a result of these changes, we no longer recognize Kayne Anderson and its affiliates as related parties.</w:t>
      </w:r>
    </w:p>
    <w:p>
      <w:pPr>
        <w:spacing w:after="0" w:line="21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the three and nine months ended September 30, 2021 and 2020,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8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r>
      <w:tr>
        <w:trPr>
          <w:trHeight w:val="188"/>
        </w:trPr>
        <w:tc>
          <w:tcPr>
            <w:tcW w:w="3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r>
      <w:tr>
        <w:trPr>
          <w:trHeight w:val="224"/>
        </w:trPr>
        <w:tc>
          <w:tcPr>
            <w:tcW w:w="572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38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30"/>
        </w:trPr>
        <w:tc>
          <w:tcPr>
            <w:tcW w:w="57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339</w:t>
            </w:r>
          </w:p>
        </w:tc>
      </w:tr>
      <w:tr>
        <w:trPr>
          <w:trHeight w:val="162"/>
        </w:trPr>
        <w:tc>
          <w:tcPr>
            <w:tcW w:w="3880" w:type="dxa"/>
            <w:vAlign w:val="bottom"/>
            <w:tcBorders>
              <w:bottom w:val="single" w:sz="8" w:color="auto"/>
            </w:tcBorders>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134" w:lineRule="exact"/>
        <w:rPr>
          <w:sz w:val="20"/>
          <w:szCs w:val="20"/>
          <w:color w:val="auto"/>
        </w:rPr>
      </w:pPr>
    </w:p>
    <w:p>
      <w:pPr>
        <w:ind w:left="660" w:right="80" w:hanging="652"/>
        <w:spacing w:after="0" w:line="227"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38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176"/>
        </w:trPr>
        <w:tc>
          <w:tcPr>
            <w:tcW w:w="388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75" w:lineRule="exact"/>
        <w:rPr>
          <w:sz w:val="20"/>
          <w:szCs w:val="20"/>
          <w:color w:val="auto"/>
        </w:rPr>
      </w:pPr>
    </w:p>
    <w:p>
      <w:pPr>
        <w:ind w:left="660" w:right="80" w:hanging="652"/>
        <w:spacing w:after="0" w:line="227" w:lineRule="auto"/>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40" w:lineRule="exact"/>
        <w:rPr>
          <w:rFonts w:ascii="Arial" w:cs="Arial" w:eastAsia="Arial" w:hAnsi="Arial"/>
          <w:sz w:val="23"/>
          <w:szCs w:val="23"/>
          <w:color w:val="auto"/>
          <w:vertAlign w:val="superscript"/>
        </w:rPr>
      </w:pPr>
    </w:p>
    <w:p>
      <w:pPr>
        <w:ind w:left="660" w:right="200" w:hanging="652"/>
        <w:spacing w:after="0" w:line="234" w:lineRule="auto"/>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9"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September 30, 2021, our estimated undiscounted reserve for environmental liabilities (excluding liabilities related to the Line 901 incident, as discussed further below) totaled $54 million, of which $9 million was classified as short-term and $45 million was classified as long-term. At December 31, 2020, our estimated undiscounted reserve for environmental liabilities (excluding liabilities related to the Line 901 incident) totaled $55 million, of which $8 million was classified as short-term and $47 million was classified as long-term. Such short-term liabilities are reflected in “Other current liabilities” and long-term liabilities are reflected in “Other long-term liabilities and deferred credits” on our Condensed Consolidated Balance Sheets. At September 30, 2021 and December 31, 2020, we had recorded receivables (excluding receivables related to the Line 901 incident) totaling $12 million and $6 million, respectively, for amounts probable of recovery under insurance and from third parties under indemnification agreements, $1 million of which for each period is reflected in “Other long-term assets, net” and the remainder is reflected in “Trade accounts receivable and other receivables, net” on our Condensed Consolidated Balance Sheets.</w:t>
      </w:r>
    </w:p>
    <w:p>
      <w:pPr>
        <w:spacing w:after="0" w:line="18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regulatory claims related to the incident.</w:t>
      </w:r>
    </w:p>
    <w:p>
      <w:pPr>
        <w:spacing w:after="0" w:line="19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recently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has filed a Notice of Appeal indicating that it intends to appeal the Court’s rulings.</w:t>
      </w:r>
    </w:p>
    <w:p>
      <w:pPr>
        <w:spacing w:after="0" w:line="18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We are vigorously defending against those claims. A September 2020 trial date initially set by the Court has been postponed due to COVID-19 related trial suspensions.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19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four unitholder derivative lawsuits were filed by certain purported investors in the Partnership against PAGP and certain of the Partnership’s affiliates, officers and directors. After various claims were either dismissed or consolidated, one proceeding against PAGP remains pending in Delaware Chancery Court. Generally, the plaintiffs claim that PAGP failed to exercise proper oversight over the Partnership’s pipeline integrity efforts. We will continue to vigorously defend against the claim. No trial date has been set in this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Remaining claims include claims for lost revenue or profit asserted by a former oil producer that declared bankruptcy and shut in its offshore production platform following the Line 901 incident, a state agency that received royalties on oil produced from that platform until it was abandoned by its owner, and various companies and individuals who provided labor, goods, or services associated with oil production activities they claim were disrupted following the Line 901 incident. We are vigorously defending these suits. We may be subject to additional claims and lawsuits, which could materially impact the liabilities and costs we currently expect to incur as a result of the Line 901 incident.</w:t>
      </w:r>
    </w:p>
    <w:p>
      <w:pPr>
        <w:spacing w:after="0" w:line="16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Taking the foregoing into account, as of September 30, 2021, we estimate that the aggregate total costs we have incurred or will incur with respect to the Line 901 incident will be approximately $485 million, which includes actual and projected emergency response and clean-up costs, natural resource damage assessments, fines and penalties payable pursuant to the Consent Decree and certain third party claims settlements, as well as estimates for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 of September 30, 2021, we had a remaining undiscounted gross liability of $103 million related to this event, which is reflected in “Trade accounts payable” and “Other current liabilities” on our Condensed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September 30, 2021, we had collected, subject to customary reservations, $250 million out of the approximate $360 million of release costs that we believe are probable of recovery from insurance carriers, net of deductibles. Therefore, as of September 30, 2021, we have recognized a receivable of approximately $110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2020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1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11"/>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2021</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29,089</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652"/>
        <w:spacing w:after="0" w:line="276" w:lineRule="auto"/>
        <w:tabs>
          <w:tab w:leader="none" w:pos="64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Transportation revenues from External customers include tariff revenue from transporting volumes associated with certain inventory exchanges with our customers where our Supply and Logistics segment has transacted the inventory exchange and serves as the shipper on our pipeline systems. See Note 3 to our Consolidated Financial Statements included in Part IV of our 2020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right="160" w:hanging="652"/>
        <w:spacing w:after="0" w:line="269" w:lineRule="auto"/>
        <w:tabs>
          <w:tab w:leader="none" w:pos="648"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PAA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76"/>
        </w:trPr>
        <w:tc>
          <w:tcPr>
            <w:tcW w:w="586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3"/>
              </w:rPr>
              <w:t>Gains/(losses) from derivative activities and inventory valuation adjustments</w:t>
            </w:r>
          </w:p>
        </w:tc>
        <w:tc>
          <w:tcPr>
            <w:tcW w:w="8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62"/>
        </w:trPr>
        <w:tc>
          <w:tcPr>
            <w:tcW w:w="3880" w:type="dxa"/>
            <w:vAlign w:val="bottom"/>
          </w:tcPr>
          <w:p>
            <w:pPr>
              <w:ind w:left="360"/>
              <w:spacing w:after="0"/>
              <w:rPr>
                <w:sz w:val="20"/>
                <w:szCs w:val="20"/>
                <w:color w:val="auto"/>
              </w:rPr>
            </w:pPr>
            <w:r>
              <w:rPr>
                <w:rFonts w:ascii="Arial" w:cs="Arial" w:eastAsia="Arial" w:hAnsi="Arial"/>
                <w:sz w:val="12"/>
                <w:szCs w:val="12"/>
                <w:color w:val="auto"/>
              </w:rPr>
              <w:t>(3)</w:t>
            </w: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Significant transaction-related expenses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(178)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Goodwill impairment losses</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(106)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Income/(loss) before tax</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PAA</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ind w:left="20" w:right="940" w:hanging="11"/>
        <w:spacing w:after="0" w:line="277" w:lineRule="auto"/>
        <w:rPr>
          <w:sz w:val="20"/>
          <w:szCs w:val="20"/>
          <w:color w:val="auto"/>
        </w:rPr>
      </w:pPr>
      <w:r>
        <w:rPr>
          <w:rFonts w:ascii="Arial" w:cs="Arial" w:eastAsia="Arial" w:hAnsi="Arial"/>
          <w:sz w:val="18"/>
          <w:szCs w:val="18"/>
          <w:color w:val="auto"/>
        </w:rPr>
        <w:t>Includes our proportionate share of the depreciation and amortization expense (including write-downs related to cancelled projects) of unconsolidated entities.</w:t>
      </w:r>
    </w:p>
    <w:p>
      <w:pPr>
        <w:spacing w:after="0" w:line="62" w:lineRule="exact"/>
        <w:rPr>
          <w:sz w:val="20"/>
          <w:szCs w:val="20"/>
          <w:color w:val="auto"/>
        </w:rPr>
      </w:pPr>
    </w:p>
    <w:p>
      <w:pPr>
        <w:ind w:left="20" w:right="6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investing activities, such as the purchase of linefill.</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53" w:lineRule="exact"/>
        <w:rPr>
          <w:sz w:val="20"/>
          <w:szCs w:val="20"/>
          <w:color w:val="auto"/>
        </w:rPr>
      </w:pPr>
    </w:p>
    <w:p>
      <w:pPr>
        <w:ind w:right="8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right="4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settle in cash is not excluded in determining Segment Adjusted EBITDA. See Note 18 to our Consolidated Financial Statements included in Part IV of our 2020 Annual Report on Form 10-K for a discussion regarding our equity-indexed compensation plans.</w:t>
      </w:r>
    </w:p>
    <w:p>
      <w:pPr>
        <w:spacing w:after="0" w:line="87" w:lineRule="exact"/>
        <w:rPr>
          <w:sz w:val="20"/>
          <w:szCs w:val="20"/>
          <w:color w:val="auto"/>
        </w:rPr>
      </w:pPr>
    </w:p>
    <w:p>
      <w:pPr>
        <w:ind w:hanging="11"/>
        <w:spacing w:after="0" w:line="279" w:lineRule="auto"/>
        <w:rPr>
          <w:sz w:val="20"/>
          <w:szCs w:val="20"/>
          <w:color w:val="auto"/>
        </w:rPr>
      </w:pPr>
      <w:r>
        <w:rPr>
          <w:rFonts w:ascii="Arial" w:cs="Arial" w:eastAsia="Arial" w:hAnsi="Arial"/>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 See Note 8 for discussion regarding our currency exchange rate risk hedging activities.</w:t>
      </w:r>
    </w:p>
    <w:p>
      <w:pPr>
        <w:spacing w:after="0" w:line="63" w:lineRule="exact"/>
        <w:rPr>
          <w:sz w:val="20"/>
          <w:szCs w:val="20"/>
          <w:color w:val="auto"/>
        </w:rPr>
      </w:pPr>
    </w:p>
    <w:p>
      <w:pPr>
        <w:ind w:right="160" w:hanging="11"/>
        <w:spacing w:after="0" w:line="311" w:lineRule="auto"/>
        <w:rPr>
          <w:sz w:val="20"/>
          <w:szCs w:val="20"/>
          <w:color w:val="auto"/>
        </w:rPr>
      </w:pPr>
      <w:r>
        <w:rPr>
          <w:rFonts w:ascii="Arial" w:cs="Arial" w:eastAsia="Arial" w:hAnsi="Arial"/>
          <w:sz w:val="16"/>
          <w:szCs w:val="16"/>
          <w:color w:val="auto"/>
        </w:rPr>
        <w:t>Includes expenses associated with the Plains Oryx Permian Basin joint venture transaction, which closed on October 5, 2021, and the acquisition of Felix Midstream LLC in 2020. See Note 12 for further discussion of the joint venture transaction and Note 7 to our Consolidated Financial Statements included in Part IV of our 2020 Annual Report on Form 10-K for additional discussion of the Felix Midstream LLC acquisition.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Acquisitions, Divestitures and Other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Exchange</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June 2021, we closed on an asset exchange agreement (the “Asset Exchange”) with Inter Pipeline Ltd., through which we acquired additional interests in two straddle plants included in our Facilities segment that we currently operate, in exchange for a pipeline and related storage and truck offload facilities previously included in our Transportation segment and cash consideration of $32 million, including working capital and other adjustments. We recognized a gain of $106 million on the divestiture of the pipeline and related storage and truck offload facilities, which is included in “(Gains)/losses on asset sales and asset impairments, net” on our Condensed Consolidated Statement of Operations, based on the difference between the fair value of the divested assets and their carrying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August 2021, we sold our Pine Prairie and Southern Pines natural gas storage facilities, previously included in our Facilities segment, for net proceeds of approximately $850 million, including working capital adjustments. As of June 30, 2021, we classified the assets related to this transaction (primarily “Property and equipment”), valued at the lower of the carrying amount or fair value less costs to sell, of approximately $832 million as assets held for sale with approximately $18 million of deferred losses on hedges remaining in other comprehensive income until the closing of the sale. Upon classification of the assets to held for sale in the second quarter of 2021, we recognized a non-cash impairment loss of approximately $475 million which is included in “(Gains)/losses on asset sales and asset impairments, net” on our Condensed Consolidated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Transaction</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October 5, 2021, we and Oryx Midstream Holdings LLC (“Oryx Midstream”) completed the merger, in a cashless, debt-free transaction, of our respective Permian Basin assets, operations and commercial activities into a newly formed joint venture, Plains Oryx Permian Basin LLC (“Plains Oryx Permian Basin”). Plains Oryx Permian Basin includes all of Oryx Midstream’s Permian Basin assets and, with the exception of our long-haul pipeline systems and certain of our intra-basin terminal assets, the vast majority of our assets located within the Permian Basin. We own 65% of Plains Oryx Permian Basin, operate the combined assets and will reflect Plains Oryx Permian Basin as a consolidated subsidiary in our consolidated financial statements. The initial accounting for this transaction was not complete as of the financial statement issuance date.</w:t>
      </w:r>
    </w:p>
    <w:p>
      <w:pPr>
        <w:spacing w:after="0" w:line="20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Oryx Midstream is a portfolio company of Stonepeak Infrastructure Partners (“Stonepeak”). Affiliates of Stonepeak own approximately 8.9% of our outstanding Series A Preferred Units, which equates to less than 1% of our outstanding common units and common unit equivalents combined.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 (Held and Used)</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nine months ended September 30, 2021, we recognized approximately $220 million of non-cash impairment losses related to certain crude oil storage terminal assets included in our Facilities segment. This amount is reflected in “(Gains)/losses on asset sales and asset impairments, net” on our Condensed Consolidated Statements of Operations.</w:t>
      </w:r>
    </w:p>
    <w:p>
      <w:pPr>
        <w:spacing w:after="0" w:line="211"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Decreased demand for our services related to changing market conditions resulted in decreases in expected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 (which we consider a Level 3 measurement in the fair value hierarchy) was primarily based upon an assumption for the amount for which the relevant assets and land could be sold.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2020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 Our business activities are conducted through three operating segments: Transportation, Facilities and Supply and Logistics.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August 2, 2021, we completed the sale of our Pine Prairie and Southern Pines natural gas storage facilities for net proceeds of approximately $850 million, including working capital adjustments. In connection with the sale, we repaid term loans totaling $200 million.</w:t>
      </w:r>
    </w:p>
    <w:p>
      <w:pPr>
        <w:spacing w:after="0" w:line="19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October 5, 2021, we and Oryx Midstream completed the merger of our respective Permian Basin assets, operations and commercial activities into a newly formed strategic joint venture, Plains Oryx Permian Basin. Plains Oryx Permian Basin includes all of Oryx Midstream’s Permian Basin assets and, with the exception of our long-haul pipeline systems and certain of our intra-basin terminal assets, the vast majority of our assets located within the Permian Basin. We own 65% of Plains Oryx Permian Basin, operate the combined assets and will reflect Plains Oryx Permian Basin as a consolidated subsidiary in our consolidated financial statements. Structured as a debt-free joint venture entity through a cashless transaction, this aligns with our financial and portfolio optimization strategies and is expected to be near-term free cash flow accretive.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first nine months of 2021, we recognized net income of $152 million compared to a net loss of $2.555 billion recognized during the first nine months of 2020. The net loss for the 2020 period was primarily driven by goodwill impairment losses and non-cash impairment charges related to the write-down of certain pipeline and other long-lived assets, certain of our investments in unconsolidated entities, and assets upon classification as held for sale totaling approximately $3.33 billion. In addition, we recognized approximately $233 million of inventory valuation adjustments due to declines in commodity prices during the first quarter of 2020. The comparable nine-month 2021 period includes a net loss on asset sales and asset impairments of $592 million.</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Results from our reporting segments during the first nine months of 2021 decreased from the comparable 2020 period driven primarily by the impact of less favorable crude oil market conditions combined with lower realized NGL margins in our Supply and Logistics segment. In addition, our Facilities segment was unfavorably impacted by reduced NGL capacity utilization and market rates as well as the impact of asset sales. These unfavorable results were partially offset by favorable Transportation segment results that benefited from the collection of deficiency payments associated with minimum volume commitments and lower operating costs.</w:t>
      </w:r>
    </w:p>
    <w:p>
      <w:pPr>
        <w:spacing w:after="0" w:line="21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9"/>
              </w:rPr>
              <w:t>Nine Months Ended</w:t>
            </w:r>
          </w:p>
        </w:tc>
        <w:tc>
          <w:tcPr>
            <w:tcW w:w="260" w:type="dxa"/>
            <w:vAlign w:val="bottom"/>
          </w:tcPr>
          <w:p>
            <w:pPr>
              <w:spacing w:after="0"/>
              <w:rPr>
                <w:sz w:val="14"/>
                <w:szCs w:val="1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w w:val="93"/>
              </w:rPr>
              <w:t xml:space="preserve">Transportation Segment Adjusted EBITDA </w:t>
            </w:r>
            <w:r>
              <w:rPr>
                <w:rFonts w:ascii="Arial" w:cs="Arial" w:eastAsia="Arial" w:hAnsi="Arial"/>
                <w:sz w:val="23"/>
                <w:szCs w:val="23"/>
                <w:color w:val="auto"/>
                <w:w w:val="93"/>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Supply and Logistics Segment Adjusted</w:t>
            </w:r>
          </w:p>
        </w:tc>
        <w:tc>
          <w:tcPr>
            <w:tcW w:w="1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Depreciation and amortization of</w:t>
            </w:r>
          </w:p>
        </w:tc>
        <w:tc>
          <w:tcPr>
            <w:tcW w:w="1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unconsolidated entities</w:t>
            </w:r>
          </w:p>
        </w:tc>
        <w:tc>
          <w:tcPr>
            <w:tcW w:w="18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80"/>
              <w:spacing w:after="0" w:line="176" w:lineRule="exact"/>
              <w:rPr>
                <w:sz w:val="20"/>
                <w:szCs w:val="20"/>
                <w:color w:val="auto"/>
              </w:rPr>
            </w:pPr>
            <w:r>
              <w:rPr>
                <w:rFonts w:ascii="Arial" w:cs="Arial" w:eastAsia="Arial" w:hAnsi="Arial"/>
                <w:sz w:val="18"/>
                <w:szCs w:val="18"/>
                <w:color w:val="auto"/>
              </w:rPr>
              <w:t>Selected items impacting comparability -</w:t>
            </w:r>
          </w:p>
        </w:tc>
        <w:tc>
          <w:tcPr>
            <w:tcW w:w="18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tcPr>
          <w:p>
            <w:pPr>
              <w:ind w:left="240"/>
              <w:spacing w:after="0"/>
              <w:rPr>
                <w:sz w:val="20"/>
                <w:szCs w:val="20"/>
                <w:color w:val="auto"/>
              </w:rPr>
            </w:pPr>
            <w:r>
              <w:rPr>
                <w:rFonts w:ascii="Arial" w:cs="Arial" w:eastAsia="Arial" w:hAnsi="Arial"/>
                <w:sz w:val="18"/>
                <w:szCs w:val="18"/>
                <w:color w:val="auto"/>
              </w:rPr>
              <w:t>Segment Adjusted EBITDA</w:t>
            </w:r>
          </w:p>
        </w:tc>
        <w:tc>
          <w:tcPr>
            <w:tcW w:w="1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5"/>
        </w:trPr>
        <w:tc>
          <w:tcPr>
            <w:tcW w:w="3420" w:type="dxa"/>
            <w:vAlign w:val="bottom"/>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18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1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6"/>
        </w:trPr>
        <w:tc>
          <w:tcPr>
            <w:tcW w:w="3420" w:type="dxa"/>
            <w:vAlign w:val="bottom"/>
          </w:tcPr>
          <w:p>
            <w:pPr>
              <w:ind w:left="20"/>
              <w:spacing w:after="0" w:line="176" w:lineRule="exact"/>
              <w:rPr>
                <w:sz w:val="20"/>
                <w:szCs w:val="20"/>
                <w:color w:val="auto"/>
              </w:rPr>
            </w:pPr>
            <w:r>
              <w:rPr>
                <w:rFonts w:ascii="Arial" w:cs="Arial" w:eastAsia="Arial" w:hAnsi="Arial"/>
                <w:sz w:val="18"/>
                <w:szCs w:val="18"/>
                <w:color w:val="auto"/>
              </w:rPr>
              <w:t>Gain on/(impairment of) investments in</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Net income attributable to noncontrolling</w:t>
            </w:r>
          </w:p>
        </w:tc>
        <w:tc>
          <w:tcPr>
            <w:tcW w:w="1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20"/>
              <w:spacing w:after="0" w:line="176" w:lineRule="exact"/>
              <w:rPr>
                <w:sz w:val="20"/>
                <w:szCs w:val="20"/>
                <w:color w:val="auto"/>
              </w:rPr>
            </w:pPr>
            <w:r>
              <w:rPr>
                <w:rFonts w:ascii="Arial" w:cs="Arial" w:eastAsia="Arial" w:hAnsi="Arial"/>
                <w:sz w:val="18"/>
                <w:szCs w:val="18"/>
                <w:color w:val="auto"/>
              </w:rPr>
              <w:t>Basic and diluted net income/(loss) per</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Arial" w:cs="Arial" w:eastAsia="Arial" w:hAnsi="Arial"/>
                <w:sz w:val="18"/>
                <w:szCs w:val="18"/>
                <w:color w:val="auto"/>
              </w:rPr>
              <w:t>common unit</w:t>
            </w:r>
          </w:p>
        </w:tc>
        <w:tc>
          <w:tcPr>
            <w:tcW w:w="180" w:type="dxa"/>
            <w:vAlign w:val="bottom"/>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Basic and diluted weighted average common</w:t>
            </w:r>
          </w:p>
        </w:tc>
        <w:tc>
          <w:tcPr>
            <w:tcW w:w="1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outstanding</w:t>
            </w:r>
          </w:p>
        </w:tc>
        <w:tc>
          <w:tcPr>
            <w:tcW w:w="18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280" w:hanging="652"/>
        <w:spacing w:after="0" w:line="260" w:lineRule="auto"/>
        <w:tabs>
          <w:tab w:leader="none" w:pos="648"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11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2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primary additional measures used by management are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w:t>
      </w:r>
    </w:p>
    <w:p>
      <w:pPr>
        <w:spacing w:after="0" w:line="18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Income/(Loss), and Free Cash Flow and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Resources—Liquidity Measures” for additional information regarding Free Cash Flow and Free Cash Flow after Distributions.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w:t>
      </w:r>
    </w:p>
    <w:p>
      <w:pPr>
        <w:spacing w:after="0" w:line="4" w:lineRule="exact"/>
        <w:rPr>
          <w:sz w:val="20"/>
          <w:szCs w:val="20"/>
          <w:color w:val="auto"/>
        </w:rPr>
      </w:pPr>
    </w:p>
    <w:p>
      <w:pPr>
        <w:ind w:right="220" w:firstLine="8"/>
        <w:spacing w:after="0" w:line="286" w:lineRule="auto"/>
        <w:tabs>
          <w:tab w:leader="none" w:pos="2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tables set forth the reconciliation of the non-GAAP financial performance measures Adjusted EBITDA and Implied DCF from Net Income/(Loss)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5"/>
        </w:trPr>
        <w:tc>
          <w:tcPr>
            <w:tcW w:w="3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30"/>
        </w:trPr>
        <w:tc>
          <w:tcPr>
            <w:tcW w:w="3540" w:type="dxa"/>
            <w:vAlign w:val="bottom"/>
          </w:tcPr>
          <w:p>
            <w:pPr>
              <w:ind w:left="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expense/(benefit)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impairments, net</w:t>
            </w: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80"/>
              <w:spacing w:after="0"/>
              <w:rPr>
                <w:sz w:val="20"/>
                <w:szCs w:val="20"/>
                <w:color w:val="auto"/>
              </w:rPr>
            </w:pPr>
            <w:r>
              <w:rPr>
                <w:rFonts w:ascii="Arial" w:cs="Arial" w:eastAsia="Arial" w:hAnsi="Arial"/>
                <w:sz w:val="18"/>
                <w:szCs w:val="18"/>
                <w:color w:val="auto"/>
              </w:rPr>
              <w:t>Goodwill impairment losses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(Gain on)/impairment of investments in</w:t>
            </w:r>
          </w:p>
        </w:tc>
        <w:tc>
          <w:tcPr>
            <w:tcW w:w="1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unconsolidated entities, net</w:t>
            </w:r>
          </w:p>
        </w:tc>
        <w:tc>
          <w:tcPr>
            <w:tcW w:w="16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0"/>
        </w:trPr>
        <w:tc>
          <w:tcPr>
            <w:tcW w:w="35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Selected Items Impacting Comparability: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w w:val="97"/>
              </w:rPr>
              <w:t>(Gains)/losses from derivative activities and</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300"/>
              <w:spacing w:after="0"/>
              <w:rPr>
                <w:sz w:val="20"/>
                <w:szCs w:val="20"/>
                <w:color w:val="auto"/>
              </w:rPr>
            </w:pPr>
            <w:r>
              <w:rPr>
                <w:rFonts w:ascii="Arial" w:cs="Arial" w:eastAsia="Arial" w:hAnsi="Arial"/>
                <w:sz w:val="18"/>
                <w:szCs w:val="18"/>
                <w:color w:val="auto"/>
              </w:rPr>
              <w:t>inventory valuation adjustments</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inventory costing adjustments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300"/>
              <w:spacing w:after="0"/>
              <w:rPr>
                <w:sz w:val="20"/>
                <w:szCs w:val="20"/>
                <w:color w:val="auto"/>
              </w:rPr>
            </w:pPr>
            <w:r>
              <w:rPr>
                <w:rFonts w:ascii="Arial" w:cs="Arial" w:eastAsia="Arial" w:hAnsi="Arial"/>
                <w:sz w:val="18"/>
                <w:szCs w:val="18"/>
                <w:color w:val="auto"/>
              </w:rPr>
              <w:t>commitments, net</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w w:val="91"/>
              </w:rPr>
              <w:t>Net (gain)/loss on foreign currency revaluation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Significant transaction-related expenses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540" w:type="dxa"/>
            <w:vAlign w:val="bottom"/>
          </w:tcPr>
          <w:p>
            <w:pPr>
              <w:ind w:left="8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w w:val="91"/>
              </w:rPr>
              <w:t>Net (gain)/loss on foreign currency revaluation</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540" w:type="dxa"/>
            <w:vAlign w:val="bottom"/>
          </w:tcPr>
          <w:p>
            <w:pPr>
              <w:ind w:left="300"/>
              <w:spacing w:after="0"/>
              <w:rPr>
                <w:sz w:val="20"/>
                <w:szCs w:val="20"/>
                <w:color w:val="auto"/>
              </w:rPr>
            </w:pPr>
            <w:r>
              <w:rPr>
                <w:rFonts w:ascii="Arial" w:cs="Arial" w:eastAsia="Arial" w:hAnsi="Arial"/>
                <w:sz w:val="12"/>
                <w:szCs w:val="12"/>
                <w:color w:val="auto"/>
              </w:rPr>
              <w:t>(4)</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w w:val="90"/>
              </w:rPr>
              <w:t xml:space="preserve">Net gain on early repayment of senior notes </w:t>
            </w:r>
            <w:r>
              <w:rPr>
                <w:rFonts w:ascii="Arial" w:cs="Arial" w:eastAsia="Arial" w:hAnsi="Arial"/>
                <w:sz w:val="23"/>
                <w:szCs w:val="23"/>
                <w:color w:val="auto"/>
                <w:w w:val="90"/>
                <w:vertAlign w:val="superscript"/>
              </w:rPr>
              <w:t>(5)</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540" w:type="dxa"/>
            <w:vAlign w:val="bottom"/>
          </w:tcPr>
          <w:p>
            <w:pPr>
              <w:ind w:left="8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80"/>
              <w:spacing w:after="0" w:line="163" w:lineRule="exact"/>
              <w:rPr>
                <w:sz w:val="20"/>
                <w:szCs w:val="20"/>
                <w:color w:val="auto"/>
              </w:rPr>
            </w:pPr>
            <w:r>
              <w:rPr>
                <w:rFonts w:ascii="Arial" w:cs="Arial" w:eastAsia="Arial" w:hAnsi="Arial"/>
                <w:sz w:val="18"/>
                <w:szCs w:val="18"/>
                <w:color w:val="auto"/>
                <w:w w:val="91"/>
              </w:rPr>
              <w:t>Interest expense, net of certain non-cash items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62"/>
        </w:trPr>
        <w:tc>
          <w:tcPr>
            <w:tcW w:w="3540" w:type="dxa"/>
            <w:vAlign w:val="bottom"/>
          </w:tcPr>
          <w:p>
            <w:pPr>
              <w:ind w:left="240"/>
              <w:spacing w:after="0"/>
              <w:rPr>
                <w:sz w:val="20"/>
                <w:szCs w:val="20"/>
                <w:color w:val="auto"/>
              </w:rPr>
            </w:pPr>
            <w:r>
              <w:rPr>
                <w:rFonts w:ascii="Arial" w:cs="Arial" w:eastAsia="Arial" w:hAnsi="Arial"/>
                <w:sz w:val="12"/>
                <w:szCs w:val="12"/>
                <w:color w:val="auto"/>
              </w:rPr>
              <w:t>(7)</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(8)</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3540" w:type="dxa"/>
            <w:vAlign w:val="bottom"/>
          </w:tcPr>
          <w:p>
            <w:pPr>
              <w:ind w:left="80"/>
              <w:spacing w:after="0"/>
              <w:rPr>
                <w:sz w:val="20"/>
                <w:szCs w:val="20"/>
                <w:color w:val="auto"/>
              </w:rPr>
            </w:pPr>
            <w:r>
              <w:rPr>
                <w:rFonts w:ascii="Arial" w:cs="Arial" w:eastAsia="Arial" w:hAnsi="Arial"/>
                <w:sz w:val="18"/>
                <w:szCs w:val="18"/>
                <w:color w:val="auto"/>
              </w:rPr>
              <w:t>Current income tax expense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9"/>
              </w:rPr>
              <w:t>Distributions from unconsolidated entities in</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89"/>
              </w:rPr>
              <w:t>excess of/(less than) adjusted equity earnings</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(9)</w:t>
            </w: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(10)</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540" w:type="dxa"/>
            <w:vAlign w:val="bottom"/>
          </w:tcPr>
          <w:p>
            <w:pPr>
              <w:ind w:left="80"/>
              <w:spacing w:after="0" w:line="230"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(10)</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Implied DCF Available to Common Unitholders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80"/>
              <w:spacing w:after="0" w:line="243"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(10)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Implied DCF Excess </w:t>
            </w:r>
            <w:r>
              <w:rPr>
                <w:rFonts w:ascii="Arial" w:cs="Arial" w:eastAsia="Arial" w:hAnsi="Arial"/>
                <w:sz w:val="23"/>
                <w:szCs w:val="23"/>
                <w:color w:val="auto"/>
                <w:vertAlign w:val="superscript"/>
              </w:rPr>
              <w:t>(11)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391"/>
              <w:spacing w:after="0"/>
              <w:rPr>
                <w:sz w:val="20"/>
                <w:szCs w:val="20"/>
                <w:color w:val="auto"/>
              </w:rPr>
            </w:pPr>
            <w:r>
              <w:rPr>
                <w:rFonts w:ascii="Arial" w:cs="Arial" w:eastAsia="Arial" w:hAnsi="Arial"/>
                <w:sz w:val="18"/>
                <w:szCs w:val="18"/>
                <w:color w:val="auto"/>
                <w:w w:val="89"/>
              </w:rPr>
              <w:t>41</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2459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Indicates that variance as a percentage is not meaningful.</w:t>
      </w:r>
    </w:p>
    <w:p>
      <w:pPr>
        <w:spacing w:after="0" w:line="63" w:lineRule="exact"/>
        <w:rPr>
          <w:sz w:val="20"/>
          <w:szCs w:val="20"/>
          <w:color w:val="auto"/>
        </w:rPr>
      </w:pPr>
    </w:p>
    <w:p>
      <w:pPr>
        <w:ind w:left="420" w:right="320" w:hanging="11"/>
        <w:spacing w:after="0" w:line="277" w:lineRule="auto"/>
        <w:rPr>
          <w:sz w:val="20"/>
          <w:szCs w:val="20"/>
          <w:color w:val="auto"/>
        </w:rPr>
      </w:pPr>
      <w:r>
        <w:rPr>
          <w:rFonts w:ascii="Arial" w:cs="Arial" w:eastAsia="Arial" w:hAnsi="Arial"/>
          <w:sz w:val="18"/>
          <w:szCs w:val="18"/>
          <w:color w:val="auto"/>
        </w:rPr>
        <w:t>We exclude our proportionate share of the depreciation and amortization expense (including write-downs related to cancelled projects) of such unconsolidated entities when reviewing Adjusted EBITDA, similar to our consolidated assets.</w:t>
      </w:r>
    </w:p>
    <w:p>
      <w:pPr>
        <w:spacing w:after="0" w:line="62" w:lineRule="exact"/>
        <w:rPr>
          <w:sz w:val="20"/>
          <w:szCs w:val="20"/>
          <w:color w:val="auto"/>
        </w:rPr>
      </w:pPr>
    </w:p>
    <w:p>
      <w:pPr>
        <w:ind w:left="420" w:hanging="11"/>
        <w:spacing w:after="0" w:line="277" w:lineRule="auto"/>
        <w:rPr>
          <w:sz w:val="20"/>
          <w:szCs w:val="20"/>
          <w:color w:val="auto"/>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11 to our Condensed Consolidated Financial Statements.</w:t>
      </w:r>
    </w:p>
    <w:p>
      <w:pPr>
        <w:spacing w:after="0" w:line="62" w:lineRule="exact"/>
        <w:rPr>
          <w:sz w:val="20"/>
          <w:szCs w:val="20"/>
          <w:color w:val="auto"/>
        </w:rPr>
      </w:pPr>
    </w:p>
    <w:p>
      <w:pPr>
        <w:sectPr>
          <w:pgSz w:w="11900" w:h="16838" w:orient="portrait"/>
          <w:cols w:equalWidth="0" w:num="2">
            <w:col w:w="140" w:space="100"/>
            <w:col w:w="10980"/>
          </w:cols>
          <w:pgMar w:left="320" w:top="125" w:right="359" w:bottom="1440" w:gutter="0" w:footer="0" w:header="0"/>
          <w:type w:val="continuous"/>
        </w:sectPr>
      </w:pPr>
    </w:p>
    <w:p>
      <w:pPr>
        <w:ind w:left="660" w:right="20" w:hanging="652"/>
        <w:spacing w:after="0" w:line="238" w:lineRule="auto"/>
        <w:tabs>
          <w:tab w:leader="none" w:pos="64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The Preferred Distribution Rate Reset Option of our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8 to our Condensed Consolidated Financial Statements for additional information regarding the Preferred Distribution Rate Reset Option.</w:t>
      </w:r>
    </w:p>
    <w:p>
      <w:pPr>
        <w:spacing w:after="0" w:line="93" w:lineRule="exact"/>
        <w:rPr>
          <w:rFonts w:ascii="Arial" w:cs="Arial" w:eastAsia="Arial" w:hAnsi="Arial"/>
          <w:sz w:val="23"/>
          <w:szCs w:val="23"/>
          <w:color w:val="auto"/>
          <w:vertAlign w:val="superscript"/>
        </w:rPr>
      </w:pPr>
    </w:p>
    <w:p>
      <w:pPr>
        <w:ind w:left="660" w:hanging="652"/>
        <w:spacing w:after="0" w:line="269" w:lineRule="auto"/>
        <w:tabs>
          <w:tab w:leader="none" w:pos="64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ectPr>
          <w:pgSz w:w="11900" w:h="16838" w:orient="portrait"/>
          <w:cols w:equalWidth="0" w:num="1">
            <w:col w:w="11220"/>
          </w:cols>
          <w:pgMar w:left="320" w:top="125" w:right="35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Includes net gains recognized in connection with the repurchase of our outstanding senior notes on the open market.</w:t>
      </w:r>
    </w:p>
    <w:p>
      <w:pPr>
        <w:spacing w:after="0" w:line="117" w:lineRule="exact"/>
        <w:rPr>
          <w:sz w:val="20"/>
          <w:szCs w:val="20"/>
          <w:color w:val="auto"/>
        </w:rPr>
      </w:pPr>
    </w:p>
    <w:p>
      <w:pPr>
        <w:ind w:left="20" w:right="460" w:hanging="11"/>
        <w:spacing w:after="0" w:line="342" w:lineRule="auto"/>
        <w:rPr>
          <w:sz w:val="20"/>
          <w:szCs w:val="20"/>
          <w:color w:val="auto"/>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140" w:lineRule="exact"/>
        <w:rPr>
          <w:sz w:val="20"/>
          <w:szCs w:val="20"/>
          <w:color w:val="auto"/>
        </w:rPr>
      </w:pPr>
    </w:p>
    <w:p>
      <w:pPr>
        <w:ind w:left="20" w:right="320" w:hanging="11"/>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62" w:lineRule="exact"/>
        <w:rPr>
          <w:sz w:val="20"/>
          <w:szCs w:val="20"/>
          <w:color w:val="auto"/>
        </w:rPr>
      </w:pPr>
    </w:p>
    <w:p>
      <w:pPr>
        <w:ind w:left="20" w:right="840" w:hanging="11"/>
        <w:spacing w:after="0" w:line="263" w:lineRule="auto"/>
        <w:rPr>
          <w:sz w:val="20"/>
          <w:szCs w:val="20"/>
          <w:color w:val="auto"/>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41"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ind w:left="640" w:hanging="632"/>
        <w:spacing w:after="0"/>
        <w:tabs>
          <w:tab w:leader="none" w:pos="64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68" w:lineRule="exact"/>
        <w:rPr>
          <w:rFonts w:ascii="Arial" w:cs="Arial" w:eastAsia="Arial" w:hAnsi="Arial"/>
          <w:sz w:val="23"/>
          <w:szCs w:val="23"/>
          <w:color w:val="auto"/>
          <w:vertAlign w:val="superscript"/>
        </w:rPr>
      </w:pPr>
    </w:p>
    <w:p>
      <w:pPr>
        <w:ind w:left="640" w:hanging="632"/>
        <w:spacing w:after="0" w:line="231" w:lineRule="auto"/>
        <w:tabs>
          <w:tab w:leader="none" w:pos="64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Excess DCF is retained to establish reserves for future distributions, capital expenditures and other partnership purposes.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184"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(including write-downs related to cancelled projects)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11 to our Condensed Consolidated Financial Statements for a reconciliation of Segment Adjusted EBITDA to Net income/(loss) attributable to PAA.</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6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76"/>
        </w:trPr>
        <w:tc>
          <w:tcPr>
            <w:tcW w:w="35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Segment general and administrative expenses</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62"/>
        </w:trPr>
        <w:tc>
          <w:tcPr>
            <w:tcW w:w="3460" w:type="dxa"/>
            <w:vAlign w:val="bottom"/>
          </w:tcPr>
          <w:p>
            <w:pPr>
              <w:ind w:left="18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9"/>
        </w:trPr>
        <w:tc>
          <w:tcPr>
            <w:tcW w:w="3540" w:type="dxa"/>
            <w:vAlign w:val="bottom"/>
            <w:gridSpan w:val="2"/>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Losses from derivative activities and</w:t>
            </w:r>
          </w:p>
        </w:tc>
        <w:tc>
          <w:tcPr>
            <w:tcW w:w="1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4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6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2"/>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18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3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3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4"/>
          </w:tcPr>
          <w:p>
            <w:pPr>
              <w:ind w:left="44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20" w:type="dxa"/>
            <w:vAlign w:val="bottom"/>
            <w:gridSpan w:val="2"/>
          </w:tcPr>
          <w:p>
            <w:pPr>
              <w:ind w:left="20"/>
              <w:spacing w:after="0" w:line="185"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8"/>
                <w:szCs w:val="18"/>
                <w:b w:val="1"/>
                <w:bCs w:val="1"/>
                <w:color w:val="auto"/>
                <w:vertAlign w:val="superscript"/>
              </w:rPr>
              <w:t>(4)</w:t>
            </w:r>
          </w:p>
        </w:tc>
        <w:tc>
          <w:tcPr>
            <w:tcW w:w="82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30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0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Crude oil pipelines (by region):</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52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820" w:type="dxa"/>
            <w:vAlign w:val="bottom"/>
            <w:gridSpan w:val="2"/>
          </w:tcPr>
          <w:p>
            <w:pPr>
              <w:jc w:val="right"/>
              <w:ind w:right="8"/>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820" w:type="dxa"/>
            <w:vAlign w:val="bottom"/>
            <w:gridSpan w:val="2"/>
          </w:tcPr>
          <w:p>
            <w:pPr>
              <w:jc w:val="right"/>
              <w:ind w:right="8"/>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820" w:type="dxa"/>
            <w:vAlign w:val="bottom"/>
            <w:gridSpan w:val="2"/>
          </w:tcPr>
          <w:p>
            <w:pPr>
              <w:jc w:val="right"/>
              <w:ind w:right="8"/>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8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Crude oil pipelines</w:t>
            </w:r>
          </w:p>
        </w:tc>
        <w:tc>
          <w:tcPr>
            <w:tcW w:w="820" w:type="dxa"/>
            <w:vAlign w:val="bottom"/>
            <w:gridSpan w:val="2"/>
          </w:tcPr>
          <w:p>
            <w:pPr>
              <w:jc w:val="right"/>
              <w:ind w:right="8"/>
              <w:spacing w:after="0"/>
              <w:rPr>
                <w:sz w:val="20"/>
                <w:szCs w:val="20"/>
                <w:color w:val="auto"/>
              </w:rPr>
            </w:pPr>
            <w:r>
              <w:rPr>
                <w:rFonts w:ascii="Arial" w:cs="Arial" w:eastAsia="Arial" w:hAnsi="Arial"/>
                <w:sz w:val="18"/>
                <w:szCs w:val="18"/>
                <w:color w:val="auto"/>
              </w:rPr>
              <w:t>6,162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5,868</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8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Tariff activities total volumes</w:t>
            </w:r>
          </w:p>
        </w:tc>
        <w:tc>
          <w:tcPr>
            <w:tcW w:w="820" w:type="dxa"/>
            <w:vAlign w:val="bottom"/>
            <w:gridSpan w:val="2"/>
          </w:tcPr>
          <w:p>
            <w:pPr>
              <w:jc w:val="right"/>
              <w:ind w:right="8"/>
              <w:spacing w:after="0"/>
              <w:rPr>
                <w:sz w:val="20"/>
                <w:szCs w:val="20"/>
                <w:color w:val="auto"/>
              </w:rPr>
            </w:pPr>
            <w:r>
              <w:rPr>
                <w:rFonts w:ascii="Arial" w:cs="Arial" w:eastAsia="Arial" w:hAnsi="Arial"/>
                <w:sz w:val="18"/>
                <w:szCs w:val="18"/>
                <w:color w:val="auto"/>
              </w:rPr>
              <w:t>6,327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6,048</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Trucking volumes</w:t>
            </w:r>
          </w:p>
        </w:tc>
        <w:tc>
          <w:tcPr>
            <w:tcW w:w="8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Transportation segment total volumes</w:t>
            </w: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0"/>
        </w:trPr>
        <w:tc>
          <w:tcPr>
            <w:tcW w:w="3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52" w:lineRule="exact"/>
        <w:rPr>
          <w:sz w:val="20"/>
          <w:szCs w:val="20"/>
          <w:color w:val="auto"/>
        </w:rPr>
      </w:pPr>
    </w:p>
    <w:p>
      <w:pPr>
        <w:ind w:right="400" w:firstLine="693"/>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4"/>
              </w:rPr>
              <w:t>Favorable/(Unfavorable) Variance</w:t>
            </w:r>
          </w:p>
        </w:tc>
        <w:tc>
          <w:tcPr>
            <w:tcW w:w="140" w:type="dxa"/>
            <w:vAlign w:val="bottom"/>
          </w:tcPr>
          <w:p>
            <w:pPr>
              <w:spacing w:after="0"/>
              <w:rPr>
                <w:sz w:val="14"/>
                <w:szCs w:val="14"/>
                <w:color w:val="auto"/>
              </w:rPr>
            </w:pPr>
          </w:p>
        </w:tc>
        <w:tc>
          <w:tcPr>
            <w:tcW w:w="2860" w:type="dxa"/>
            <w:vAlign w:val="bottom"/>
            <w:gridSpan w:val="7"/>
          </w:tcPr>
          <w:p>
            <w:pPr>
              <w:jc w:val="center"/>
              <w:ind w:right="54"/>
              <w:spacing w:after="0"/>
              <w:rPr>
                <w:sz w:val="20"/>
                <w:szCs w:val="20"/>
                <w:color w:val="auto"/>
              </w:rPr>
            </w:pPr>
            <w:r>
              <w:rPr>
                <w:rFonts w:ascii="Arial" w:cs="Arial" w:eastAsia="Arial" w:hAnsi="Arial"/>
                <w:sz w:val="14"/>
                <w:szCs w:val="14"/>
                <w:b w:val="1"/>
                <w:bCs w:val="1"/>
                <w:color w:val="auto"/>
                <w:w w:val="95"/>
              </w:rPr>
              <w:t>Favorable/(Unfavorable) Variance</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20" w:type="dxa"/>
            <w:vAlign w:val="bottom"/>
            <w:gridSpan w:val="9"/>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1"/>
                <w:szCs w:val="11"/>
                <w:color w:val="auto"/>
              </w:rPr>
            </w:pPr>
          </w:p>
        </w:tc>
        <w:tc>
          <w:tcPr>
            <w:tcW w:w="2860" w:type="dxa"/>
            <w:vAlign w:val="bottom"/>
            <w:gridSpan w:val="7"/>
          </w:tcPr>
          <w:p>
            <w:pPr>
              <w:jc w:val="center"/>
              <w:ind w:right="54"/>
              <w:spacing w:after="0" w:line="135" w:lineRule="exact"/>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2021-2020</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5"/>
              </w:rPr>
              <w:t>2021-2020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Revenues</w:t>
            </w:r>
          </w:p>
        </w:tc>
        <w:tc>
          <w:tcPr>
            <w:tcW w:w="1020" w:type="dxa"/>
            <w:vAlign w:val="bottom"/>
            <w:gridSpan w:val="3"/>
          </w:tcPr>
          <w:p>
            <w:pPr>
              <w:jc w:val="center"/>
              <w:ind w:right="80"/>
              <w:spacing w:after="0" w:line="130" w:lineRule="exact"/>
              <w:rPr>
                <w:sz w:val="20"/>
                <w:szCs w:val="20"/>
                <w:color w:val="auto"/>
              </w:rPr>
            </w:pPr>
            <w:r>
              <w:rPr>
                <w:rFonts w:ascii="Arial" w:cs="Arial" w:eastAsia="Arial" w:hAnsi="Arial"/>
                <w:sz w:val="14"/>
                <w:szCs w:val="14"/>
                <w:b w:val="1"/>
                <w:bCs w:val="1"/>
                <w:color w:val="auto"/>
                <w:w w:val="90"/>
              </w:rPr>
              <w:t>Purchases and</w:t>
            </w:r>
          </w:p>
        </w:tc>
        <w:tc>
          <w:tcPr>
            <w:tcW w:w="160" w:type="dxa"/>
            <w:vAlign w:val="bottom"/>
          </w:tcPr>
          <w:p>
            <w:pPr>
              <w:spacing w:after="0"/>
              <w:rPr>
                <w:sz w:val="11"/>
                <w:szCs w:val="11"/>
                <w:color w:val="auto"/>
              </w:rPr>
            </w:pPr>
          </w:p>
        </w:tc>
        <w:tc>
          <w:tcPr>
            <w:tcW w:w="780" w:type="dxa"/>
            <w:vAlign w:val="bottom"/>
          </w:tcPr>
          <w:p>
            <w:pPr>
              <w:jc w:val="center"/>
              <w:ind w:right="74"/>
              <w:spacing w:after="0" w:line="130" w:lineRule="exact"/>
              <w:rPr>
                <w:sz w:val="20"/>
                <w:szCs w:val="20"/>
                <w:color w:val="auto"/>
              </w:rPr>
            </w:pPr>
            <w:r>
              <w:rPr>
                <w:rFonts w:ascii="Arial" w:cs="Arial" w:eastAsia="Arial" w:hAnsi="Arial"/>
                <w:sz w:val="14"/>
                <w:szCs w:val="14"/>
                <w:b w:val="1"/>
                <w:bCs w:val="1"/>
                <w:color w:val="auto"/>
                <w:w w:val="98"/>
              </w:rPr>
              <w:t>Equity</w:t>
            </w:r>
          </w:p>
        </w:tc>
        <w:tc>
          <w:tcPr>
            <w:tcW w:w="1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2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88"/>
              </w:rPr>
              <w:t>Purchases and</w:t>
            </w:r>
          </w:p>
        </w:tc>
        <w:tc>
          <w:tcPr>
            <w:tcW w:w="140" w:type="dxa"/>
            <w:vAlign w:val="bottom"/>
          </w:tcPr>
          <w:p>
            <w:pPr>
              <w:spacing w:after="0"/>
              <w:rPr>
                <w:sz w:val="11"/>
                <w:szCs w:val="11"/>
                <w:color w:val="auto"/>
              </w:rPr>
            </w:pPr>
          </w:p>
        </w:tc>
        <w:tc>
          <w:tcPr>
            <w:tcW w:w="800" w:type="dxa"/>
            <w:vAlign w:val="bottom"/>
          </w:tcPr>
          <w:p>
            <w:pPr>
              <w:jc w:val="center"/>
              <w:ind w:right="54"/>
              <w:spacing w:after="0" w:line="130"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8"/>
        </w:trPr>
        <w:tc>
          <w:tcPr>
            <w:tcW w:w="3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Related Costs</w:t>
            </w:r>
          </w:p>
        </w:tc>
        <w:tc>
          <w:tcPr>
            <w:tcW w:w="160" w:type="dxa"/>
            <w:vAlign w:val="bottom"/>
          </w:tcPr>
          <w:p>
            <w:pPr>
              <w:spacing w:after="0"/>
              <w:rPr>
                <w:sz w:val="16"/>
                <w:szCs w:val="16"/>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Related Costs</w:t>
            </w:r>
          </w:p>
        </w:tc>
        <w:tc>
          <w:tcPr>
            <w:tcW w:w="140" w:type="dxa"/>
            <w:vAlign w:val="bottom"/>
          </w:tcPr>
          <w:p>
            <w:pPr>
              <w:spacing w:after="0"/>
              <w:rPr>
                <w:sz w:val="16"/>
                <w:szCs w:val="16"/>
                <w:color w:val="auto"/>
              </w:rPr>
            </w:pPr>
          </w:p>
        </w:tc>
        <w:tc>
          <w:tcPr>
            <w:tcW w:w="80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24"/>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93"/>
              </w:rPr>
              <w:t>(34)</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center"/>
              <w:ind w:left="334"/>
              <w:spacing w:after="0"/>
              <w:rPr>
                <w:sz w:val="20"/>
                <w:szCs w:val="20"/>
                <w:color w:val="auto"/>
              </w:rPr>
            </w:pPr>
            <w:r>
              <w:rPr>
                <w:rFonts w:ascii="Arial" w:cs="Arial" w:eastAsia="Arial" w:hAnsi="Arial"/>
                <w:sz w:val="18"/>
                <w:szCs w:val="18"/>
                <w:color w:val="auto"/>
                <w:w w:val="93"/>
              </w:rPr>
              <w:t>(14)</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93"/>
              </w:rPr>
              <w:t>(23)</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Gulf Coast region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center"/>
              <w:ind w:left="334"/>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Rocky Mountain region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176"/>
        </w:trPr>
        <w:tc>
          <w:tcPr>
            <w:tcW w:w="37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regions, NGL pipelines, trucking and</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center"/>
              <w:ind w:left="3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pipeline loss allowance revenue</w:t>
            </w: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variance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93"/>
              </w:rPr>
              <w:t>(91)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80" w:hanging="324"/>
        <w:spacing w:after="0" w:line="275" w:lineRule="auto"/>
        <w:tabs>
          <w:tab w:leader="none" w:pos="975"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Permian Basin region. </w:t>
      </w:r>
      <w:r>
        <w:rPr>
          <w:rFonts w:ascii="Arial" w:cs="Arial" w:eastAsia="Arial" w:hAnsi="Arial"/>
          <w:sz w:val="17"/>
          <w:szCs w:val="17"/>
          <w:color w:val="auto"/>
        </w:rPr>
        <w:t>Revenues, net of purchases and related costs, (“net revenues”) increased by $14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compared to the same period in 2020 primarily due to the recognition of revenue associated with minimum volume commitments in the first and second quarters of 2021. Such favorable impacts were partially offset by lower volumes of crude oil produced in the Permian Basin in the first quarter of 2021, driven by the COVID-19 pandemic-related reset to production and compounded by shut-ins from the extreme winter weather event that occurred in February of 2021 (“Winter Storm Uri”).</w:t>
      </w:r>
    </w:p>
    <w:p>
      <w:pPr>
        <w:spacing w:after="0" w:line="203" w:lineRule="exact"/>
        <w:rPr>
          <w:rFonts w:ascii="Arial" w:cs="Arial" w:eastAsia="Arial" w:hAnsi="Arial"/>
          <w:sz w:val="17"/>
          <w:szCs w:val="17"/>
          <w:b w:val="1"/>
          <w:bCs w:val="1"/>
          <w:i w:val="1"/>
          <w:iCs w:val="1"/>
          <w:color w:val="auto"/>
        </w:rPr>
      </w:pPr>
    </w:p>
    <w:p>
      <w:pPr>
        <w:ind w:left="980" w:right="80"/>
        <w:spacing w:after="0" w:line="301" w:lineRule="auto"/>
        <w:rPr>
          <w:rFonts w:ascii="Arial" w:cs="Arial" w:eastAsia="Arial" w:hAnsi="Arial"/>
          <w:sz w:val="17"/>
          <w:szCs w:val="17"/>
          <w:b w:val="1"/>
          <w:bCs w:val="1"/>
          <w:i w:val="1"/>
          <w:iCs w:val="1"/>
          <w:color w:val="auto"/>
        </w:rPr>
      </w:pPr>
      <w:r>
        <w:rPr>
          <w:rFonts w:ascii="Arial" w:cs="Arial" w:eastAsia="Arial" w:hAnsi="Arial"/>
          <w:sz w:val="16"/>
          <w:szCs w:val="16"/>
          <w:color w:val="auto"/>
        </w:rPr>
        <w:t>Equity earnings decreased for the three and nine months ended September 30, 2021 compared to the same periods in 2020 primarily due to depreciation expense and transition costs associated with phase one of the Wink to Webster pipeline being placed into service during the first quarter of 2021, long-haul volumes shipped at lower rates and our proportionate share of the write-off of costs associated with a capital project canceled during the second quarter of 2021, partially offset by lower power costs related to Winter Storm Uri.</w:t>
      </w:r>
    </w:p>
    <w:p>
      <w:pPr>
        <w:spacing w:after="0" w:line="184" w:lineRule="exact"/>
        <w:rPr>
          <w:rFonts w:ascii="Arial" w:cs="Arial" w:eastAsia="Arial" w:hAnsi="Arial"/>
          <w:sz w:val="17"/>
          <w:szCs w:val="17"/>
          <w:b w:val="1"/>
          <w:bCs w:val="1"/>
          <w:i w:val="1"/>
          <w:iCs w:val="1"/>
          <w:color w:val="auto"/>
        </w:rPr>
      </w:pPr>
    </w:p>
    <w:p>
      <w:pPr>
        <w:jc w:val="both"/>
        <w:ind w:left="980" w:right="80" w:hanging="324"/>
        <w:spacing w:after="0" w:line="263" w:lineRule="auto"/>
        <w:tabs>
          <w:tab w:leader="none" w:pos="97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Revenues and volumes decreased for the three and nine months ended September 30,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periods in 2020 due to lower production, including, for the nine-month period, the impact of curtailments from Winter Storm Uri in the first quarter of 2021.</w:t>
      </w:r>
    </w:p>
    <w:p>
      <w:pPr>
        <w:spacing w:after="0" w:line="210" w:lineRule="exact"/>
        <w:rPr>
          <w:rFonts w:ascii="Arial" w:cs="Arial" w:eastAsia="Arial" w:hAnsi="Arial"/>
          <w:sz w:val="18"/>
          <w:szCs w:val="18"/>
          <w:b w:val="1"/>
          <w:bCs w:val="1"/>
          <w:i w:val="1"/>
          <w:iCs w:val="1"/>
          <w:color w:val="auto"/>
        </w:rPr>
      </w:pPr>
    </w:p>
    <w:p>
      <w:pPr>
        <w:ind w:left="98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Equity earnings decreased for the nine months ended September 30, 2021 compared to the same period in 2020 due to a combination of lower joint tariff volumes from our Permian Basin long-haul system, and to a lesser extent, lower regional receipts, partially offset by the recognition of previously deferred revenue associated with minimum volume commitments.</w:t>
      </w:r>
    </w:p>
    <w:p>
      <w:pPr>
        <w:spacing w:after="0" w:line="210" w:lineRule="exact"/>
        <w:rPr>
          <w:rFonts w:ascii="Arial" w:cs="Arial" w:eastAsia="Arial" w:hAnsi="Arial"/>
          <w:sz w:val="18"/>
          <w:szCs w:val="18"/>
          <w:b w:val="1"/>
          <w:bCs w:val="1"/>
          <w:i w:val="1"/>
          <w:iCs w:val="1"/>
          <w:color w:val="auto"/>
        </w:rPr>
      </w:pPr>
    </w:p>
    <w:p>
      <w:pPr>
        <w:ind w:left="980" w:hanging="324"/>
        <w:spacing w:after="0" w:line="311" w:lineRule="auto"/>
        <w:tabs>
          <w:tab w:leader="none" w:pos="975"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Central region. </w:t>
      </w:r>
      <w:r>
        <w:rPr>
          <w:rFonts w:ascii="Arial" w:cs="Arial" w:eastAsia="Arial" w:hAnsi="Arial"/>
          <w:sz w:val="16"/>
          <w:szCs w:val="16"/>
          <w:color w:val="auto"/>
        </w:rPr>
        <w:t>Revenues increased for the three and nine months ended September 30, 2021 compared to the same periods in 2020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higher volumes on certain of our pipelines in the region, including the Red River pipeline, as a result of (i) additional volume commitments beginning in the third quarter of 2020 and the second quarter of 2021 and (ii) an expansion placed into service in October 2020.</w:t>
      </w:r>
    </w:p>
    <w:p>
      <w:pPr>
        <w:spacing w:after="0" w:line="175" w:lineRule="exact"/>
        <w:rPr>
          <w:rFonts w:ascii="Arial" w:cs="Arial" w:eastAsia="Arial" w:hAnsi="Arial"/>
          <w:sz w:val="16"/>
          <w:szCs w:val="16"/>
          <w:i w:val="1"/>
          <w:iCs w:val="1"/>
          <w:color w:val="auto"/>
        </w:rPr>
      </w:pPr>
    </w:p>
    <w:p>
      <w:pPr>
        <w:ind w:left="980" w:right="220"/>
        <w:spacing w:after="0" w:line="263" w:lineRule="auto"/>
        <w:rPr>
          <w:rFonts w:ascii="Arial" w:cs="Arial" w:eastAsia="Arial" w:hAnsi="Arial"/>
          <w:sz w:val="16"/>
          <w:szCs w:val="16"/>
          <w:i w:val="1"/>
          <w:iCs w:val="1"/>
          <w:color w:val="auto"/>
        </w:rPr>
      </w:pPr>
      <w:r>
        <w:rPr>
          <w:rFonts w:ascii="Arial" w:cs="Arial" w:eastAsia="Arial" w:hAnsi="Arial"/>
          <w:sz w:val="18"/>
          <w:szCs w:val="18"/>
          <w:color w:val="auto"/>
        </w:rPr>
        <w:t>Equity earnings decreased for the nine months ended September 30, 2021 compared to the same period in 2020 primarily due to our proportionate share of Diamond Pipeline’s write-off of costs associated with the cancellation of the project to connect Diamond Pipeline to Capline Pipeline (the Byhalia Connection) during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380" w:hanging="324"/>
        <w:spacing w:after="0" w:line="277" w:lineRule="auto"/>
        <w:tabs>
          <w:tab w:leader="none" w:pos="975"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Gulf Coast region. </w:t>
      </w:r>
      <w:r>
        <w:rPr>
          <w:rFonts w:ascii="Arial" w:cs="Arial" w:eastAsia="Arial" w:hAnsi="Arial"/>
          <w:sz w:val="18"/>
          <w:szCs w:val="18"/>
          <w:color w:val="auto"/>
        </w:rPr>
        <w:t>Revenues increased slightly for the three and nine months ended September 30, 2021 compared to the same periods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due to higher movements on a low tariff pipeline.</w:t>
      </w:r>
    </w:p>
    <w:p>
      <w:pPr>
        <w:spacing w:after="0" w:line="197" w:lineRule="exact"/>
        <w:rPr>
          <w:rFonts w:ascii="Arial" w:cs="Arial" w:eastAsia="Arial" w:hAnsi="Arial"/>
          <w:sz w:val="18"/>
          <w:szCs w:val="18"/>
          <w:i w:val="1"/>
          <w:iCs w:val="1"/>
          <w:color w:val="auto"/>
        </w:rPr>
      </w:pPr>
    </w:p>
    <w:p>
      <w:pPr>
        <w:ind w:left="980" w:right="38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Equity earnings decreased for the nine months ended September 30, 2021 compared to the same period in 2020 primarily due to our proportionate share of Capline Pipeline’s write-off of costs associated with the cancellation of the project to connect Diamond Pipeline to Capline Pipeline (the Byhalia Connection) during the second quarter of 2021.</w:t>
      </w:r>
    </w:p>
    <w:p>
      <w:pPr>
        <w:spacing w:after="0" w:line="210" w:lineRule="exact"/>
        <w:rPr>
          <w:rFonts w:ascii="Arial" w:cs="Arial" w:eastAsia="Arial" w:hAnsi="Arial"/>
          <w:sz w:val="18"/>
          <w:szCs w:val="18"/>
          <w:i w:val="1"/>
          <w:iCs w:val="1"/>
          <w:color w:val="auto"/>
        </w:rPr>
      </w:pPr>
    </w:p>
    <w:p>
      <w:pPr>
        <w:ind w:left="980" w:right="160" w:hanging="324"/>
        <w:spacing w:after="0" w:line="342" w:lineRule="auto"/>
        <w:tabs>
          <w:tab w:leader="none" w:pos="975"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Rocky Mountain region. </w:t>
      </w:r>
      <w:r>
        <w:rPr>
          <w:rFonts w:ascii="Arial" w:cs="Arial" w:eastAsia="Arial" w:hAnsi="Arial"/>
          <w:sz w:val="16"/>
          <w:szCs w:val="16"/>
          <w:color w:val="auto"/>
        </w:rPr>
        <w:t>Revenues increased for the three and nine months ended September 30, 2021 compared to the same periods in 2020</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 increased movements on our cross-border pipelines and (ii) a new joint tariff movement to Cushing, Oklahoma.</w:t>
      </w:r>
    </w:p>
    <w:p>
      <w:pPr>
        <w:spacing w:after="0" w:line="150" w:lineRule="exact"/>
        <w:rPr>
          <w:rFonts w:ascii="Arial" w:cs="Arial" w:eastAsia="Arial" w:hAnsi="Arial"/>
          <w:sz w:val="16"/>
          <w:szCs w:val="16"/>
          <w:i w:val="1"/>
          <w:iCs w:val="1"/>
          <w:color w:val="auto"/>
        </w:rPr>
      </w:pPr>
    </w:p>
    <w:p>
      <w:pPr>
        <w:ind w:left="980"/>
        <w:spacing w:after="0" w:line="263" w:lineRule="auto"/>
        <w:rPr>
          <w:rFonts w:ascii="Arial" w:cs="Arial" w:eastAsia="Arial" w:hAnsi="Arial"/>
          <w:sz w:val="16"/>
          <w:szCs w:val="16"/>
          <w:i w:val="1"/>
          <w:iCs w:val="1"/>
          <w:color w:val="auto"/>
        </w:rPr>
      </w:pPr>
      <w:r>
        <w:rPr>
          <w:rFonts w:ascii="Arial" w:cs="Arial" w:eastAsia="Arial" w:hAnsi="Arial"/>
          <w:sz w:val="18"/>
          <w:szCs w:val="18"/>
          <w:color w:val="auto"/>
        </w:rPr>
        <w:t>Equity earnings decreased for the nine months ended September 30, 2021 compared to the same period in 2020 primarily due to the expiration of higher-tariff volume commitments in the current period on the White Cliffs pipeline, partially offset by higher volumes from committed shippers on the Saddlehorn pipeline.</w:t>
      </w:r>
    </w:p>
    <w:p>
      <w:pPr>
        <w:spacing w:after="0" w:line="21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3"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For each of the three and nine month periods ended September 30, 2021 and 2020, we billed and deferred amounts from counterparties associated with deficiencies under minimum volume commitments. In each of the periods presented, the amount we billed was in excess of the amount we recognized into revenue.</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nine months ended September 30, 2021 compared to the same period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(i) lower power costs, including the impact of gains related to hedged power costs resulting from Winter Storm Uri and (ii) streamlining efforts which have resulted in decreases in variable costs and maintenance and chemicals and additives costs. These favorable impacts were partially offset by increased field operating costs for the three months ended September 30, 2021 compared to the three months ended September 30, 2020 due to (i) higher compensation costs, including lower wage subsidies received by our Canadian subsidiary, and (ii) an increase in power costs due to higher volumes.</w:t>
      </w:r>
    </w:p>
    <w:p>
      <w:pPr>
        <w:spacing w:after="0" w:line="219"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compared to the same periods in 2020 was primarily due to increased information systems costs and reduced wage subsidies received by our Canadian subsidiary in the current periods. The nine-month comparative period was further unfavorably impacted by an increase in equity-indexed compensation expense on liability-classified awards (which are not included as an “Adjustment” in the table above) due to an increase in our common unit price.</w:t>
      </w:r>
    </w:p>
    <w:p>
      <w:pPr>
        <w:spacing w:after="0" w:line="21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Maintenance Capital</w:t>
      </w:r>
      <w:r>
        <w:rPr>
          <w:rFonts w:ascii="Arial" w:cs="Arial" w:eastAsia="Arial" w:hAnsi="Arial"/>
          <w:sz w:val="17"/>
          <w:szCs w:val="17"/>
          <w:color w:val="auto"/>
        </w:rPr>
        <w:t>. Maintenance capital consists of capital expenditures for the replacement and/or refurbishment of partially or fully</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depreciated assets in order to maintain the operating and/or earnings capacity of our existing assets. The decrease in maintenance capital spending for the three and nine months ended September 30, 2021 compared to the same periods in 2020 was primarily due to timing changes, the completion of multi-year reliability improvement programs and application of updated regulatory guidance, among other factors.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and NGL, as well as NGL fractionation and isomerization services and natural gas and condensate processing services. The Facilities segment generates revenue through a combination of month-to-month and multi-year agreements.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170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2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w w:val="95"/>
              </w:rPr>
              <w:t>Variance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9"/>
          </w:tcPr>
          <w:p>
            <w:pPr>
              <w:ind w:left="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2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9"/>
          </w:tcPr>
          <w:p>
            <w:pPr>
              <w:ind w:left="2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4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354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4"/>
              </w:rPr>
              <w:t>Segment general and administrative expenses</w:t>
            </w:r>
          </w:p>
        </w:tc>
        <w:tc>
          <w:tcPr>
            <w:tcW w:w="140" w:type="dxa"/>
            <w:vAlign w:val="bottom"/>
          </w:tcPr>
          <w:p>
            <w:pPr>
              <w:spacing w:after="0"/>
              <w:rPr>
                <w:sz w:val="15"/>
                <w:szCs w:val="15"/>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62"/>
        </w:trPr>
        <w:tc>
          <w:tcPr>
            <w:tcW w:w="3360" w:type="dxa"/>
            <w:vAlign w:val="bottom"/>
          </w:tcPr>
          <w:p>
            <w:pPr>
              <w:ind w:lef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vMerge w:val="restart"/>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gridSpan w:val="4"/>
          </w:tcPr>
          <w:p>
            <w:pPr>
              <w:ind w:left="36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5"/>
            <w:vMerge w:val="continue"/>
          </w:tcPr>
          <w:p>
            <w:pPr>
              <w:spacing w:after="0"/>
              <w:rPr>
                <w:sz w:val="19"/>
                <w:szCs w:val="19"/>
                <w:color w:val="auto"/>
              </w:rPr>
            </w:pPr>
          </w:p>
        </w:tc>
        <w:tc>
          <w:tcPr>
            <w:tcW w:w="7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Deficiencies under minimum volume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4"/>
          </w:tcPr>
          <w:p>
            <w:pPr>
              <w:ind w:left="360"/>
              <w:spacing w:after="0"/>
              <w:rPr>
                <w:sz w:val="20"/>
                <w:szCs w:val="20"/>
                <w:color w:val="auto"/>
              </w:rPr>
            </w:pPr>
            <w:r>
              <w:rPr>
                <w:rFonts w:ascii="Arial" w:cs="Arial" w:eastAsia="Arial" w:hAnsi="Arial"/>
                <w:sz w:val="18"/>
                <w:szCs w:val="18"/>
                <w:color w:val="auto"/>
              </w:rPr>
              <w:t>commitments,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5"/>
            <w:vMerge w:val="continue"/>
          </w:tcPr>
          <w:p>
            <w:pPr>
              <w:spacing w:after="0"/>
              <w:rPr>
                <w:sz w:val="19"/>
                <w:szCs w:val="19"/>
                <w:color w:val="auto"/>
              </w:rPr>
            </w:pPr>
          </w:p>
        </w:tc>
        <w:tc>
          <w:tcPr>
            <w:tcW w:w="7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80 %</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4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3"/>
          </w:tcPr>
          <w:p>
            <w:pPr>
              <w:jc w:val="right"/>
              <w:ind w:right="60"/>
              <w:spacing w:after="0" w:line="203" w:lineRule="exact"/>
              <w:rPr>
                <w:sz w:val="20"/>
                <w:szCs w:val="20"/>
                <w:color w:val="auto"/>
              </w:rPr>
            </w:pPr>
            <w:r>
              <w:rPr>
                <w:rFonts w:ascii="Arial" w:cs="Arial" w:eastAsia="Arial" w:hAnsi="Arial"/>
                <w:sz w:val="18"/>
                <w:szCs w:val="18"/>
                <w:color w:val="auto"/>
              </w:rPr>
              <w:t>0.35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gridSpan w:val="2"/>
          </w:tcPr>
          <w:p>
            <w:pPr>
              <w:jc w:val="right"/>
              <w:ind w:right="120"/>
              <w:spacing w:after="0" w:line="203" w:lineRule="exact"/>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93"/>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10"/>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102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7"/>
              </w:rPr>
              <w:t>Nine Months Ended</w:t>
            </w:r>
          </w:p>
        </w:tc>
        <w:tc>
          <w:tcPr>
            <w:tcW w:w="120" w:type="dxa"/>
            <w:vAlign w:val="bottom"/>
          </w:tcPr>
          <w:p>
            <w:pPr>
              <w:spacing w:after="0"/>
              <w:rPr>
                <w:sz w:val="24"/>
                <w:szCs w:val="2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9"/>
          </w:tcPr>
          <w:p>
            <w:pPr>
              <w:jc w:val="center"/>
              <w:ind w:right="5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2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9"/>
          </w:tcPr>
          <w:p>
            <w:pPr>
              <w:ind w:left="2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ind w:left="20"/>
              <w:spacing w:after="0" w:line="184" w:lineRule="exact"/>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8"/>
                <w:szCs w:val="18"/>
                <w:b w:val="1"/>
                <w:bCs w:val="1"/>
                <w:color w:val="auto"/>
                <w:vertAlign w:val="superscript"/>
              </w:rPr>
              <w:t>(4)</w:t>
            </w: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Volumes</w:t>
            </w:r>
          </w:p>
        </w:tc>
        <w:tc>
          <w:tcPr>
            <w:tcW w:w="6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33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3"/>
              </w:rPr>
              <w:t>Liquids storage (average monthly capacity in</w:t>
            </w:r>
          </w:p>
        </w:tc>
        <w:tc>
          <w:tcPr>
            <w:tcW w:w="12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54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Natural gas storage (average monthly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354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working capacity in billions of cubic feet)</w:t>
            </w:r>
          </w:p>
        </w:tc>
        <w:tc>
          <w:tcPr>
            <w:tcW w:w="14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6"/>
                <w:szCs w:val="16"/>
                <w:color w:val="auto"/>
              </w:rPr>
              <w:t>NGL fractionation (average volumes in</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354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thousands of barrels per day)</w:t>
            </w:r>
          </w:p>
        </w:tc>
        <w:tc>
          <w:tcPr>
            <w:tcW w:w="1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Facilities segment total volumes (average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4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 xml:space="preserve">monthly volumes in millions of barrels) </w:t>
            </w:r>
            <w:r>
              <w:rPr>
                <w:rFonts w:ascii="Arial" w:cs="Arial" w:eastAsia="Arial" w:hAnsi="Arial"/>
                <w:sz w:val="23"/>
                <w:szCs w:val="23"/>
                <w:color w:val="auto"/>
                <w:vertAlign w:val="superscript"/>
              </w:rPr>
              <w:t>(6)</w:t>
            </w:r>
          </w:p>
        </w:tc>
        <w:tc>
          <w:tcPr>
            <w:tcW w:w="1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period divided by the number of months in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ind w:left="20" w:right="80" w:hanging="11"/>
        <w:spacing w:after="0" w:line="291" w:lineRule="auto"/>
        <w:rPr>
          <w:sz w:val="20"/>
          <w:szCs w:val="20"/>
          <w:color w:val="auto"/>
        </w:rPr>
      </w:pPr>
      <w:r>
        <w:rPr>
          <w:rFonts w:ascii="Arial" w:cs="Arial" w:eastAsia="Arial" w:hAnsi="Arial"/>
          <w:sz w:val="16"/>
          <w:szCs w:val="16"/>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w:t>
      </w:r>
    </w:p>
    <w:p>
      <w:pPr>
        <w:ind w:left="20" w:right="1120" w:hanging="4"/>
        <w:spacing w:after="0" w:line="508"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NGL fractionation volumes multiplied by the number of days in the period and divided by the number of months in the period. The following is a discussion of items impacting Facilities segment operating results.</w:t>
      </w:r>
    </w:p>
    <w:p>
      <w:pPr>
        <w:spacing w:after="0" w:line="1"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net revenues and average monthly volumes were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7" w:lineRule="exact"/>
        <w:rPr>
          <w:sz w:val="20"/>
          <w:szCs w:val="20"/>
          <w:color w:val="auto"/>
        </w:rPr>
      </w:pPr>
    </w:p>
    <w:p>
      <w:pPr>
        <w:ind w:left="980" w:right="20" w:hanging="324"/>
        <w:spacing w:after="0" w:line="271" w:lineRule="auto"/>
        <w:tabs>
          <w:tab w:leader="none" w:pos="975"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Revenues from our NGL operations decreased by $13 million and $70 million for the three and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respectively, compared to the same periods in 2020 primarily due to reduced intersegment facility fees to reflect lower utilization and market rates at certain of our NGL facilities (which had an offsetting favorable impact on our Supply and Logistics segment). The nine-month comparative period was further unfavorably impacted by (i) a benefit in the 2020 comparative period from the receipt of a deficiency payment of approximately $20 million upon the expiration of a multi-year contract and (ii) the sale of certain NGL terminals in the second quarter of 2020. Such unfavorable impacts were partially offset for the three- and nine-month comparative periods by more favorable foreign exchange impacts in 2021 of approximately $6 million and $25 million, respectively, and, for the nine-month comparative period, gains at certain of our fractionation facilities in the first quarter of 2021.</w:t>
      </w:r>
    </w:p>
    <w:p>
      <w:pPr>
        <w:spacing w:after="0" w:line="191" w:lineRule="exact"/>
        <w:rPr>
          <w:rFonts w:ascii="Arial" w:cs="Arial" w:eastAsia="Arial" w:hAnsi="Arial"/>
          <w:sz w:val="17"/>
          <w:szCs w:val="17"/>
          <w:i w:val="1"/>
          <w:iCs w:val="1"/>
          <w:color w:val="auto"/>
        </w:rPr>
      </w:pPr>
    </w:p>
    <w:p>
      <w:pPr>
        <w:ind w:left="980" w:right="40" w:hanging="324"/>
        <w:spacing w:after="0" w:line="242" w:lineRule="auto"/>
        <w:tabs>
          <w:tab w:leader="none" w:pos="975"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Crude Oil Operations. </w:t>
      </w:r>
      <w:r>
        <w:rPr>
          <w:rFonts w:ascii="Arial" w:cs="Arial" w:eastAsia="Arial" w:hAnsi="Arial"/>
          <w:sz w:val="17"/>
          <w:szCs w:val="17"/>
          <w:color w:val="auto"/>
        </w:rPr>
        <w:t>Revenues from our crude oil storage operations decreased by $8 million and $39 million for the three and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2021, respectively, compared to the same periods in 2020 primarily due to the sale of our Los Angeles Basin terminals in October of 2020, partially offset by increased capacity and activity at certain of our Mid-Continent area terminals. In addition, revenues from our crude oil rail operations decreased by $4 million and $11 million for the three and nine months ended September 30, 2021, respectively, compared to the same periods in 2020 due to decreased movements and expiration of contracts.</w:t>
      </w:r>
    </w:p>
    <w:p>
      <w:pPr>
        <w:spacing w:after="0" w:line="215" w:lineRule="exact"/>
        <w:rPr>
          <w:rFonts w:ascii="Arial" w:cs="Arial" w:eastAsia="Arial" w:hAnsi="Arial"/>
          <w:sz w:val="17"/>
          <w:szCs w:val="17"/>
          <w:color w:val="auto"/>
        </w:rPr>
      </w:pPr>
    </w:p>
    <w:p>
      <w:pPr>
        <w:ind w:left="980" w:right="80" w:hanging="324"/>
        <w:spacing w:after="0" w:line="279" w:lineRule="auto"/>
        <w:tabs>
          <w:tab w:leader="none" w:pos="975"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Natural Gas Storage. </w:t>
      </w:r>
      <w:r>
        <w:rPr>
          <w:rFonts w:ascii="Arial" w:cs="Arial" w:eastAsia="Arial" w:hAnsi="Arial"/>
          <w:sz w:val="17"/>
          <w:szCs w:val="17"/>
          <w:color w:val="auto"/>
        </w:rPr>
        <w:t>Net revenues decreased by $18 million for the three months ended September 30, 2021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due to the sale of our natural gas storage facilities in August 2021. The impact on net revenues of the sale of these facilities was nearly entirely offset for the nine months ended September 30, 2021 compared to the same period in 2020 primarily due to increased margins from hub activities in the first quarter of 2021 related to Winter Storm Uri.</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and nine months ended September 30, 2021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2020 was primarily due to (i) higher compensation costs, including lower wage subsidies received by our Canadian subsidiary in the 2021 periods, (ii) costs associated with a fire at our Fort Saskatchewan facility, and (iii) higher power costs due to increased volumes at our NGL fractionation plants. These unfavorable impacts were partially offset for the (i) three and nine months due to the sale of our Los Angeles Basin terminals in October 2020 and natural gas storage facilities in August 2021 and reduced activity at our rail terminals and (ii) nine months due to the sale of certain NGL terminals in the second quarter of 2020.</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spending for the three months ended September 30, 2021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2020 was primarily due to timing of certain projects across multiple facilities.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(iii) the relationship between NGL prices and natural gas prices and (iv) the effects of competition on our lease gathering and NGL margins. In addition, the execution of our risk management strategies in conjunction with our assets can provide upside in certain markets.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7"/>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7"/>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30"/>
        </w:trPr>
        <w:tc>
          <w:tcPr>
            <w:tcW w:w="338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(10,488)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(27,985)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(16,227)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(11,758)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76"/>
        </w:trPr>
        <w:tc>
          <w:tcPr>
            <w:tcW w:w="338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380" w:type="dxa"/>
            <w:vAlign w:val="bottom"/>
            <w:gridSpan w:val="3"/>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8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8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 activities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and inventory valuation adjustments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3"/>
          </w:tcPr>
          <w:p>
            <w:pPr>
              <w:ind w:left="180"/>
              <w:spacing w:after="0"/>
              <w:rPr>
                <w:sz w:val="20"/>
                <w:szCs w:val="20"/>
                <w:color w:val="auto"/>
              </w:rPr>
            </w:pPr>
            <w:r>
              <w:rPr>
                <w:rFonts w:ascii="Arial" w:cs="Arial" w:eastAsia="Arial" w:hAnsi="Arial"/>
                <w:sz w:val="18"/>
                <w:szCs w:val="18"/>
                <w:color w:val="auto"/>
                <w:w w:val="98"/>
              </w:rPr>
              <w:t>Long-term inventory costing adjustments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380" w:type="dxa"/>
            <w:vAlign w:val="bottom"/>
            <w:gridSpan w:val="3"/>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gridSpan w:val="3"/>
          </w:tcPr>
          <w:p>
            <w:pPr>
              <w:ind w:left="360"/>
              <w:spacing w:after="0"/>
              <w:rPr>
                <w:sz w:val="20"/>
                <w:szCs w:val="20"/>
                <w:color w:val="auto"/>
              </w:rPr>
            </w:pPr>
            <w:r>
              <w:rPr>
                <w:rFonts w:ascii="Arial" w:cs="Arial" w:eastAsia="Arial" w:hAnsi="Arial"/>
                <w:sz w:val="18"/>
                <w:szCs w:val="18"/>
                <w:color w:val="auto"/>
              </w:rPr>
              <w:t>revaluation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Significant transaction-related expenses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16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rPr>
              <w:t>(0.17)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0.54</w:t>
            </w:r>
          </w:p>
        </w:tc>
        <w:tc>
          <w:tcPr>
            <w:tcW w:w="80" w:type="dxa"/>
            <w:vAlign w:val="bottom"/>
          </w:tcPr>
          <w:p>
            <w:pPr>
              <w:spacing w:after="0"/>
              <w:rPr>
                <w:sz w:val="21"/>
                <w:szCs w:val="21"/>
                <w:color w:val="auto"/>
              </w:rPr>
            </w:pPr>
          </w:p>
        </w:tc>
        <w:tc>
          <w:tcPr>
            <w:tcW w:w="18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493"/>
        </w:trPr>
        <w:tc>
          <w:tcPr>
            <w:tcW w:w="3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18"/>
                <w:szCs w:val="18"/>
                <w:b w:val="1"/>
                <w:bCs w:val="1"/>
                <w:color w:val="auto"/>
                <w:vertAlign w:val="superscript"/>
              </w:rPr>
              <w:t>(4)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w w:val="99"/>
              </w:rPr>
              <w:t>Variance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7"/>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7"/>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Volumes</w:t>
            </w:r>
          </w:p>
        </w:tc>
        <w:tc>
          <w:tcPr>
            <w:tcW w:w="64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20 %</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NGL sales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5 %</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55"/>
        </w:trPr>
        <w:tc>
          <w:tcPr>
            <w:tcW w:w="3380" w:type="dxa"/>
            <w:vAlign w:val="bottom"/>
            <w:gridSpan w:val="3"/>
            <w:shd w:val="clear" w:color="auto" w:fill="CCEEFF"/>
          </w:tcPr>
          <w:p>
            <w:pPr>
              <w:ind w:left="180"/>
              <w:spacing w:after="0" w:line="156" w:lineRule="exact"/>
              <w:rPr>
                <w:sz w:val="20"/>
                <w:szCs w:val="20"/>
                <w:color w:val="auto"/>
              </w:rPr>
            </w:pPr>
            <w:r>
              <w:rPr>
                <w:rFonts w:ascii="Arial" w:cs="Arial" w:eastAsia="Arial" w:hAnsi="Arial"/>
                <w:sz w:val="18"/>
                <w:szCs w:val="18"/>
                <w:color w:val="auto"/>
              </w:rPr>
              <w:t>Supply and Logistics segment total</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1,459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19 %</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volumes</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jc w:val="right"/>
        <w:ind w:right="6880"/>
        <w:spacing w:after="0"/>
        <w:rPr>
          <w:sz w:val="20"/>
          <w:szCs w:val="20"/>
          <w:color w:val="auto"/>
        </w:rPr>
      </w:pPr>
      <w:r>
        <w:rPr>
          <w:rFonts w:ascii="Arial" w:cs="Arial" w:eastAsia="Arial" w:hAnsi="Arial"/>
          <w:sz w:val="16"/>
          <w:szCs w:val="16"/>
          <w:color w:val="auto"/>
        </w:rPr>
        <w:t>Indicates that variance as a percentage is not meaningful.</w:t>
      </w:r>
    </w:p>
    <w:p>
      <w:pPr>
        <w:spacing w:after="0" w:line="140" w:lineRule="exact"/>
        <w:rPr>
          <w:sz w:val="20"/>
          <w:szCs w:val="20"/>
          <w:color w:val="auto"/>
        </w:rPr>
      </w:pPr>
    </w:p>
    <w:p>
      <w:pPr>
        <w:jc w:val="right"/>
        <w:ind w:right="6940"/>
        <w:spacing w:after="0"/>
        <w:rPr>
          <w:sz w:val="20"/>
          <w:szCs w:val="20"/>
          <w:color w:val="auto"/>
        </w:rPr>
      </w:pPr>
      <w:r>
        <w:rPr>
          <w:rFonts w:ascii="Arial" w:cs="Arial" w:eastAsia="Arial" w:hAnsi="Arial"/>
          <w:sz w:val="17"/>
          <w:szCs w:val="17"/>
          <w:color w:val="auto"/>
        </w:rPr>
        <w:t>Revenues and costs include intersegment amounts.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140" w:hanging="652"/>
        <w:spacing w:after="0" w:line="535" w:lineRule="auto"/>
        <w:tabs>
          <w:tab w:leader="none" w:pos="648"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ind w:left="9300"/>
        <w:spacing w:after="0" w:line="227" w:lineRule="auto"/>
        <w:rPr>
          <w:sz w:val="20"/>
          <w:szCs w:val="20"/>
          <w:color w:val="auto"/>
        </w:rPr>
      </w:pPr>
      <w:r>
        <w:rPr>
          <w:rFonts w:ascii="Arial" w:cs="Arial" w:eastAsia="Arial" w:hAnsi="Arial"/>
          <w:sz w:val="14"/>
          <w:szCs w:val="14"/>
          <w:b w:val="1"/>
          <w:bCs w:val="1"/>
          <w:color w:val="auto"/>
        </w:rPr>
        <w:t>NYMEX WTI</w:t>
      </w:r>
    </w:p>
    <w:p>
      <w:pPr>
        <w:ind w:left="9240"/>
        <w:spacing w:after="0"/>
        <w:rPr>
          <w:sz w:val="20"/>
          <w:szCs w:val="20"/>
          <w:color w:val="auto"/>
        </w:rPr>
      </w:pPr>
      <w:r>
        <w:rPr>
          <w:rFonts w:ascii="Arial" w:cs="Arial" w:eastAsia="Arial" w:hAnsi="Arial"/>
          <w:sz w:val="14"/>
          <w:szCs w:val="14"/>
          <w:b w:val="1"/>
          <w:bCs w:val="1"/>
          <w:color w:val="auto"/>
        </w:rPr>
        <w:t>Crude Oil Price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2021</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color w:val="auto"/>
                <w:w w:val="89"/>
              </w:rPr>
              <w:t>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Three Months Ended September 30, 2020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74"/>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Nine Months Ended September 30, 2021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74"/>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3"/>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bl>
    <w:p>
      <w:pPr>
        <w:spacing w:after="0" w:line="323"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and inventory valuation and costing adjustments.</w:t>
      </w:r>
    </w:p>
    <w:p>
      <w:pPr>
        <w:spacing w:after="0" w:line="157"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197" w:lineRule="exact"/>
        <w:rPr>
          <w:sz w:val="20"/>
          <w:szCs w:val="20"/>
          <w:color w:val="auto"/>
        </w:rPr>
      </w:pPr>
    </w:p>
    <w:p>
      <w:pPr>
        <w:ind w:left="980" w:right="500" w:hanging="324"/>
        <w:spacing w:after="0" w:line="342" w:lineRule="auto"/>
        <w:tabs>
          <w:tab w:leader="none" w:pos="975"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Crude Oil Operations. </w:t>
      </w:r>
      <w:r>
        <w:rPr>
          <w:rFonts w:ascii="Arial" w:cs="Arial" w:eastAsia="Arial" w:hAnsi="Arial"/>
          <w:sz w:val="16"/>
          <w:szCs w:val="16"/>
          <w:color w:val="auto"/>
        </w:rPr>
        <w:t>Net revenues from our crude oil operations were lower for the three and nine months ended September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periods in 2020 due to the impact of more favorable market conditions in 2020, primarily on contango margins.</w:t>
      </w:r>
    </w:p>
    <w:p>
      <w:pPr>
        <w:spacing w:after="0" w:line="150" w:lineRule="exact"/>
        <w:rPr>
          <w:rFonts w:ascii="Arial" w:cs="Arial" w:eastAsia="Arial" w:hAnsi="Arial"/>
          <w:sz w:val="16"/>
          <w:szCs w:val="16"/>
          <w:i w:val="1"/>
          <w:iCs w:val="1"/>
          <w:color w:val="auto"/>
        </w:rPr>
      </w:pPr>
    </w:p>
    <w:p>
      <w:pPr>
        <w:ind w:left="980" w:right="40" w:hanging="324"/>
        <w:spacing w:after="0" w:line="259" w:lineRule="auto"/>
        <w:tabs>
          <w:tab w:leader="none" w:pos="97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were higher for the three and nine months ended September 30,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periods in 2020 due to (i) a decrease in intersegment fees in 2021 to reflect lower utilization and market rates (which had an offsetting unfavorable impact on our Facilities and Transportation segments) and (ii) higher realized margins associated with NGL processing and fractionation activities in the third quarter of 2021.</w:t>
      </w:r>
    </w:p>
    <w:p>
      <w:pPr>
        <w:spacing w:after="0" w:line="186" w:lineRule="exact"/>
        <w:rPr>
          <w:rFonts w:ascii="Arial" w:cs="Arial" w:eastAsia="Arial" w:hAnsi="Arial"/>
          <w:sz w:val="18"/>
          <w:szCs w:val="18"/>
          <w:i w:val="1"/>
          <w:iCs w:val="1"/>
          <w:color w:val="auto"/>
        </w:rPr>
      </w:pPr>
    </w:p>
    <w:p>
      <w:pPr>
        <w:ind w:left="980" w:right="100" w:hanging="324"/>
        <w:spacing w:after="0" w:line="254" w:lineRule="auto"/>
        <w:tabs>
          <w:tab w:leader="none" w:pos="97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and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w:t>
      </w:r>
      <w:r>
        <w:rPr>
          <w:rFonts w:ascii="Arial" w:cs="Arial" w:eastAsia="Arial" w:hAnsi="Arial"/>
          <w:sz w:val="18"/>
          <w:szCs w:val="18"/>
          <w:b w:val="1"/>
          <w:bCs w:val="1"/>
          <w:color w:val="auto"/>
        </w:rPr>
        <w:t>.</w:t>
      </w:r>
      <w:r>
        <w:rPr>
          <w:rFonts w:ascii="Arial" w:cs="Arial" w:eastAsia="Arial" w:hAnsi="Arial"/>
          <w:sz w:val="18"/>
          <w:szCs w:val="18"/>
          <w:color w:val="auto"/>
        </w:rPr>
        <w:t xml:space="preserve"> See Note 8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21" w:lineRule="exact"/>
        <w:rPr>
          <w:rFonts w:ascii="Arial" w:cs="Arial" w:eastAsia="Arial" w:hAnsi="Arial"/>
          <w:sz w:val="18"/>
          <w:szCs w:val="18"/>
          <w:i w:val="1"/>
          <w:iCs w:val="1"/>
          <w:color w:val="auto"/>
        </w:rPr>
      </w:pPr>
    </w:p>
    <w:p>
      <w:pPr>
        <w:ind w:left="980" w:right="20" w:hanging="324"/>
        <w:spacing w:after="0" w:line="255"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0" w:right="80" w:hanging="324"/>
        <w:spacing w:after="0" w:line="279" w:lineRule="auto"/>
        <w:tabs>
          <w:tab w:leader="none" w:pos="975"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the realization of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gains and losses on the settlement of foreign currency transactions as well as the revaluation of monetary assets and liabilities denominated in a foreign currency within our Canadian operations. These gains and losses impact our net revenues but are excluded from Segment Adjusted EBITDA and thus are reflected as an “Adjustment” in the table above.</w:t>
      </w:r>
    </w:p>
    <w:p>
      <w:pPr>
        <w:spacing w:after="0" w:line="198" w:lineRule="exact"/>
        <w:rPr>
          <w:rFonts w:ascii="Arial" w:cs="Arial" w:eastAsia="Arial" w:hAnsi="Arial"/>
          <w:sz w:val="17"/>
          <w:szCs w:val="17"/>
          <w:color w:val="auto"/>
        </w:rPr>
      </w:pPr>
    </w:p>
    <w:p>
      <w:pPr>
        <w:ind w:left="980" w:right="140" w:hanging="324"/>
        <w:spacing w:after="0" w:line="263" w:lineRule="auto"/>
        <w:tabs>
          <w:tab w:leader="none" w:pos="975"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nine months ended September 30, 2021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was primarily driven by lower trucking costs due to more supply connected to pipelines resulting in lower trucking activity in the 2021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increase in depreciation and amortization expense for the three and nine months ended September 30, 2021 compared to the same periods in 2020 was largely driven by a reduction in the useful lives of certain assets. See Note 2 to our Condensed Consolidated Financial Statements for additional information.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net losses on asset sales and asset impairments for 2021 primarily include (i) an approximate $220 million non-cash impairment charge recognized in the third quarter related to the write-down of certain crude oil storage terminal assets as a result of decreased demand for our services due to changing market conditions, (ii) an approximate $475 million non-cash impairment charge related to the write-down of our Pine Prairie and Southern Pines natural gas storage facilities upon classification as held for sale during the second quarter, which were sold on August 2, 2021, and (iii) a gain of $106 million recognized in the second quarter related to the Asset Exchange transaction. See Note 12 to our Condensed Consolidated Financial Statements for additional information. The net loss on asset sales and asset impairments for the nine months ended September 30, 2020 was largely driven by (i) non-cash impairment losses of approximately $446 million recognized in the first quarter related to the write-down of certain pipeline and other long-lived assets due to macroeconomic and geopolitical conditions including the collapse of oil prices driven by both the decrease in demand caused by the COVID-19 pandemic and excess supply, as well as changing market conditions and expected lower crude oil production in certain regions, and (ii) approximately $167 million of impairment losses recognized on assets upon classification as held for sale during the first quarter, which were subsequently sold.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first quarter of 2020, we recognized a goodwill impairment charge of $2.515 billion, representing the entire balance of goodwill.</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During the three and nine months ended September 30, 2020, we recognized losses of $91 million and $202 million, respectively, related to the write-down of certain of our investments in unconsolidated entities. Additionally, during the nine months ended September 30, 2020, we recognized a gain of $21 million related to our sale of a 10% interest in Saddlehorn Pipeline Company, LLC.</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 in interest expense for the three and nine months ended September 30, 2021 compared to the three and nine months ended September 30, 2020 was primarily due to a lower weighted average debt balance and lower average rates during the 2021 periods.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expense, net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82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9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w w:val="95"/>
              </w:rPr>
              <w:t>Gain/(loss) related to mark-to-market adjustment of our Preferred Distribution Rate Reset</w:t>
            </w:r>
          </w:p>
        </w:tc>
        <w:tc>
          <w:tcPr>
            <w:tcW w:w="680" w:type="dxa"/>
            <w:vAlign w:val="bottom"/>
            <w:vMerge w:val="restart"/>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3"/>
                <w:szCs w:val="23"/>
                <w:color w:val="auto"/>
                <w:vertAlign w:val="superscript"/>
              </w:rPr>
              <w:t>(1)</w:t>
            </w:r>
          </w:p>
        </w:tc>
        <w:tc>
          <w:tcPr>
            <w:tcW w:w="6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80" w:type="dxa"/>
            <w:vAlign w:val="bottom"/>
            <w:tcBorders>
              <w:bottom w:val="single" w:sz="8" w:color="auto"/>
            </w:tcBorders>
          </w:tcPr>
          <w:p>
            <w:pPr>
              <w:jc w:val="right"/>
              <w:ind w:right="50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8 to our Condensed Consolidated Financial Statements for additional information.</w:t>
      </w:r>
    </w:p>
    <w:p>
      <w:pPr>
        <w:spacing w:after="0" w:line="63"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net favorable income tax variance for the three and nine months ended September 30, 2021 compared to the three and nine months ended September 30, 2020 was primarily a result of activity within our Canadian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and (ii) borrowings under our credit facilities or commercial paper program. In addition, we may supplement these primary sources of liquidity with proceeds from our divestiture program and in the past we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our long-term debt and</w:t>
      </w:r>
    </w:p>
    <w:p>
      <w:pPr>
        <w:spacing w:after="0" w:line="2" w:lineRule="exact"/>
        <w:rPr>
          <w:sz w:val="20"/>
          <w:szCs w:val="20"/>
          <w:color w:val="auto"/>
        </w:rPr>
      </w:pPr>
    </w:p>
    <w:p>
      <w:pPr>
        <w:ind w:right="60" w:firstLine="8"/>
        <w:spacing w:after="0" w:line="253"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distributions to our unitholders. In addition, we may use cash for repurchases of common equity. We generally expect to fund our short-term cash requirements through cash flow generated from operating activities and/or borrowings under our commercial paper program or credit facilities. In addition, we generally expect to fund our long-term needs, such as those resulting from investment capital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18" w:lineRule="exact"/>
        <w:rPr>
          <w:sz w:val="20"/>
          <w:szCs w:val="20"/>
          <w:color w:val="auto"/>
        </w:rPr>
      </w:pPr>
    </w:p>
    <w:p>
      <w:pPr>
        <w:ind w:right="160" w:firstLine="648"/>
        <w:spacing w:after="0" w:line="284" w:lineRule="auto"/>
        <w:rPr>
          <w:sz w:val="20"/>
          <w:szCs w:val="20"/>
          <w:color w:val="auto"/>
        </w:rPr>
      </w:pPr>
      <w:r>
        <w:rPr>
          <w:rFonts w:ascii="Arial" w:cs="Arial" w:eastAsia="Arial" w:hAnsi="Arial"/>
          <w:sz w:val="17"/>
          <w:szCs w:val="17"/>
          <w:color w:val="auto"/>
        </w:rPr>
        <w:t>As of September 30, 2021, although we had a working capital deficit of $523 million, we had approximately $2.8 billion of liquidity available to meet our ongoing operating, investing and financing needs, subject to continued covenant compliance, as noted below (in millions):</w:t>
      </w:r>
    </w:p>
    <w:tbl>
      <w:tblPr>
        <w:tblLayout w:type="fixed"/>
        <w:tblInd w:w="0" w:type="dxa"/>
        <w:tblCellMar>
          <w:top w:w="0" w:type="dxa"/>
          <w:left w:w="0" w:type="dxa"/>
          <w:bottom w:w="0" w:type="dxa"/>
          <w:right w:w="0" w:type="dxa"/>
        </w:tblCellMar>
      </w:tblPr>
      <w:tr>
        <w:trPr>
          <w:trHeight w:val="146"/>
        </w:trPr>
        <w:tc>
          <w:tcPr>
            <w:tcW w:w="38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615"/>
              <w:spacing w:after="0" w:line="146" w:lineRule="exact"/>
              <w:rPr>
                <w:sz w:val="20"/>
                <w:szCs w:val="20"/>
                <w:color w:val="auto"/>
              </w:rPr>
            </w:pPr>
            <w:r>
              <w:rPr>
                <w:rFonts w:ascii="Arial" w:cs="Arial" w:eastAsia="Arial" w:hAnsi="Arial"/>
                <w:sz w:val="14"/>
                <w:szCs w:val="14"/>
                <w:b w:val="1"/>
                <w:bCs w:val="1"/>
                <w:color w:val="auto"/>
              </w:rPr>
              <w:t>As of</w:t>
            </w:r>
          </w:p>
        </w:tc>
      </w:tr>
      <w:tr>
        <w:trPr>
          <w:trHeight w:val="188"/>
        </w:trPr>
        <w:tc>
          <w:tcPr>
            <w:tcW w:w="3880" w:type="dxa"/>
            <w:vAlign w:val="bottom"/>
            <w:tcBorders>
              <w:bottom w:val="single" w:sz="8" w:color="CCEEFF"/>
            </w:tcBorders>
          </w:tcPr>
          <w:p>
            <w:pPr>
              <w:spacing w:after="0"/>
              <w:rPr>
                <w:sz w:val="16"/>
                <w:szCs w:val="16"/>
                <w:color w:val="auto"/>
              </w:rPr>
            </w:pPr>
          </w:p>
        </w:tc>
        <w:tc>
          <w:tcPr>
            <w:tcW w:w="5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September 30, 2021</w:t>
            </w:r>
          </w:p>
        </w:tc>
      </w:tr>
      <w:tr>
        <w:trPr>
          <w:trHeight w:val="224"/>
        </w:trPr>
        <w:tc>
          <w:tcPr>
            <w:tcW w:w="954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3"/>
                <w:szCs w:val="23"/>
                <w:color w:val="auto"/>
                <w:vertAlign w:val="superscript"/>
              </w:rPr>
              <w:t>(1)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30"/>
        </w:trPr>
        <w:tc>
          <w:tcPr>
            <w:tcW w:w="9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3"/>
                <w:szCs w:val="23"/>
                <w:color w:val="auto"/>
                <w:vertAlign w:val="superscript"/>
              </w:rPr>
              <w:t>(1) (2)</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30"/>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outstanding under commercial paper program</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54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2,636</w:t>
            </w:r>
          </w:p>
        </w:tc>
      </w:tr>
      <w:tr>
        <w:trPr>
          <w:trHeight w:val="230"/>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95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w:t>
            </w:r>
          </w:p>
        </w:tc>
      </w:tr>
      <w:tr>
        <w:trPr>
          <w:trHeight w:val="21"/>
        </w:trPr>
        <w:tc>
          <w:tcPr>
            <w:tcW w:w="3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5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r>
    </w:tbl>
    <w:p>
      <w:pPr>
        <w:spacing w:after="0" w:line="134" w:lineRule="exact"/>
        <w:rPr>
          <w:sz w:val="20"/>
          <w:szCs w:val="20"/>
          <w:color w:val="auto"/>
        </w:rPr>
      </w:pPr>
    </w:p>
    <w:p>
      <w:pPr>
        <w:ind w:left="660" w:right="360" w:hanging="652"/>
        <w:spacing w:after="0" w:line="227" w:lineRule="auto"/>
        <w:tabs>
          <w:tab w:leader="none" w:pos="648"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Represents availability prior to giving effect to borrowings outstanding under our commercial paper program, which reduce available capacity under the facilities.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20" w:hanging="652"/>
        <w:spacing w:after="0" w:line="227" w:lineRule="auto"/>
        <w:tabs>
          <w:tab w:leader="none" w:pos="648"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$57 million and $7 million, respectively.</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August 2021, we entered into new and amended credit agreements to facilitate the renewal and extension of our credit facilities. Our $1.6 billion senior unsecured revolving credit facility with a maturity date of August 2024 was replaced with a $1.35 billion senior unsecured revolving credit facility with an initial maturity in August 2026 and our $1.4 billion senior secured hedged inventory facility with a maturity date of August 2022 was replaced with a $1.35 billion senior secured hedged inventory facility with an initial maturity in August 2024. The credit agreements provide for one or more one-year extensions and have accordion features which, subject to receipt of incremental lender approval and other terms and conditions, permit us to increase borrowing capacity under the senior unsecured revolving credit facility and senior secured hedged inventory facility to $2.1 billion and $1.9 billion, respectively. The covenants and events of default under the new and amended credit agreements remain substantially unchanged from the previous agreements. See Note 6 to our Condensed Consolidated Financial Statements for additional information.</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Additionally, lack of compliance with the provisions in our credit agreements may restrict our ability to make distributions of available cash. We were in compliance with the covenants contained in our credit agreements and indentures as of September 30, 2021.</w:t>
      </w:r>
    </w:p>
    <w:p>
      <w:pPr>
        <w:spacing w:after="0" w:line="21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2020 Annual Report on Form 10-K for further discussion regarding risks that may impact our 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Measures</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reconciliation of the non-GAAP financial liquidity measures Free Cash Flow and Free Cash Flow 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from Net Cash Provided by Operating Activities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175"/>
        </w:trPr>
        <w:tc>
          <w:tcPr>
            <w:tcW w:w="58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Adjustments to reconcile net cash provided by operating activities to free cash</w:t>
            </w: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flow:</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provided by/(used in) investing activities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29"/>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7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8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(1)</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780" w:type="dxa"/>
            <w:vAlign w:val="bottom"/>
          </w:tcPr>
          <w:p>
            <w:pPr>
              <w:jc w:val="right"/>
              <w:ind w:right="597"/>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1,093</w:t>
            </w:r>
          </w:p>
        </w:tc>
        <w:tc>
          <w:tcPr>
            <w:tcW w:w="120" w:type="dxa"/>
            <w:vAlign w:val="bottom"/>
          </w:tcPr>
          <w:p>
            <w:pPr>
              <w:spacing w:after="0"/>
              <w:rPr>
                <w:sz w:val="19"/>
                <w:szCs w:val="19"/>
                <w:color w:val="auto"/>
              </w:rPr>
            </w:pP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58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(2)</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780" w:type="dxa"/>
            <w:vAlign w:val="bottom"/>
            <w:tcBorders>
              <w:bottom w:val="single" w:sz="8" w:color="auto"/>
            </w:tcBorders>
          </w:tcPr>
          <w:p>
            <w:pPr>
              <w:jc w:val="right"/>
              <w:ind w:right="59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21"/>
        </w:trPr>
        <w:tc>
          <w:tcPr>
            <w:tcW w:w="3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1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distributions paid to our preferred and common unitholders during the period presented.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2020 Annual Report on Form 10-K.</w:t>
      </w:r>
    </w:p>
    <w:p>
      <w:pPr>
        <w:spacing w:after="0" w:line="184"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Net cash provided by operating activities for the first nine months of 2021 and 2020 was $1.361 billion and $1.256 billion, respectively, and primarily resulted from earnings from our operations. During the nine months ended September 30, 2020, we increased the volume of our crude oil inventory to be stored during the contango market; however, this increase was offset by lower prices for our inventory stored at the end of the current period compared to the end of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our divestiture program. In the near term, we do not plan to issue common equity to fund such expenditures. The following table summarizes our investment, maintenance and acquisition capital expenditures (in millions):</w:t>
      </w:r>
    </w:p>
    <w:p>
      <w:pPr>
        <w:spacing w:after="0" w:line="2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30"/>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8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(3)</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34" w:lineRule="exact"/>
        <w:rPr>
          <w:sz w:val="20"/>
          <w:szCs w:val="20"/>
          <w:color w:val="auto"/>
        </w:rPr>
      </w:pPr>
    </w:p>
    <w:p>
      <w:pPr>
        <w:jc w:val="both"/>
        <w:ind w:left="660" w:right="260" w:hanging="652"/>
        <w:spacing w:after="0" w:line="234" w:lineRule="auto"/>
        <w:tabs>
          <w:tab w:leader="none" w:pos="648"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94" w:lineRule="exact"/>
        <w:rPr>
          <w:rFonts w:ascii="Arial" w:cs="Arial" w:eastAsia="Arial" w:hAnsi="Arial"/>
          <w:sz w:val="23"/>
          <w:szCs w:val="23"/>
          <w:color w:val="auto"/>
          <w:vertAlign w:val="superscript"/>
        </w:rPr>
      </w:pPr>
    </w:p>
    <w:p>
      <w:pPr>
        <w:ind w:left="660" w:right="240" w:hanging="652"/>
        <w:spacing w:after="0" w:line="227" w:lineRule="auto"/>
        <w:tabs>
          <w:tab w:leader="none" w:pos="648"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00" w:hanging="652"/>
        <w:spacing w:after="0" w:line="234" w:lineRule="auto"/>
        <w:tabs>
          <w:tab w:leader="none" w:pos="648"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Acquisition capital for 2021 represents the cash consideration paid as part of the Asset Exchange transaction. See Note 12 to our Condensed Consolidated Financial Statements for additional information. Acquisition capital for 2020 primarily includes Felix Midstream LLC, a crude oil gathering system located in the Delaware Basin.</w:t>
      </w:r>
    </w:p>
    <w:p>
      <w:pPr>
        <w:spacing w:after="0" w:line="2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2021 Investment and Maintenance Capital. </w:t>
      </w:r>
      <w:r>
        <w:rPr>
          <w:rFonts w:ascii="Arial" w:cs="Arial" w:eastAsia="Arial" w:hAnsi="Arial"/>
          <w:sz w:val="18"/>
          <w:szCs w:val="18"/>
          <w:color w:val="auto"/>
        </w:rPr>
        <w:t>Total projected investment capital for the year ended December 31, 2021 is $275 million,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 invested in our fee-based Transportation and Facilities segments. Additionally, maintenance capital for the full year of 2021 is projected to be $180 million. We expect to fund our 2021 investment and maintenance capital expenditures with retained cash flow and proceeds from assets sold as part of our divestiture program.</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continue to evaluate potential sales of non-core assets and/or sales of partial interests in assets to strategic joint venture partners. The following table summarizes the proceeds received during the first nine months of 2021 and 2020 from sales of assets, which were previously reported in our Transportation and Facilities segments (in millions):</w:t>
      </w:r>
    </w:p>
    <w:p>
      <w:pPr>
        <w:spacing w:after="0" w:line="233"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Nine Months Ended</w:t>
      </w:r>
    </w:p>
    <w:p>
      <w:pPr>
        <w:jc w:val="center"/>
        <w:ind w:left="8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40"/>
        <w:spacing w:after="0"/>
        <w:tabs>
          <w:tab w:leader="none" w:pos="8260" w:val="left"/>
          <w:tab w:leader="none" w:pos="9340" w:val="left"/>
          <w:tab w:leader="none" w:pos="9800" w:val="left"/>
          <w:tab w:leader="none" w:pos="10880" w:val="left"/>
        </w:tabs>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878</w:t>
        <w:tab/>
        <w:t>$</w:t>
      </w:r>
      <w:r>
        <w:rPr>
          <w:sz w:val="20"/>
          <w:szCs w:val="20"/>
          <w:color w:val="auto"/>
        </w:rPr>
        <w:tab/>
      </w:r>
      <w:r>
        <w:rPr>
          <w:rFonts w:ascii="Arial" w:cs="Arial" w:eastAsia="Arial" w:hAnsi="Arial"/>
          <w:sz w:val="15"/>
          <w:szCs w:val="15"/>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459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27"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Represents gross proceeds, including working capital adjustments, before deducting transaction costs.</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proceeds from divestitures in 2021 are primarily from the sale of our Pine Prairie and Southern Pines natural gas storage facilities on August 2, 2021. See Note 12 to our Condensed Consolidated Financial Statements for additional information. Proceeds from divestitures were used to reduce debt levels and fund our investment capital projects.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21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Business—Divestitures, joint ventures, joint ownership arrangements and acquisitions involve risks that may adversely affect our business” included in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During the nine months ended September 30, 2021, we had net repayments on our credit facilities and commercial paper program of $713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nine months ended September 30, 2020, we had net repayments on our credit facilities and commercial paper program of $306 million. The net repayments resulted primarily from cash flow from operating activities, proceeds from asset sales and the issuance of $750 million, 3.80% senior notes in June 2020, which offset borrowings during the period related to funding needs for capital investments, inventory purchases and other general partnership purposes.</w:t>
      </w:r>
    </w:p>
    <w:p>
      <w:pPr>
        <w:spacing w:after="0" w:line="214"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In connection with the sale of our Pine Prairie and Southern Pines natural gas storage facilities on August 2, 2021, we repaid our two GO Zone term loans totaling $200 million. See Note 12 for additional information regarding the sale of our natural gas storage facilities.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repurchased 11,917,303 common units under the Program through open market purchases that settled during the nine months ended September 30, 2021. The total purchase price of these repurchases was $117 million, including commissions and fees. At September 30, 2021, the remaining available capacity under the Program was $333 million.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periodically access the capital markets for both equity and debt financing. We have filed with the SEC a universal shelf registration statement that, subject to effectiveness at the time of use, allows us to issue, in the aggregate, up to a specified amount of debt or equity securities (“Traditional Shelf”), under which we had approximately $1.1 billion of unsold securities available at September 30, 2021.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nine months ended September 30,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Unitholders</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included in our 2020 Annual Report on Form 10-K for additional discussion regarding distributions.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7 to our Condensed Consolidated Financial Statements for details of distributions paid during or pertaining to the first nine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September 30, 2021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20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2026 and</w:t>
            </w:r>
          </w:p>
        </w:tc>
        <w:tc>
          <w:tcPr>
            <w:tcW w:w="220" w:type="dxa"/>
            <w:vAlign w:val="bottom"/>
          </w:tcPr>
          <w:p>
            <w:pPr>
              <w:spacing w:after="0"/>
              <w:rPr>
                <w:sz w:val="14"/>
                <w:szCs w:val="14"/>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Thereafter</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13,429</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23"/>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16,360</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144,431</w:t>
            </w: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160,791</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left="4" w:right="160" w:hanging="11"/>
        <w:spacing w:after="0" w:line="255" w:lineRule="auto"/>
        <w:rPr>
          <w:sz w:val="20"/>
          <w:szCs w:val="20"/>
          <w:color w:val="auto"/>
        </w:rPr>
      </w:pPr>
      <w:r>
        <w:rPr>
          <w:rFonts w:ascii="Arial" w:cs="Arial" w:eastAsia="Arial" w:hAnsi="Arial"/>
          <w:sz w:val="18"/>
          <w:szCs w:val="18"/>
          <w:color w:val="auto"/>
        </w:rPr>
        <w:t>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agreements or commercial paper program) in the amounts above. For additional information regarding our debt obligations, see Note 6 to our Condensed Consolidated Financial Statements.</w:t>
      </w:r>
    </w:p>
    <w:p>
      <w:pPr>
        <w:spacing w:after="0" w:line="84" w:lineRule="exact"/>
        <w:rPr>
          <w:sz w:val="20"/>
          <w:szCs w:val="20"/>
          <w:color w:val="auto"/>
        </w:rPr>
      </w:pPr>
    </w:p>
    <w:p>
      <w:pPr>
        <w:ind w:left="4" w:right="180" w:hanging="11"/>
        <w:spacing w:after="0" w:line="263"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land, (iii) office space, (iv) storage tanks, (v) tractor trailers and (vi) vehicles. See Note 14 to our Consolidated Financial Statements included in Part IV of our 2020 Annual Report on Form 10-K for additional information.</w:t>
      </w:r>
    </w:p>
    <w:p>
      <w:pPr>
        <w:spacing w:after="0" w:line="76" w:lineRule="exact"/>
        <w:rPr>
          <w:sz w:val="20"/>
          <w:szCs w:val="20"/>
          <w:color w:val="auto"/>
        </w:rPr>
      </w:pPr>
    </w:p>
    <w:p>
      <w:pPr>
        <w:ind w:left="4" w:right="160" w:hanging="11"/>
        <w:spacing w:after="0" w:line="291"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4" w:right="120" w:hanging="4"/>
        <w:spacing w:after="0" w:line="253" w:lineRule="auto"/>
        <w:tabs>
          <w:tab w:leader="none" w:pos="3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noncancelable commitments related to our investment capital projects, including projected contributions for our share of the capital spending of our equity method investments. The storage, processing and transportation agreements include approximately $1.8 billion associated with agreements to store crude oil at facilities and transport crude oil or utilize capacity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83" w:lineRule="exact"/>
        <w:rPr>
          <w:sz w:val="20"/>
          <w:szCs w:val="20"/>
          <w:color w:val="auto"/>
        </w:rPr>
      </w:pPr>
    </w:p>
    <w:p>
      <w:pPr>
        <w:ind w:left="4" w:right="120" w:hanging="11"/>
        <w:spacing w:after="0" w:line="311" w:lineRule="auto"/>
        <w:rPr>
          <w:sz w:val="20"/>
          <w:szCs w:val="20"/>
          <w:color w:val="auto"/>
        </w:rPr>
      </w:pPr>
      <w:r>
        <w:rPr>
          <w:rFonts w:ascii="Arial" w:cs="Arial" w:eastAsia="Arial" w:hAnsi="Arial"/>
          <w:sz w:val="16"/>
          <w:szCs w:val="16"/>
          <w:color w:val="auto"/>
        </w:rPr>
        <w:t>Amounts are primarily based on estimated volumes and market prices based on average activity during September 2021.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0" w:lineRule="exact"/>
        <w:rPr>
          <w:sz w:val="20"/>
          <w:szCs w:val="20"/>
          <w:color w:val="auto"/>
        </w:rPr>
      </w:pPr>
    </w:p>
    <w:p>
      <w:pPr>
        <w:sectPr>
          <w:pgSz w:w="11900" w:h="16838" w:orient="portrait"/>
          <w:cols w:equalWidth="0" w:num="2">
            <w:col w:w="140" w:space="516"/>
            <w:col w:w="10584"/>
          </w:cols>
          <w:pgMar w:left="320" w:top="125" w:right="3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September 30, 2021 and December 31, 2020, we had outstanding letters of credit of approximately $64 million and $129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2020 Annual Report on Form 10-K.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 in Accounting Estimate</w:t>
      </w:r>
    </w:p>
    <w:p>
      <w:pPr>
        <w:spacing w:after="0" w:line="2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early 2021, we conducted a review to assess the useful lives of our property and equipment. Based on this review, we modified the useful lives of certain of our Pipelines and related facilities and Storage, terminal and rail facilities to useful lives of 10 to 50 years from useful lives of 10 to 70 years to reflect current expectations given our future operating and commercial outlook. This change in accounting estimate was effective January 1, 2021. Based on the net carrying amount of this property and equipment as of January 1, 2021, we currently estimate that these useful life reductions will prospectively increase annual depreciation expense by approximately $72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right="60" w:hanging="324"/>
        <w:spacing w:after="0" w:line="254"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86" w:lineRule="exact"/>
        <w:rPr>
          <w:rFonts w:ascii="Arial" w:cs="Arial" w:eastAsia="Arial" w:hAnsi="Arial"/>
          <w:sz w:val="18"/>
          <w:szCs w:val="18"/>
          <w:color w:val="auto"/>
        </w:rPr>
      </w:pPr>
    </w:p>
    <w:p>
      <w:pPr>
        <w:ind w:left="980" w:right="60" w:hanging="324"/>
        <w:spacing w:after="0" w:line="263" w:lineRule="auto"/>
        <w:tabs>
          <w:tab w:leader="none" w:pos="975"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i w:val="1"/>
          <w:iCs w:val="1"/>
          <w:color w:val="auto"/>
        </w:rPr>
      </w:pPr>
    </w:p>
    <w:p>
      <w:pPr>
        <w:ind w:left="980" w:right="360" w:hanging="324"/>
        <w:spacing w:after="0" w:line="342" w:lineRule="auto"/>
        <w:tabs>
          <w:tab w:leader="none" w:pos="9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22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right="340" w:hanging="324"/>
        <w:spacing w:after="0" w:line="25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jc w:val="both"/>
        <w:ind w:left="980" w:right="360" w:hanging="324"/>
        <w:spacing w:after="0" w:line="342" w:lineRule="auto"/>
        <w:tabs>
          <w:tab w:leader="none" w:pos="9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20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right="420" w:hanging="324"/>
        <w:spacing w:after="0" w:line="286" w:lineRule="auto"/>
        <w:tabs>
          <w:tab w:leader="none" w:pos="97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57" w:lineRule="exact"/>
        <w:rPr>
          <w:rFonts w:ascii="Arial" w:cs="Arial" w:eastAsia="Arial" w:hAnsi="Arial"/>
          <w:sz w:val="17"/>
          <w:szCs w:val="17"/>
          <w:color w:val="auto"/>
        </w:rPr>
      </w:pPr>
    </w:p>
    <w:p>
      <w:pPr>
        <w:ind w:left="980" w:right="80" w:hanging="324"/>
        <w:spacing w:after="0" w:line="263"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right="240" w:hanging="324"/>
        <w:spacing w:after="0" w:line="311" w:lineRule="auto"/>
        <w:tabs>
          <w:tab w:leader="none" w:pos="9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40" w:lineRule="exact"/>
        <w:rPr>
          <w:rFonts w:ascii="Arial" w:cs="Arial" w:eastAsia="Arial" w:hAnsi="Arial"/>
          <w:sz w:val="16"/>
          <w:szCs w:val="16"/>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2020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1300" w:right="3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basis differentials. We manage these exposures with various instruments including futures, forwards, swaps and options.</w:t>
      </w:r>
    </w:p>
    <w:p>
      <w:pPr>
        <w:spacing w:after="0" w:line="21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1300" w:right="5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3"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rFonts w:ascii="Arial" w:cs="Arial" w:eastAsia="Arial" w:hAnsi="Arial"/>
          <w:sz w:val="18"/>
          <w:szCs w:val="18"/>
          <w:color w:val="auto"/>
        </w:rPr>
      </w:pPr>
    </w:p>
    <w:p>
      <w:pPr>
        <w:ind w:left="1300" w:right="60"/>
        <w:spacing w:after="0" w:line="263" w:lineRule="auto"/>
        <w:rPr>
          <w:rFonts w:ascii="Arial" w:cs="Arial" w:eastAsia="Arial" w:hAnsi="Arial"/>
          <w:sz w:val="18"/>
          <w:szCs w:val="18"/>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6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2021 that would be expected from a 10% price increase or decrease is shown in the table below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60" w:type="dxa"/>
            <w:vAlign w:val="bottom"/>
          </w:tcPr>
          <w:p>
            <w:pPr>
              <w:jc w:val="right"/>
              <w:ind w:right="197"/>
              <w:spacing w:after="0"/>
              <w:rPr>
                <w:sz w:val="20"/>
                <w:szCs w:val="20"/>
                <w:color w:val="auto"/>
              </w:rPr>
            </w:pPr>
            <w:r>
              <w:rPr>
                <w:rFonts w:ascii="Arial" w:cs="Arial" w:eastAsia="Arial" w:hAnsi="Arial"/>
                <w:sz w:val="14"/>
                <w:szCs w:val="14"/>
                <w:b w:val="1"/>
                <w:bCs w:val="1"/>
                <w:color w:val="auto"/>
                <w:w w:val="95"/>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We did not have any variable rate debt outstanding at September 30, 2021. The fair value of our interest rate derivatives was a net asset of $81 million as of September 30, 2021. A 10% increase in the forward LIBOR curve as of September 30, 2021 would have resulted in an increase of $17 million to the fair value of our interest rate derivatives. A 10% decrease in the forward LIBOR curve as of September 30, 2021 would have resulted in a decrease of $17 million to the fair value of our interest rate derivatives. See Note 8 to our Condensed Consolidated Financial Statements for a discussion of our interest rate risk hedging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$1 million as of September 30, 2021. A 10% increase in the exchange rate (USD-to-CAD) would have resulted in an increase of $12 million to the fair value of our foreign currency derivatives. A 10% decrease in the exchange rate (USD-to-CAD) would have resulted in a decrease of $12 million to the fair value of our foreign currency derivatives. See Note 8 to our Condensed Consolidated Financial Statements for a discussion of our currency exchange rate risk hedging.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United States treasury rates, default probabilities and timing estimates to ultimately calculate the fair value of our Series A preferred units with and without the Preferred Distribution Rate Reset Option. The fair value of this embedded derivative was a liability of $1 million as of September 30, 2021. A 10% increase or decrease in the fair value would have an impact of less than $1 million. See Note 8 to our Condensed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2021,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10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For a discussion of our risk factors, see Item 1A. of our 2020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52" w:lineRule="exact"/>
        <w:rPr>
          <w:sz w:val="20"/>
          <w:szCs w:val="20"/>
          <w:color w:val="auto"/>
        </w:rPr>
      </w:pPr>
    </w:p>
    <w:p>
      <w:pPr>
        <w:ind w:right="2120" w:firstLine="177"/>
        <w:spacing w:after="0" w:line="290" w:lineRule="auto"/>
        <w:rPr>
          <w:sz w:val="20"/>
          <w:szCs w:val="20"/>
          <w:color w:val="auto"/>
        </w:rPr>
      </w:pPr>
      <w:r>
        <w:rPr>
          <w:rFonts w:ascii="Arial" w:cs="Arial" w:eastAsia="Arial" w:hAnsi="Arial"/>
          <w:sz w:val="16"/>
          <w:szCs w:val="16"/>
          <w:color w:val="auto"/>
        </w:rPr>
        <w:t>The Omnibus Agreement, entered into as part of the Simplification Transactions, which closed on November 15, 2016, provides for the mechanics by which (i) the total number of PAGP’s outstanding Class A shares will equal the number of AAP units held by PAGP, and (ii) the total number of our common units held by AAP will equal the sum of the number of outstanding Class A units of AAP (“AAP units”) and the number of AAP units that are issuable to the holders of vested and earned Class B units of AAP (“AAP Management Units”). As such, we are obligated to issue common units to AAP in connection with PAGP’s issuance of Class A shares upon PAGP LTIP award vestings. During the three months ended September 30, 2021, we issued 18,546 common units to AAP in connection with PAGP LTIP award vestings. This issuance was exempt from the registration requirements of the Securities Act of 1933, as amended, pursuant to Section 4(a)(2) thereof.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equity repurchase activity during the third quarter of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2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Total Number of Common Units</w:t>
            </w:r>
          </w:p>
        </w:tc>
        <w:tc>
          <w:tcPr>
            <w:tcW w:w="140" w:type="dxa"/>
            <w:vAlign w:val="bottom"/>
          </w:tcPr>
          <w:p>
            <w:pPr>
              <w:spacing w:after="0"/>
              <w:rPr>
                <w:sz w:val="14"/>
                <w:szCs w:val="14"/>
                <w:color w:val="auto"/>
              </w:rPr>
            </w:pPr>
          </w:p>
        </w:tc>
        <w:tc>
          <w:tcPr>
            <w:tcW w:w="2000" w:type="dxa"/>
            <w:vAlign w:val="bottom"/>
          </w:tcPr>
          <w:p>
            <w:pPr>
              <w:jc w:val="right"/>
              <w:ind w:right="96"/>
              <w:spacing w:after="0"/>
              <w:rPr>
                <w:sz w:val="20"/>
                <w:szCs w:val="20"/>
                <w:color w:val="auto"/>
              </w:rPr>
            </w:pPr>
            <w:r>
              <w:rPr>
                <w:rFonts w:ascii="Arial" w:cs="Arial" w:eastAsia="Arial" w:hAnsi="Arial"/>
                <w:sz w:val="14"/>
                <w:szCs w:val="14"/>
                <w:b w:val="1"/>
                <w:bCs w:val="1"/>
                <w:color w:val="auto"/>
                <w:w w:val="95"/>
              </w:rPr>
              <w:t>Approximate Dollar Value of</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Common Units</w:t>
            </w:r>
          </w:p>
        </w:tc>
        <w:tc>
          <w:tcPr>
            <w:tcW w:w="1580" w:type="dxa"/>
            <w:vAlign w:val="bottom"/>
            <w:gridSpan w:val="3"/>
            <w:vMerge w:val="continue"/>
          </w:tcPr>
          <w:p>
            <w:pPr>
              <w:spacing w:after="0"/>
              <w:rPr>
                <w:sz w:val="11"/>
                <w:szCs w:val="11"/>
                <w:color w:val="auto"/>
              </w:rPr>
            </w:pP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2140" w:type="dxa"/>
            <w:vAlign w:val="bottom"/>
            <w:gridSpan w:val="2"/>
          </w:tcPr>
          <w:p>
            <w:pPr>
              <w:jc w:val="right"/>
              <w:ind w:right="16"/>
              <w:spacing w:after="0" w:line="135" w:lineRule="exact"/>
              <w:rPr>
                <w:sz w:val="20"/>
                <w:szCs w:val="20"/>
                <w:color w:val="auto"/>
              </w:rPr>
            </w:pPr>
            <w:r>
              <w:rPr>
                <w:rFonts w:ascii="Arial" w:cs="Arial" w:eastAsia="Arial" w:hAnsi="Arial"/>
                <w:sz w:val="14"/>
                <w:szCs w:val="14"/>
                <w:b w:val="1"/>
                <w:bCs w:val="1"/>
                <w:color w:val="auto"/>
                <w:w w:val="97"/>
              </w:rPr>
              <w:t>Common Units that May Yet Be</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6"/>
                <w:szCs w:val="16"/>
                <w:color w:val="auto"/>
              </w:rPr>
            </w:pPr>
          </w:p>
        </w:tc>
        <w:tc>
          <w:tcPr>
            <w:tcW w:w="1420" w:type="dxa"/>
            <w:vAlign w:val="bottom"/>
            <w:gridSpan w:val="2"/>
          </w:tcPr>
          <w:p>
            <w:pPr>
              <w:ind w:left="60"/>
              <w:spacing w:after="0" w:line="189" w:lineRule="exact"/>
              <w:rPr>
                <w:sz w:val="20"/>
                <w:szCs w:val="20"/>
                <w:color w:val="auto"/>
              </w:rPr>
            </w:pPr>
            <w:r>
              <w:rPr>
                <w:rFonts w:ascii="Arial" w:cs="Arial" w:eastAsia="Arial" w:hAnsi="Arial"/>
                <w:sz w:val="14"/>
                <w:szCs w:val="14"/>
                <w:b w:val="1"/>
                <w:bCs w:val="1"/>
                <w:color w:val="auto"/>
              </w:rPr>
              <w:t xml:space="preserve">Common Unit </w:t>
            </w:r>
            <w:r>
              <w:rPr>
                <w:rFonts w:ascii="Arial" w:cs="Arial" w:eastAsia="Arial" w:hAnsi="Arial"/>
                <w:sz w:val="18"/>
                <w:szCs w:val="18"/>
                <w:b w:val="1"/>
                <w:bCs w:val="1"/>
                <w:color w:val="auto"/>
                <w:vertAlign w:val="superscript"/>
              </w:rPr>
              <w:t>(1)</w:t>
            </w:r>
          </w:p>
        </w:tc>
        <w:tc>
          <w:tcPr>
            <w:tcW w:w="2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Announced Program</w:t>
            </w:r>
          </w:p>
        </w:tc>
        <w:tc>
          <w:tcPr>
            <w:tcW w:w="2140" w:type="dxa"/>
            <w:vAlign w:val="bottom"/>
            <w:gridSpan w:val="2"/>
          </w:tcPr>
          <w:p>
            <w:pPr>
              <w:jc w:val="right"/>
              <w:spacing w:after="0" w:line="189" w:lineRule="exact"/>
              <w:rPr>
                <w:sz w:val="20"/>
                <w:szCs w:val="20"/>
                <w:color w:val="auto"/>
              </w:rPr>
            </w:pPr>
            <w:r>
              <w:rPr>
                <w:rFonts w:ascii="Arial" w:cs="Arial" w:eastAsia="Arial" w:hAnsi="Arial"/>
                <w:sz w:val="14"/>
                <w:szCs w:val="14"/>
                <w:b w:val="1"/>
                <w:bCs w:val="1"/>
                <w:color w:val="auto"/>
                <w:w w:val="93"/>
              </w:rPr>
              <w:t xml:space="preserve">Purchased under the Program </w:t>
            </w:r>
            <w:r>
              <w:rPr>
                <w:rFonts w:ascii="Arial" w:cs="Arial" w:eastAsia="Arial" w:hAnsi="Arial"/>
                <w:sz w:val="18"/>
                <w:szCs w:val="18"/>
                <w:b w:val="1"/>
                <w:bCs w:val="1"/>
                <w:color w:val="auto"/>
                <w:w w:val="93"/>
                <w:vertAlign w:val="superscript"/>
              </w:rPr>
              <w:t>(2)</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1, 2021 - August 31, 2021</w:t>
            </w: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5,126,711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5,126,711</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346,761,612</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September 1, 2021 - September 30, 2021</w:t>
            </w:r>
          </w:p>
        </w:tc>
        <w:tc>
          <w:tcPr>
            <w:tcW w:w="1460" w:type="dxa"/>
            <w:vAlign w:val="bottom"/>
          </w:tcPr>
          <w:p>
            <w:pPr>
              <w:jc w:val="right"/>
              <w:ind w:right="1"/>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0"/>
                <w:szCs w:val="20"/>
                <w:color w:val="auto"/>
              </w:rPr>
            </w:pPr>
          </w:p>
        </w:tc>
        <w:tc>
          <w:tcPr>
            <w:tcW w:w="2100" w:type="dxa"/>
            <w:vAlign w:val="bottom"/>
          </w:tcPr>
          <w:p>
            <w:pPr>
              <w:jc w:val="right"/>
              <w:ind w:right="1"/>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332,701,962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1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Average price paid per common unit includes costs associated with the repurchases.</w:t>
      </w:r>
    </w:p>
    <w:p>
      <w:pPr>
        <w:spacing w:after="0" w:line="117" w:lineRule="exact"/>
        <w:rPr>
          <w:sz w:val="20"/>
          <w:szCs w:val="20"/>
          <w:color w:val="auto"/>
        </w:rPr>
      </w:pPr>
    </w:p>
    <w:p>
      <w:pPr>
        <w:ind w:left="20" w:right="40" w:hanging="11"/>
        <w:spacing w:after="0" w:line="254" w:lineRule="auto"/>
        <w:rPr>
          <w:sz w:val="20"/>
          <w:szCs w:val="20"/>
          <w:color w:val="auto"/>
        </w:rPr>
      </w:pPr>
      <w:r>
        <w:rPr>
          <w:rFonts w:ascii="Arial" w:cs="Arial" w:eastAsia="Arial" w:hAnsi="Arial"/>
          <w:sz w:val="18"/>
          <w:szCs w:val="18"/>
          <w:color w:val="auto"/>
        </w:rPr>
        <w:t>In November 2020, the board of directors of PAA GP Holdings LLC approved a $500 million common equity repurchase program (the “Program”), which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Class A shares that are repurchased will be canceled. No PAGP Class A shares were repurchased during the periods presented. The common units repurchased under the Program during the periods presented were cancelled immediately upon acquisition.</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062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66" w:lineRule="exact"/>
        <w:rPr>
          <w:sz w:val="20"/>
          <w:szCs w:val="20"/>
          <w:color w:val="auto"/>
        </w:rPr>
      </w:pPr>
    </w:p>
    <w:p>
      <w:pPr>
        <w:ind w:left="1380" w:hanging="1308"/>
        <w:spacing w:after="0" w:line="232"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 xml:space="preserve">— </w:t>
      </w:r>
      <w:hyperlink r:id="rId91">
        <w:r>
          <w:rPr>
            <w:rFonts w:ascii="Arial" w:cs="Arial" w:eastAsia="Arial" w:hAnsi="Arial"/>
            <w:sz w:val="17"/>
            <w:szCs w:val="17"/>
            <w:u w:val="single" w:color="auto"/>
            <w:color w:val="0000FF"/>
          </w:rPr>
          <w:t>Agreement and Plan of Merger dated as of July 12, 2021 by and among Plains Pipeline, L.P., Plains Marketing, L.P., Oryx</w:t>
        </w:r>
      </w:hyperlink>
      <w:r>
        <w:rPr>
          <w:rFonts w:ascii="Arial" w:cs="Arial" w:eastAsia="Arial" w:hAnsi="Arial"/>
          <w:sz w:val="17"/>
          <w:szCs w:val="17"/>
          <w:color w:val="auto"/>
        </w:rPr>
        <w:t xml:space="preserve"> </w:t>
      </w:r>
      <w:hyperlink r:id="rId91">
        <w:r>
          <w:rPr>
            <w:rFonts w:ascii="Arial" w:cs="Arial" w:eastAsia="Arial" w:hAnsi="Arial"/>
            <w:sz w:val="17"/>
            <w:szCs w:val="17"/>
            <w:u w:val="single" w:color="auto"/>
            <w:color w:val="0000FF"/>
          </w:rPr>
          <w:t>Midstream Holdings LLC, Middle Cadence Holdings LLC, POP HoldCo LLC, Oryx Wink Oil Marketing LLC, Oryx Permian Oil</w:t>
        </w:r>
      </w:hyperlink>
      <w:r>
        <w:rPr>
          <w:rFonts w:ascii="Arial" w:cs="Arial" w:eastAsia="Arial" w:hAnsi="Arial"/>
          <w:sz w:val="17"/>
          <w:szCs w:val="17"/>
          <w:u w:val="single" w:color="auto"/>
          <w:color w:val="0000FF"/>
        </w:rPr>
        <w:t xml:space="preserve"> </w:t>
      </w:r>
      <w:hyperlink r:id="rId91">
        <w:r>
          <w:rPr>
            <w:rFonts w:ascii="Arial" w:cs="Arial" w:eastAsia="Arial" w:hAnsi="Arial"/>
            <w:sz w:val="17"/>
            <w:szCs w:val="17"/>
            <w:u w:val="single" w:color="auto"/>
            <w:color w:val="0000FF"/>
          </w:rPr>
          <w:t>Marketing LLC, Plains Oryx Permian Basin LLC, Plains Oryx Permian Basin Marketing LLC and Plains Oryx Permian Basin</w:t>
        </w:r>
      </w:hyperlink>
      <w:r>
        <w:rPr>
          <w:rFonts w:ascii="Arial" w:cs="Arial" w:eastAsia="Arial" w:hAnsi="Arial"/>
          <w:sz w:val="17"/>
          <w:szCs w:val="17"/>
          <w:u w:val="single" w:color="auto"/>
          <w:color w:val="0000FF"/>
        </w:rPr>
        <w:t xml:space="preserve"> </w:t>
      </w:r>
      <w:hyperlink r:id="rId91">
        <w:r>
          <w:rPr>
            <w:rFonts w:ascii="Arial" w:cs="Arial" w:eastAsia="Arial" w:hAnsi="Arial"/>
            <w:sz w:val="17"/>
            <w:szCs w:val="17"/>
            <w:u w:val="single" w:color="auto"/>
            <w:color w:val="0000FF"/>
          </w:rPr>
          <w:t>Pipeline LLC (incorporated by reference to Exhibit 2.1 to our Current Report on Form 8-K filed July 13, 2021).</w:t>
        </w:r>
      </w:hyperlink>
    </w:p>
    <w:p>
      <w:pPr>
        <w:spacing w:after="0" w:line="93" w:lineRule="exact"/>
        <w:rPr>
          <w:rFonts w:ascii="Arial" w:cs="Arial" w:eastAsia="Arial" w:hAnsi="Arial"/>
          <w:sz w:val="17"/>
          <w:szCs w:val="17"/>
          <w:u w:val="single" w:color="auto"/>
          <w:color w:val="0000FF"/>
        </w:rPr>
      </w:pPr>
    </w:p>
    <w:p>
      <w:pPr>
        <w:ind w:left="48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hyperlink r:id="rId92">
        <w:r>
          <w:rPr>
            <w:rFonts w:ascii="Arial" w:cs="Arial" w:eastAsia="Arial" w:hAnsi="Arial"/>
            <w:sz w:val="16"/>
            <w:szCs w:val="16"/>
            <w:u w:val="single" w:color="auto"/>
            <w:color w:val="0000FF"/>
          </w:rPr>
          <w:t>Seventh Amended and Restated Agreement of Limited Partnership of Plains All American Pipeline, L.P., dated as of October 10,</w:t>
        </w:r>
      </w:hyperlink>
    </w:p>
    <w:p>
      <w:pPr>
        <w:ind w:left="1760"/>
        <w:spacing w:after="0"/>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2017 (incorporated by reference to Exhibit 3.1 to our Current Report on Form 8-K filed October 12, 2017).</w:t>
        </w:r>
      </w:hyperlink>
    </w:p>
    <w:p>
      <w:pPr>
        <w:spacing w:after="0" w:line="115" w:lineRule="exact"/>
        <w:rPr>
          <w:rFonts w:ascii="Arial" w:cs="Arial" w:eastAsia="Arial" w:hAnsi="Arial"/>
          <w:sz w:val="17"/>
          <w:szCs w:val="17"/>
          <w:u w:val="single" w:color="auto"/>
          <w:color w:val="0000FF"/>
        </w:rPr>
      </w:pPr>
    </w:p>
    <w:p>
      <w:pPr>
        <w:ind w:left="1380" w:right="60" w:hanging="126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Third Amended and Restated Agreement of Limited Partnership of Plains Marketing, L.P. dated as of April 1, 2004 (incorporated</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by reference to Exhibit 3.2 to our Quarterly Report on Form 10-Q for the quarter ended March 31, 2004).</w:t>
        </w:r>
      </w:hyperlink>
    </w:p>
    <w:p>
      <w:pPr>
        <w:spacing w:after="0" w:line="108" w:lineRule="exact"/>
        <w:rPr>
          <w:sz w:val="20"/>
          <w:szCs w:val="20"/>
          <w:color w:val="auto"/>
        </w:rPr>
      </w:pPr>
    </w:p>
    <w:p>
      <w:pPr>
        <w:ind w:left="1380" w:right="2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Amendment No. 1 dated December 31, 2010 to the Third Amended and Restated Agreement of Limited Partnership of Plains</w:t>
        </w:r>
      </w:hyperlink>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Marketing, L.P. (incorporated by reference to Exhibit 3.9 to our Annual Report on Form 10-K for the year ended December 31,</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380" w:right="1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FF"/>
          </w:rPr>
          <w:t>Amendment No. 2 dated January 1, 2011 to the Third Amended and Restated Agreement of Limited Partnership of Plains</w:t>
        </w:r>
      </w:hyperlink>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FF"/>
          </w:rPr>
          <w:t>Marketing,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380" w:right="2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Amendment No. 3 dated June 30, 2011 to the Third Amended and Restated Agreement of Limited Partnership of Plains</w:t>
        </w:r>
      </w:hyperlink>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380" w:right="26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Amendment No. 4 dated January 1, 2013 to the Third Amended and Restated Agreement of Limited Partnership of Plains</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Marketing, L.P (incorporated by reference to Exhibit 3.8 to our Annual Report on Form 10-K for the year ended December 31,</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380" w:right="1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Amendment No. 5 dated December 1, 2019 to the Third Amended and Restated Agreement of Limited Partnership of Plains</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2019).</w:t>
        </w:r>
      </w:hyperlink>
    </w:p>
    <w:p>
      <w:pPr>
        <w:spacing w:after="0" w:line="109" w:lineRule="exact"/>
        <w:rPr>
          <w:rFonts w:ascii="Arial" w:cs="Arial" w:eastAsia="Arial" w:hAnsi="Arial"/>
          <w:sz w:val="18"/>
          <w:szCs w:val="18"/>
          <w:color w:val="auto"/>
        </w:rPr>
      </w:pPr>
    </w:p>
    <w:p>
      <w:pPr>
        <w:ind w:left="1380" w:hanging="126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FF"/>
          </w:rPr>
          <w:t>Third Amended and Restated Agreement of Limited Partnership of Plains Pipeline, L.P. dated as of April 1, 2004 (incorporated by</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FF"/>
          </w:rPr>
          <w:t>reference to Exhibit 3.3 to our Quarterly Report on Form 10-Q for the quarter ended March 31, 2004).</w:t>
        </w:r>
      </w:hyperlink>
    </w:p>
    <w:p>
      <w:pPr>
        <w:spacing w:after="0" w:line="108" w:lineRule="exact"/>
        <w:rPr>
          <w:sz w:val="20"/>
          <w:szCs w:val="20"/>
          <w:color w:val="auto"/>
        </w:rPr>
      </w:pPr>
    </w:p>
    <w:p>
      <w:pPr>
        <w:ind w:left="1380" w:right="30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100">
        <w:r>
          <w:rPr>
            <w:rFonts w:ascii="Arial" w:cs="Arial" w:eastAsia="Arial" w:hAnsi="Arial"/>
            <w:sz w:val="18"/>
            <w:szCs w:val="18"/>
            <w:u w:val="single" w:color="auto"/>
            <w:color w:val="0000FF"/>
          </w:rPr>
          <w:t>Amendment No. 1 dated January 1, 2013 to the Third Amended and Restated Agreement of Limited Partnership of Plains</w:t>
        </w:r>
      </w:hyperlink>
      <w:r>
        <w:rPr>
          <w:rFonts w:ascii="Arial" w:cs="Arial" w:eastAsia="Arial" w:hAnsi="Arial"/>
          <w:sz w:val="18"/>
          <w:szCs w:val="18"/>
          <w:color w:val="auto"/>
        </w:rPr>
        <w:t xml:space="preserve"> </w:t>
      </w:r>
      <w:hyperlink r:id="rId100">
        <w:r>
          <w:rPr>
            <w:rFonts w:ascii="Arial" w:cs="Arial" w:eastAsia="Arial" w:hAnsi="Arial"/>
            <w:sz w:val="18"/>
            <w:szCs w:val="18"/>
            <w:u w:val="single" w:color="auto"/>
            <w:color w:val="0000FF"/>
          </w:rPr>
          <w:t>Pipeline,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2013).</w:t>
        </w:r>
      </w:hyperlink>
    </w:p>
    <w:p>
      <w:pPr>
        <w:spacing w:after="0" w:line="93" w:lineRule="exact"/>
        <w:rPr>
          <w:rFonts w:ascii="Arial" w:cs="Arial" w:eastAsia="Arial" w:hAnsi="Arial"/>
          <w:sz w:val="18"/>
          <w:szCs w:val="18"/>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w:t>
      </w:r>
      <w:r>
        <w:rPr>
          <w:sz w:val="20"/>
          <w:szCs w:val="20"/>
          <w:color w:val="auto"/>
        </w:rPr>
        <w:tab/>
      </w:r>
      <w:hyperlink r:id="rId101">
        <w:r>
          <w:rPr>
            <w:rFonts w:ascii="Arial" w:cs="Arial" w:eastAsia="Arial" w:hAnsi="Arial"/>
            <w:sz w:val="16"/>
            <w:szCs w:val="16"/>
            <w:u w:val="single" w:color="auto"/>
            <w:color w:val="0000FF"/>
          </w:rPr>
          <w:t>Seventh Amended and Restated Limited Liability Company Agreement of Plains All American GP LLC dated November 15,</w:t>
        </w:r>
      </w:hyperlink>
    </w:p>
    <w:p>
      <w:pPr>
        <w:ind w:left="1760"/>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2016 (incorporated by reference to Exhibit 3.3 to our Current Report on Form 8-K filed November 21, 2016).</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0"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right="280" w:hanging="1305"/>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reference to Exhibit 3.4 to our Current Report on Form 8-K filed November 21, 2016).</w:t>
        </w:r>
      </w:hyperlink>
    </w:p>
    <w:p>
      <w:pPr>
        <w:spacing w:after="0" w:line="108"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FF"/>
          </w:rPr>
          <w:t>Amendment No. 1 dated September 26, 2018 to the Eighth Amended and Restated Limited Partnership Agreement of Plains AAP,</w:t>
        </w:r>
      </w:hyperlink>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FF"/>
          </w:rPr>
          <w:t>L.P. (incorporated by reference to Exhibit 3.1 to our Current Report on Form 8-K filed October 2, 2018).</w:t>
        </w:r>
      </w:hyperlink>
    </w:p>
    <w:p>
      <w:pPr>
        <w:spacing w:after="0" w:line="92" w:lineRule="exact"/>
        <w:rPr>
          <w:sz w:val="20"/>
          <w:szCs w:val="20"/>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w:t>
      </w:r>
      <w:r>
        <w:rPr>
          <w:sz w:val="20"/>
          <w:szCs w:val="20"/>
          <w:color w:val="auto"/>
        </w:rPr>
        <w:tab/>
      </w:r>
      <w:hyperlink r:id="rId105">
        <w:r>
          <w:rPr>
            <w:rFonts w:ascii="Arial" w:cs="Arial" w:eastAsia="Arial" w:hAnsi="Arial"/>
            <w:sz w:val="16"/>
            <w:szCs w:val="16"/>
            <w:u w:val="single" w:color="auto"/>
            <w:color w:val="0000FF"/>
          </w:rPr>
          <w:t>Amendment No. 2 dated May 23, 2019 to the Eighth Amended and Restated Limited Partnership Agreement of Plains AAP, L.P.</w:t>
        </w:r>
      </w:hyperlink>
    </w:p>
    <w:p>
      <w:pPr>
        <w:ind w:left="1760"/>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(incorporated by reference to Exhibit 3.1 to our Current Report on Form 8-K filed May 30, 2019).</w:t>
        </w:r>
      </w:hyperlink>
    </w:p>
    <w:p>
      <w:pPr>
        <w:spacing w:after="0" w:line="115" w:lineRule="exact"/>
        <w:rPr>
          <w:sz w:val="20"/>
          <w:szCs w:val="20"/>
          <w:color w:val="auto"/>
        </w:rPr>
      </w:pPr>
    </w:p>
    <w:p>
      <w:pPr>
        <w:ind w:left="1380" w:right="18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FF"/>
          </w:rPr>
          <w:t>Certificate of Incorporation of PAA Finance Corp. (f/k/a Pacific Energy Finance Corporation, successor-by-merger to PAA</w:t>
        </w:r>
      </w:hyperlink>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FF"/>
          </w:rPr>
          <w:t>Finance Corp.)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2006).</w:t>
        </w:r>
      </w:hyperlink>
    </w:p>
    <w:p>
      <w:pPr>
        <w:spacing w:after="0" w:line="109" w:lineRule="exact"/>
        <w:rPr>
          <w:rFonts w:ascii="Arial" w:cs="Arial" w:eastAsia="Arial" w:hAnsi="Arial"/>
          <w:sz w:val="18"/>
          <w:szCs w:val="18"/>
          <w:color w:val="auto"/>
        </w:rPr>
      </w:pPr>
    </w:p>
    <w:p>
      <w:pPr>
        <w:jc w:val="right"/>
        <w:ind w:left="440" w:right="800"/>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3.15       —  </w:t>
      </w:r>
      <w:hyperlink r:id="rId107">
        <w:r>
          <w:rPr>
            <w:rFonts w:ascii="Arial" w:cs="Arial" w:eastAsia="Arial" w:hAnsi="Arial"/>
            <w:sz w:val="17"/>
            <w:szCs w:val="17"/>
            <w:u w:val="single" w:color="auto"/>
            <w:color w:val="0000FF"/>
          </w:rPr>
          <w:t>Bylaws of PAA Finance Corp. (f/k/a Pacific Energy Finance Corporation, successor-by-merger to PAA Finance Corp.)</w:t>
        </w:r>
      </w:hyperlink>
      <w:r>
        <w:rPr>
          <w:rFonts w:ascii="Arial" w:cs="Arial" w:eastAsia="Arial" w:hAnsi="Arial"/>
          <w:sz w:val="17"/>
          <w:szCs w:val="17"/>
          <w:color w:val="auto"/>
        </w:rPr>
        <w:t xml:space="preserve"> </w:t>
      </w:r>
      <w:hyperlink r:id="rId107">
        <w:r>
          <w:rPr>
            <w:rFonts w:ascii="Arial" w:cs="Arial" w:eastAsia="Arial" w:hAnsi="Arial"/>
            <w:sz w:val="17"/>
            <w:szCs w:val="17"/>
            <w:u w:val="single" w:color="auto"/>
            <w:color w:val="0000FF"/>
          </w:rPr>
          <w:t>(incorporated by reference to Exhibit 3.11 to our Annual Report on Form 10-K for the year ended December 31, 2006).</w:t>
        </w:r>
      </w:hyperlink>
    </w:p>
    <w:p>
      <w:pPr>
        <w:spacing w:after="0" w:line="93"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Limited Liability Company Agreement of PAA GP LLC dated December 28, 2007 (incorporated by reference to Exhibit 3.3 to our</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Current Report on Form 8-K filed January 4, 2008).</w:t>
        </w:r>
      </w:hyperlink>
    </w:p>
    <w:p>
      <w:pPr>
        <w:spacing w:after="0" w:line="108" w:lineRule="exact"/>
        <w:rPr>
          <w:sz w:val="20"/>
          <w:szCs w:val="20"/>
          <w:color w:val="auto"/>
        </w:rPr>
      </w:pPr>
    </w:p>
    <w:p>
      <w:pPr>
        <w:ind w:left="1380" w:right="22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Certificate of Limited Partnership of Plains GP Holdings, L.P. (incorporated by reference to Exhibit 3.1 to PAGP’s Registration</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Statement on Form S-1 (333-190227) filed July 29, 2013).</w:t>
        </w:r>
      </w:hyperlink>
    </w:p>
    <w:p>
      <w:pPr>
        <w:spacing w:after="0" w:line="108" w:lineRule="exact"/>
        <w:rPr>
          <w:sz w:val="20"/>
          <w:szCs w:val="20"/>
          <w:color w:val="auto"/>
        </w:rPr>
      </w:pPr>
    </w:p>
    <w:p>
      <w:pPr>
        <w:ind w:left="1380" w:right="6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3.18</w:t>
      </w:r>
      <w:r>
        <w:rPr>
          <w:sz w:val="20"/>
          <w:szCs w:val="20"/>
          <w:color w:val="auto"/>
        </w:rPr>
        <w:tab/>
      </w:r>
      <w:r>
        <w:rPr>
          <w:rFonts w:ascii="Arial" w:cs="Arial" w:eastAsia="Arial" w:hAnsi="Arial"/>
          <w:sz w:val="17"/>
          <w:szCs w:val="17"/>
          <w:color w:val="auto"/>
        </w:rPr>
        <w:t xml:space="preserve">— </w:t>
      </w:r>
      <w:hyperlink r:id="rId110">
        <w:r>
          <w:rPr>
            <w:rFonts w:ascii="Arial" w:cs="Arial" w:eastAsia="Arial" w:hAnsi="Arial"/>
            <w:sz w:val="17"/>
            <w:szCs w:val="17"/>
            <w:u w:val="single" w:color="auto"/>
            <w:color w:val="0000FF"/>
          </w:rPr>
          <w:t>Second Amended and Restated Agreement of Limited Partnership of Plains GP Holdings, L.P. dated November 15, 2016</w:t>
        </w:r>
      </w:hyperlink>
      <w:r>
        <w:rPr>
          <w:rFonts w:ascii="Arial" w:cs="Arial" w:eastAsia="Arial" w:hAnsi="Arial"/>
          <w:sz w:val="17"/>
          <w:szCs w:val="17"/>
          <w:color w:val="auto"/>
        </w:rPr>
        <w:t xml:space="preserve"> </w:t>
      </w:r>
      <w:hyperlink r:id="rId110">
        <w:r>
          <w:rPr>
            <w:rFonts w:ascii="Arial" w:cs="Arial" w:eastAsia="Arial" w:hAnsi="Arial"/>
            <w:sz w:val="17"/>
            <w:szCs w:val="17"/>
            <w:u w:val="single" w:color="auto"/>
            <w:color w:val="0000FF"/>
          </w:rPr>
          <w:t>(incorporated by reference to Exhibit 3.2 to PAGP’s Current Report on Form 8-K filed November 21, 2016).</w:t>
        </w:r>
      </w:hyperlink>
    </w:p>
    <w:p>
      <w:pPr>
        <w:spacing w:after="0" w:line="93" w:lineRule="exact"/>
        <w:rPr>
          <w:sz w:val="20"/>
          <w:szCs w:val="20"/>
          <w:color w:val="auto"/>
        </w:rPr>
      </w:pPr>
    </w:p>
    <w:p>
      <w:pPr>
        <w:ind w:left="1380" w:right="40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3.19</w:t>
      </w:r>
      <w:r>
        <w:rPr>
          <w:sz w:val="20"/>
          <w:szCs w:val="20"/>
          <w:color w:val="auto"/>
        </w:rPr>
        <w:tab/>
      </w:r>
      <w:r>
        <w:rPr>
          <w:rFonts w:ascii="Arial" w:cs="Arial" w:eastAsia="Arial" w:hAnsi="Arial"/>
          <w:sz w:val="17"/>
          <w:szCs w:val="17"/>
          <w:color w:val="auto"/>
        </w:rPr>
        <w:t xml:space="preserve">— </w:t>
      </w:r>
      <w:hyperlink r:id="rId111">
        <w:r>
          <w:rPr>
            <w:rFonts w:ascii="Arial" w:cs="Arial" w:eastAsia="Arial" w:hAnsi="Arial"/>
            <w:sz w:val="17"/>
            <w:szCs w:val="17"/>
            <w:u w:val="single" w:color="auto"/>
            <w:color w:val="0000FF"/>
          </w:rPr>
          <w:t>Amendment No. 1 dated April 6, 2020 to the Second Amended and Restated Agreement of Limited Partnership of Plains GP</w:t>
        </w:r>
      </w:hyperlink>
      <w:r>
        <w:rPr>
          <w:rFonts w:ascii="Arial" w:cs="Arial" w:eastAsia="Arial" w:hAnsi="Arial"/>
          <w:sz w:val="17"/>
          <w:szCs w:val="17"/>
          <w:color w:val="auto"/>
        </w:rPr>
        <w:t xml:space="preserve"> </w:t>
      </w:r>
      <w:hyperlink r:id="rId111">
        <w:r>
          <w:rPr>
            <w:rFonts w:ascii="Arial" w:cs="Arial" w:eastAsia="Arial" w:hAnsi="Arial"/>
            <w:sz w:val="17"/>
            <w:szCs w:val="17"/>
            <w:u w:val="single" w:color="auto"/>
            <w:color w:val="0000FF"/>
          </w:rPr>
          <w:t>Holdings, L.P. (incorporated by reference to Exhibit 3.1 to PAGP’s Current Report on Form 8-K filed April 9, 2020).</w:t>
        </w:r>
      </w:hyperlink>
    </w:p>
    <w:p>
      <w:pPr>
        <w:spacing w:after="0" w:line="93"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3.20</w:t>
      </w:r>
      <w:r>
        <w:rPr>
          <w:sz w:val="20"/>
          <w:szCs w:val="20"/>
          <w:color w:val="auto"/>
        </w:rPr>
        <w:tab/>
      </w:r>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Certificate of Formation of PAA GP Holdings LLC (incorporated by reference to Exhibit 3.3 to PAGP’s Registration Statement on</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Form S-1 (333-190227) filed July 29, 2013).</w:t>
        </w:r>
      </w:hyperlink>
    </w:p>
    <w:p>
      <w:pPr>
        <w:spacing w:after="0" w:line="108" w:lineRule="exact"/>
        <w:rPr>
          <w:sz w:val="20"/>
          <w:szCs w:val="20"/>
          <w:color w:val="auto"/>
        </w:rPr>
      </w:pPr>
    </w:p>
    <w:p>
      <w:pPr>
        <w:ind w:left="1380" w:right="26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Third Amended and Restated Limited Liability Company Agreement of PAA GP Holdings LLC dated as of February 16, 2017</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(incorporated by reference to Exhibit 3.1 to our Current Report on Form 8-K filed February 21, 2017).</w:t>
        </w:r>
      </w:hyperlink>
    </w:p>
    <w:p>
      <w:pPr>
        <w:spacing w:after="0" w:line="108" w:lineRule="exact"/>
        <w:rPr>
          <w:sz w:val="20"/>
          <w:szCs w:val="20"/>
          <w:color w:val="auto"/>
        </w:rPr>
      </w:pPr>
    </w:p>
    <w:p>
      <w:pPr>
        <w:ind w:left="1380" w:right="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 xml:space="preserve">— </w:t>
      </w:r>
      <w:hyperlink r:id="rId114">
        <w:r>
          <w:rPr>
            <w:rFonts w:ascii="Arial" w:cs="Arial" w:eastAsia="Arial" w:hAnsi="Arial"/>
            <w:sz w:val="17"/>
            <w:szCs w:val="17"/>
            <w:u w:val="single" w:color="auto"/>
            <w:color w:val="0000FF"/>
          </w:rPr>
          <w:t>Amendment No. 1 dated October 1, 2018 to the Third Amended and Restated Limited Liability Company Agreement of PAA GP</w:t>
        </w:r>
      </w:hyperlink>
      <w:r>
        <w:rPr>
          <w:rFonts w:ascii="Arial" w:cs="Arial" w:eastAsia="Arial" w:hAnsi="Arial"/>
          <w:sz w:val="17"/>
          <w:szCs w:val="17"/>
          <w:color w:val="auto"/>
        </w:rPr>
        <w:t xml:space="preserve"> </w:t>
      </w:r>
      <w:hyperlink r:id="rId114">
        <w:r>
          <w:rPr>
            <w:rFonts w:ascii="Arial" w:cs="Arial" w:eastAsia="Arial" w:hAnsi="Arial"/>
            <w:sz w:val="17"/>
            <w:szCs w:val="17"/>
            <w:u w:val="single" w:color="auto"/>
            <w:color w:val="0000FF"/>
          </w:rPr>
          <w:t>Holdings LLC (incorporated by reference to Exhibit 3.1 to our Current Report on Form 8-K filed August 20, 2018).</w:t>
        </w:r>
      </w:hyperlink>
    </w:p>
    <w:p>
      <w:pPr>
        <w:spacing w:after="0" w:line="93" w:lineRule="exact"/>
        <w:rPr>
          <w:sz w:val="20"/>
          <w:szCs w:val="20"/>
          <w:color w:val="auto"/>
        </w:rPr>
      </w:pPr>
    </w:p>
    <w:p>
      <w:pPr>
        <w:ind w:left="1380" w:right="10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 xml:space="preserve">— </w:t>
      </w:r>
      <w:hyperlink r:id="rId115">
        <w:r>
          <w:rPr>
            <w:rFonts w:ascii="Arial" w:cs="Arial" w:eastAsia="Arial" w:hAnsi="Arial"/>
            <w:sz w:val="17"/>
            <w:szCs w:val="17"/>
            <w:u w:val="single" w:color="auto"/>
            <w:color w:val="0000FF"/>
          </w:rPr>
          <w:t>Amendment No. 2 dated December 10, 2018 to the Third Amended and Restated Limited Liability Company Agreement of PAA</w:t>
        </w:r>
      </w:hyperlink>
      <w:r>
        <w:rPr>
          <w:rFonts w:ascii="Arial" w:cs="Arial" w:eastAsia="Arial" w:hAnsi="Arial"/>
          <w:sz w:val="17"/>
          <w:szCs w:val="17"/>
          <w:color w:val="auto"/>
        </w:rPr>
        <w:t xml:space="preserve"> </w:t>
      </w:r>
      <w:hyperlink r:id="rId115">
        <w:r>
          <w:rPr>
            <w:rFonts w:ascii="Arial" w:cs="Arial" w:eastAsia="Arial" w:hAnsi="Arial"/>
            <w:sz w:val="17"/>
            <w:szCs w:val="17"/>
            <w:u w:val="single" w:color="auto"/>
            <w:color w:val="0000FF"/>
          </w:rPr>
          <w:t>GP Holdings LLC (incorporated by reference to Exhibit 3.1 to our Current Report on Form 8-K filed December 11, 2018).</w:t>
        </w:r>
      </w:hyperlink>
    </w:p>
    <w:p>
      <w:pPr>
        <w:spacing w:after="0" w:line="93" w:lineRule="exact"/>
        <w:rPr>
          <w:sz w:val="20"/>
          <w:szCs w:val="20"/>
          <w:color w:val="auto"/>
        </w:rPr>
      </w:pPr>
    </w:p>
    <w:p>
      <w:pPr>
        <w:ind w:left="1380" w:right="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3.24</w:t>
      </w:r>
      <w:r>
        <w:rPr>
          <w:sz w:val="20"/>
          <w:szCs w:val="20"/>
          <w:color w:val="auto"/>
        </w:rPr>
        <w:tab/>
      </w:r>
      <w:r>
        <w:rPr>
          <w:rFonts w:ascii="Arial" w:cs="Arial" w:eastAsia="Arial" w:hAnsi="Arial"/>
          <w:sz w:val="17"/>
          <w:szCs w:val="17"/>
          <w:color w:val="auto"/>
        </w:rPr>
        <w:t xml:space="preserve">— </w:t>
      </w:r>
      <w:hyperlink r:id="rId116">
        <w:r>
          <w:rPr>
            <w:rFonts w:ascii="Arial" w:cs="Arial" w:eastAsia="Arial" w:hAnsi="Arial"/>
            <w:sz w:val="17"/>
            <w:szCs w:val="17"/>
            <w:u w:val="single" w:color="auto"/>
            <w:color w:val="0000FF"/>
          </w:rPr>
          <w:t>Amendment No. 3 dated November 21, 2019 to the Third Amended and Restated Limited Liability Company Agreement of PAA</w:t>
        </w:r>
      </w:hyperlink>
      <w:r>
        <w:rPr>
          <w:rFonts w:ascii="Arial" w:cs="Arial" w:eastAsia="Arial" w:hAnsi="Arial"/>
          <w:sz w:val="17"/>
          <w:szCs w:val="17"/>
          <w:color w:val="auto"/>
        </w:rPr>
        <w:t xml:space="preserve"> </w:t>
      </w:r>
      <w:hyperlink r:id="rId116">
        <w:r>
          <w:rPr>
            <w:rFonts w:ascii="Arial" w:cs="Arial" w:eastAsia="Arial" w:hAnsi="Arial"/>
            <w:sz w:val="17"/>
            <w:szCs w:val="17"/>
            <w:u w:val="single" w:color="auto"/>
            <w:color w:val="0000FF"/>
          </w:rPr>
          <w:t>GP Holdings LLC (incorporated by reference to Exhibit 3.1 to our Current Report on Form 8-K filed November 27, 2019).</w:t>
        </w:r>
      </w:hyperlink>
    </w:p>
    <w:p>
      <w:pPr>
        <w:spacing w:after="0" w:line="93" w:lineRule="exact"/>
        <w:rPr>
          <w:sz w:val="20"/>
          <w:szCs w:val="20"/>
          <w:color w:val="auto"/>
        </w:rPr>
      </w:pPr>
    </w:p>
    <w:p>
      <w:pPr>
        <w:ind w:left="1380" w:right="1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 xml:space="preserve">— </w:t>
      </w:r>
      <w:hyperlink r:id="rId117">
        <w:r>
          <w:rPr>
            <w:rFonts w:ascii="Arial" w:cs="Arial" w:eastAsia="Arial" w:hAnsi="Arial"/>
            <w:sz w:val="17"/>
            <w:szCs w:val="17"/>
            <w:u w:val="single" w:color="auto"/>
            <w:color w:val="0000FF"/>
          </w:rPr>
          <w:t>Amendment No. 4 dated February 25, 2021 to the Third Amended and Restated Limited Liability Company Agreement of PAA</w:t>
        </w:r>
      </w:hyperlink>
      <w:r>
        <w:rPr>
          <w:rFonts w:ascii="Arial" w:cs="Arial" w:eastAsia="Arial" w:hAnsi="Arial"/>
          <w:sz w:val="17"/>
          <w:szCs w:val="17"/>
          <w:color w:val="auto"/>
        </w:rPr>
        <w:t xml:space="preserve"> </w:t>
      </w:r>
      <w:hyperlink r:id="rId117">
        <w:r>
          <w:rPr>
            <w:rFonts w:ascii="Arial" w:cs="Arial" w:eastAsia="Arial" w:hAnsi="Arial"/>
            <w:sz w:val="17"/>
            <w:szCs w:val="17"/>
            <w:u w:val="single" w:color="auto"/>
            <w:color w:val="0000FF"/>
          </w:rPr>
          <w:t>GP Holdings LLC (incorporated by reference to Exhibit 3.1 to our Current Report on Form 8-K filed March 3, 2021).</w:t>
        </w:r>
      </w:hyperlink>
    </w:p>
    <w:p>
      <w:pPr>
        <w:spacing w:after="0" w:line="93" w:lineRule="exact"/>
        <w:rPr>
          <w:sz w:val="20"/>
          <w:szCs w:val="20"/>
          <w:color w:val="auto"/>
        </w:rPr>
      </w:pPr>
    </w:p>
    <w:p>
      <w:pPr>
        <w:ind w:left="1380" w:right="4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3.26</w:t>
      </w:r>
      <w:r>
        <w:rPr>
          <w:sz w:val="20"/>
          <w:szCs w:val="20"/>
          <w:color w:val="auto"/>
        </w:rPr>
        <w:tab/>
      </w:r>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Amendment No. 5 dated August 19, 2021 to the Third Amended and Restated Limited Liability Company Agreement of PAA GP</w:t>
        </w:r>
      </w:hyperlink>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Holdings LLC dated as of February 17, 2017 (incorporated by reference to Exhibit 3.1 to our Current Report on Form 8-K filed</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August 19, 2021).</w:t>
        </w:r>
      </w:hyperlink>
    </w:p>
    <w:p>
      <w:pPr>
        <w:spacing w:after="0" w:line="109" w:lineRule="exact"/>
        <w:rPr>
          <w:rFonts w:ascii="Arial" w:cs="Arial" w:eastAsia="Arial" w:hAnsi="Arial"/>
          <w:sz w:val="18"/>
          <w:szCs w:val="18"/>
          <w:color w:val="auto"/>
        </w:rPr>
      </w:pPr>
    </w:p>
    <w:p>
      <w:pPr>
        <w:ind w:left="1380" w:right="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Indenture dated September 25, 2002 among Plains All American Pipeline, L.P., PAA Finance Corp. and Wachovia Bank, National</w:t>
        </w:r>
      </w:hyperlink>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Association, as trustee (incorporated by reference to Exhibit 4.1 to our Quarterly Report on Form 10-Q for the quarter ended</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September 30, 2002).</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FF"/>
          </w:rPr>
          <w:t>Sixth Supplemental Indenture (Series A and Series B 6.70% Senior Notes due 2036) dated May 12, 2006 among Plains All</w:t>
        </w:r>
      </w:hyperlink>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FF"/>
          </w:rPr>
          <w:t>American Pipeline, L.P., PAA Finance Corp., the Subsidiary Guarantors named therein and Wachovia Bank, National Association,</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as trustee (incorporated by reference to Exhibit 4.1 to our Current Report on Form 8-K filed May 12, 2006).</w:t>
        </w:r>
      </w:hyperlink>
    </w:p>
    <w:p>
      <w:pPr>
        <w:spacing w:after="0" w:line="109" w:lineRule="exact"/>
        <w:rPr>
          <w:rFonts w:ascii="Arial" w:cs="Arial" w:eastAsia="Arial" w:hAnsi="Arial"/>
          <w:sz w:val="18"/>
          <w:szCs w:val="18"/>
          <w:color w:val="auto"/>
        </w:rPr>
      </w:pPr>
    </w:p>
    <w:p>
      <w:pPr>
        <w:jc w:val="both"/>
        <w:ind w:left="1380" w:right="160" w:hanging="1263"/>
        <w:spacing w:after="0" w:line="237"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 </w:t>
      </w:r>
      <w:hyperlink r:id="rId122">
        <w:r>
          <w:rPr>
            <w:rFonts w:ascii="Arial" w:cs="Arial" w:eastAsia="Arial" w:hAnsi="Arial"/>
            <w:sz w:val="17"/>
            <w:szCs w:val="17"/>
            <w:u w:val="single" w:color="auto"/>
            <w:color w:val="0000FF"/>
          </w:rPr>
          <w:t>Tenth Supplemental Indenture (Series A and Series B 6.650% Senior Notes due 2037) dated October 30, 2006 among Plains All</w:t>
        </w:r>
      </w:hyperlink>
      <w:r>
        <w:rPr>
          <w:rFonts w:ascii="Arial" w:cs="Arial" w:eastAsia="Arial" w:hAnsi="Arial"/>
          <w:sz w:val="17"/>
          <w:szCs w:val="17"/>
          <w:color w:val="auto"/>
        </w:rPr>
        <w:t xml:space="preserve"> </w:t>
      </w:r>
      <w:hyperlink r:id="rId122">
        <w:r>
          <w:rPr>
            <w:rFonts w:ascii="Arial" w:cs="Arial" w:eastAsia="Arial" w:hAnsi="Arial"/>
            <w:sz w:val="17"/>
            <w:szCs w:val="17"/>
            <w:u w:val="single" w:color="auto"/>
            <w:color w:val="0000FF"/>
          </w:rPr>
          <w:t>American Pipeline, L.P., PAA Finance Corp., the Subsidiary Guarantors named therein and U.S. Bank National Association, as</w:t>
        </w:r>
      </w:hyperlink>
      <w:r>
        <w:rPr>
          <w:rFonts w:ascii="Arial" w:cs="Arial" w:eastAsia="Arial" w:hAnsi="Arial"/>
          <w:sz w:val="17"/>
          <w:szCs w:val="17"/>
          <w:u w:val="single" w:color="auto"/>
          <w:color w:val="0000FF"/>
        </w:rPr>
        <w:t xml:space="preserve"> </w:t>
      </w:r>
      <w:hyperlink r:id="rId122">
        <w:r>
          <w:rPr>
            <w:rFonts w:ascii="Arial" w:cs="Arial" w:eastAsia="Arial" w:hAnsi="Arial"/>
            <w:sz w:val="17"/>
            <w:szCs w:val="17"/>
            <w:u w:val="single" w:color="auto"/>
            <w:color w:val="0000FF"/>
          </w:rPr>
          <w:t>trustee (incorporated by reference to Exhibit 4.2 to our Current Report on Form 8-K filed October 30, 2006).</w:t>
        </w:r>
      </w:hyperlink>
    </w:p>
    <w:p>
      <w:pPr>
        <w:spacing w:after="0" w:line="109" w:lineRule="exact"/>
        <w:rPr>
          <w:rFonts w:ascii="Arial" w:cs="Arial" w:eastAsia="Arial" w:hAnsi="Arial"/>
          <w:sz w:val="17"/>
          <w:szCs w:val="17"/>
          <w:color w:val="auto"/>
        </w:rPr>
      </w:pPr>
    </w:p>
    <w:p>
      <w:pPr>
        <w:jc w:val="both"/>
        <w:ind w:left="1380" w:right="1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Twentieth Supplemental Indenture (3.65% Senior Notes due 2022) dated March 22, 2012 among Plains All American Pipeline,</w:t>
        </w:r>
      </w:hyperlink>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L.P., PAA Finance Corp. and U.S. Bank National Association, as trustee (incorporated by reference to Exhibit 4.1 to our Current</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380" w:right="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124">
        <w:r>
          <w:rPr>
            <w:rFonts w:ascii="Arial" w:cs="Arial" w:eastAsia="Arial" w:hAnsi="Arial"/>
            <w:sz w:val="18"/>
            <w:szCs w:val="18"/>
            <w:u w:val="single" w:color="auto"/>
            <w:color w:val="0000FF"/>
          </w:rPr>
          <w:t>Twenty-First Supplemental Indenture (5.15% Senior Notes due 2042) dated March 22, 2012 among Plains All American Pipeline,</w:t>
        </w:r>
      </w:hyperlink>
      <w:r>
        <w:rPr>
          <w:rFonts w:ascii="Arial" w:cs="Arial" w:eastAsia="Arial" w:hAnsi="Arial"/>
          <w:sz w:val="18"/>
          <w:szCs w:val="18"/>
          <w:color w:val="auto"/>
        </w:rPr>
        <w:t xml:space="preserve"> </w:t>
      </w:r>
      <w:hyperlink r:id="rId124">
        <w:r>
          <w:rPr>
            <w:rFonts w:ascii="Arial" w:cs="Arial" w:eastAsia="Arial" w:hAnsi="Arial"/>
            <w:sz w:val="18"/>
            <w:szCs w:val="18"/>
            <w:u w:val="single" w:color="auto"/>
            <w:color w:val="0000FF"/>
          </w:rPr>
          <w:t>L.P., PAA Finance Corp. and U.S. Bank National Association, as trustee (incorporated by reference to Exhibit 4.3 to our Current</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380" w:right="40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Twenty-Second Supplemental Indenture (2.85% Senior Notes due 2023) dated December 10, 2012, by and among Plains All</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Exhibit 4.1 to our Current Report on Form 8-K filed December 12, 2012).</w:t>
        </w:r>
      </w:hyperlink>
    </w:p>
    <w:p>
      <w:pPr>
        <w:spacing w:after="0" w:line="109" w:lineRule="exact"/>
        <w:rPr>
          <w:rFonts w:ascii="Arial" w:cs="Arial" w:eastAsia="Arial" w:hAnsi="Arial"/>
          <w:sz w:val="18"/>
          <w:szCs w:val="18"/>
          <w:color w:val="auto"/>
        </w:rPr>
      </w:pPr>
    </w:p>
    <w:p>
      <w:pPr>
        <w:jc w:val="both"/>
        <w:ind w:left="1380" w:right="5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Twenty-Third Supplemental Indenture (4.30% Senior Notes due 2043) dated December 10, 2012, by and among Plains All</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Exhibit 4.3 to our Current Report on Form 8-K filed December 12, 2012).</w:t>
        </w:r>
      </w:hyperlink>
    </w:p>
    <w:p>
      <w:pPr>
        <w:spacing w:after="0" w:line="109" w:lineRule="exact"/>
        <w:rPr>
          <w:rFonts w:ascii="Arial" w:cs="Arial" w:eastAsia="Arial" w:hAnsi="Arial"/>
          <w:sz w:val="18"/>
          <w:szCs w:val="18"/>
          <w:color w:val="auto"/>
        </w:rPr>
      </w:pPr>
    </w:p>
    <w:p>
      <w:pPr>
        <w:jc w:val="both"/>
        <w:ind w:left="1380" w:right="6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Twenty-Fourth Supplemental Indenture (3.85% Senior Notes due 2023) dated August 15, 2013, by and among Plains All</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Exhibit 4.1 to our Current Report on Form 8-K filed August 15, 2013).</w:t>
        </w:r>
      </w:hyperlink>
    </w:p>
    <w:p>
      <w:pPr>
        <w:spacing w:after="0" w:line="109" w:lineRule="exact"/>
        <w:rPr>
          <w:rFonts w:ascii="Arial" w:cs="Arial" w:eastAsia="Arial" w:hAnsi="Arial"/>
          <w:sz w:val="18"/>
          <w:szCs w:val="18"/>
          <w:color w:val="auto"/>
        </w:rPr>
      </w:pPr>
    </w:p>
    <w:p>
      <w:pPr>
        <w:ind w:left="1380" w:right="60" w:hanging="1263"/>
        <w:spacing w:after="0" w:line="224" w:lineRule="auto"/>
        <w:tabs>
          <w:tab w:leader="none" w:pos="1360" w:val="left"/>
        </w:tabs>
        <w:rPr>
          <w:rFonts w:ascii="Arial" w:cs="Arial" w:eastAsia="Arial" w:hAnsi="Arial"/>
          <w:sz w:val="18"/>
          <w:szCs w:val="18"/>
          <w:color w:val="0000FF"/>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Twenty-Fifth Supplemental Indenture (4.70% Senior Notes due 2044) dated April 23, 2014, by and among Plains All American</w:t>
        </w:r>
      </w:hyperlink>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Current Report on Form 8-K filed April 29, 2014)</w:t>
        </w:r>
        <w:r>
          <w:rPr>
            <w:rFonts w:ascii="Arial" w:cs="Arial" w:eastAsia="Arial" w:hAnsi="Arial"/>
            <w:sz w:val="18"/>
            <w:szCs w:val="18"/>
            <w:color w:val="000000"/>
          </w:rPr>
          <w:t>.</w:t>
        </w:r>
      </w:hyperlink>
    </w:p>
    <w:p>
      <w:pPr>
        <w:spacing w:after="0" w:line="109" w:lineRule="exact"/>
        <w:rPr>
          <w:rFonts w:ascii="Arial" w:cs="Arial" w:eastAsia="Arial" w:hAnsi="Arial"/>
          <w:sz w:val="18"/>
          <w:szCs w:val="18"/>
          <w:color w:val="auto"/>
        </w:rPr>
      </w:pPr>
    </w:p>
    <w:p>
      <w:pPr>
        <w:jc w:val="both"/>
        <w:ind w:left="1380" w:right="62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Twenty-Sixth Supplemental Indenture (3.60% Senior Notes due 2024) dated September 9, 2014, by and among Plains All</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Exhibit 4.1 to our Current Report on Form 8-K filed September 11, 2014).</w:t>
        </w:r>
      </w:hyperlink>
    </w:p>
    <w:p>
      <w:pPr>
        <w:spacing w:after="0" w:line="109" w:lineRule="exact"/>
        <w:rPr>
          <w:rFonts w:ascii="Arial" w:cs="Arial" w:eastAsia="Arial" w:hAnsi="Arial"/>
          <w:sz w:val="18"/>
          <w:szCs w:val="18"/>
          <w:color w:val="auto"/>
        </w:rPr>
      </w:pPr>
    </w:p>
    <w:p>
      <w:pPr>
        <w:jc w:val="both"/>
        <w:ind w:left="1380" w:right="540" w:hanging="1305"/>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FF"/>
          </w:rPr>
          <w:t>Twenty-Eighth Supplemental Indenture (4.90% Senior Notes due 2045) dated December 9, 2014, by and among Plains All</w:t>
        </w:r>
      </w:hyperlink>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Exhibit 4.3 to our Current Report on Form 8-K filed December 11, 2014).</w:t>
        </w:r>
      </w:hyperlink>
    </w:p>
    <w:p>
      <w:pPr>
        <w:spacing w:after="0" w:line="109" w:lineRule="exact"/>
        <w:rPr>
          <w:rFonts w:ascii="Arial" w:cs="Arial" w:eastAsia="Arial" w:hAnsi="Arial"/>
          <w:sz w:val="18"/>
          <w:szCs w:val="18"/>
          <w:color w:val="auto"/>
        </w:rPr>
      </w:pPr>
    </w:p>
    <w:p>
      <w:pPr>
        <w:jc w:val="both"/>
        <w:ind w:left="138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xml:space="preserve">— </w:t>
      </w:r>
      <w:hyperlink r:id="rId131">
        <w:r>
          <w:rPr>
            <w:rFonts w:ascii="Arial" w:cs="Arial" w:eastAsia="Arial" w:hAnsi="Arial"/>
            <w:sz w:val="18"/>
            <w:szCs w:val="18"/>
            <w:u w:val="single" w:color="auto"/>
            <w:color w:val="0000FF"/>
          </w:rPr>
          <w:t>Twenty-Ninth Supplemental Indenture (4.65% Senior Notes due 2025) dated August 24, 2015, by and among Plains All American</w:t>
        </w:r>
      </w:hyperlink>
      <w:r>
        <w:rPr>
          <w:rFonts w:ascii="Arial" w:cs="Arial" w:eastAsia="Arial" w:hAnsi="Arial"/>
          <w:sz w:val="18"/>
          <w:szCs w:val="18"/>
          <w:color w:val="auto"/>
        </w:rPr>
        <w:t xml:space="preserve"> </w:t>
      </w:r>
      <w:hyperlink r:id="rId131">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Current Report on Form 8-K filed August 26, 2015).</w:t>
        </w:r>
      </w:hyperlink>
    </w:p>
    <w:p>
      <w:pPr>
        <w:spacing w:after="0" w:line="109" w:lineRule="exact"/>
        <w:rPr>
          <w:rFonts w:ascii="Arial" w:cs="Arial" w:eastAsia="Arial" w:hAnsi="Arial"/>
          <w:sz w:val="18"/>
          <w:szCs w:val="18"/>
          <w:color w:val="auto"/>
        </w:rPr>
      </w:pPr>
    </w:p>
    <w:p>
      <w:pPr>
        <w:jc w:val="both"/>
        <w:ind w:left="1380" w:right="60" w:hanging="1308"/>
        <w:spacing w:after="0" w:line="224" w:lineRule="auto"/>
        <w:tabs>
          <w:tab w:leader="none" w:pos="1360" w:val="left"/>
        </w:tabs>
        <w:rPr>
          <w:rFonts w:ascii="Arial" w:cs="Arial" w:eastAsia="Arial" w:hAnsi="Arial"/>
          <w:sz w:val="18"/>
          <w:szCs w:val="18"/>
          <w:color w:val="0000FF"/>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Thirtieth Supplemental Indenture (4.50% Senior Notes due 2026) dated November 22, 2016, by and among Plains All American</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Current Report on Form 8-K filed November 29, 2016)</w:t>
        </w:r>
        <w:r>
          <w:rPr>
            <w:rFonts w:ascii="Arial" w:cs="Arial" w:eastAsia="Arial" w:hAnsi="Arial"/>
            <w:sz w:val="18"/>
            <w:szCs w:val="18"/>
            <w:color w:val="000000"/>
          </w:rPr>
          <w:t>.</w:t>
        </w:r>
      </w:hyperlink>
    </w:p>
    <w:p>
      <w:pPr>
        <w:spacing w:after="0" w:line="109" w:lineRule="exact"/>
        <w:rPr>
          <w:rFonts w:ascii="Arial" w:cs="Arial" w:eastAsia="Arial" w:hAnsi="Arial"/>
          <w:sz w:val="18"/>
          <w:szCs w:val="18"/>
          <w:color w:val="auto"/>
        </w:rPr>
      </w:pPr>
    </w:p>
    <w:p>
      <w:pPr>
        <w:ind w:left="1380" w:right="4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Thirty-First Supplemental Indenture (3.55% Senior Notes due 2029) dated September 16, 2019, by and among Plains All</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American Pipeline, L.P., PAA Finance Corp. and U.S. Bank National Association, as trustee (incorporated by reference to Exhibit</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4.1 to our Current Report on Form 8-K filed September 17, 2019).</w:t>
        </w:r>
      </w:hyperlink>
    </w:p>
    <w:p>
      <w:pPr>
        <w:spacing w:after="0" w:line="109" w:lineRule="exact"/>
        <w:rPr>
          <w:rFonts w:ascii="Arial" w:cs="Arial" w:eastAsia="Arial" w:hAnsi="Arial"/>
          <w:sz w:val="18"/>
          <w:szCs w:val="18"/>
          <w:color w:val="auto"/>
        </w:rPr>
      </w:pPr>
    </w:p>
    <w:p>
      <w:pPr>
        <w:ind w:left="1380" w:right="6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FF"/>
          </w:rPr>
          <w:t>Thirty-Second Supplemental Indenture (3.80% Senior Notes due 2030) dated June 11, 2020, by and among Plains All American</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Current Report on Form 8-K filed June 11, 2020).</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4.16</w:t>
            </w:r>
          </w:p>
        </w:tc>
        <w:tc>
          <w:tcPr>
            <w:tcW w:w="10020" w:type="dxa"/>
            <w:vAlign w:val="bottom"/>
            <w:gridSpan w:val="24"/>
          </w:tcPr>
          <w:p>
            <w:pPr>
              <w:ind w:left="2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36">
              <w:r>
                <w:rPr>
                  <w:rFonts w:ascii="Arial" w:cs="Arial" w:eastAsia="Arial" w:hAnsi="Arial"/>
                  <w:sz w:val="18"/>
                  <w:szCs w:val="18"/>
                  <w:color w:val="0000FF"/>
                  <w:w w:val="96"/>
                </w:rPr>
                <w:t>Registration Rights Agreement dated September 3, 2009 by and between Plains All American Pipeline, L.P. and Vulcan Gas</w:t>
              </w:r>
            </w:hyperlink>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940" w:type="dxa"/>
            <w:vAlign w:val="bottom"/>
            <w:tcBorders>
              <w:top w:val="single" w:sz="8" w:color="0000FF"/>
            </w:tcBorders>
            <w:gridSpan w:val="13"/>
          </w:tcPr>
          <w:p>
            <w:pPr>
              <w:spacing w:after="0" w:line="156" w:lineRule="exact"/>
              <w:rPr>
                <w:rFonts w:ascii="Arial" w:cs="Arial" w:eastAsia="Arial" w:hAnsi="Arial"/>
                <w:sz w:val="18"/>
                <w:szCs w:val="18"/>
                <w:color w:val="0000FF"/>
                <w:w w:val="93"/>
              </w:rPr>
            </w:pPr>
            <w:hyperlink r:id="rId136">
              <w:r>
                <w:rPr>
                  <w:rFonts w:ascii="Arial" w:cs="Arial" w:eastAsia="Arial" w:hAnsi="Arial"/>
                  <w:sz w:val="18"/>
                  <w:szCs w:val="18"/>
                  <w:color w:val="0000FF"/>
                  <w:w w:val="93"/>
                </w:rPr>
                <w:t>Storage LLC (incorporated by reference to Exhibit 4.1 to our Registration Statement on Form S-3, File No. 333-162477).</w:t>
              </w:r>
            </w:hyperlink>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4.17</w:t>
            </w:r>
          </w:p>
        </w:tc>
        <w:tc>
          <w:tcPr>
            <w:tcW w:w="10020" w:type="dxa"/>
            <w:vAlign w:val="bottom"/>
            <w:gridSpan w:val="24"/>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37">
              <w:r>
                <w:rPr>
                  <w:rFonts w:ascii="Arial" w:cs="Arial" w:eastAsia="Arial" w:hAnsi="Arial"/>
                  <w:sz w:val="18"/>
                  <w:szCs w:val="18"/>
                  <w:color w:val="0000FF"/>
                  <w:w w:val="92"/>
                </w:rPr>
                <w:t>Registration Rights Agreement dated as of January 28, 2016 among Plains All American Pipeline, L.P. and the Purchasers named</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therein (incorporated by reference to Exhibit 4.1 to our Current Report on Form 8-K filed February 2, 2016).</w:t>
              </w:r>
            </w:hyperlink>
          </w:p>
        </w:tc>
        <w:tc>
          <w:tcPr>
            <w:tcW w:w="1500" w:type="dxa"/>
            <w:vAlign w:val="bottom"/>
            <w:tcBorders>
              <w:top w:val="single" w:sz="8" w:color="0000FF"/>
            </w:tcBorders>
            <w:gridSpan w:val="1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4.18</w:t>
            </w:r>
          </w:p>
        </w:tc>
        <w:tc>
          <w:tcPr>
            <w:tcW w:w="10020" w:type="dxa"/>
            <w:vAlign w:val="bottom"/>
            <w:gridSpan w:val="24"/>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38">
              <w:r>
                <w:rPr>
                  <w:rFonts w:ascii="Arial" w:cs="Arial" w:eastAsia="Arial" w:hAnsi="Arial"/>
                  <w:sz w:val="18"/>
                  <w:szCs w:val="18"/>
                  <w:color w:val="0000FF"/>
                  <w:w w:val="92"/>
                </w:rPr>
                <w:t>Registration Rights Agreement by and among Plains All American Pipeline, L.P. and the Holders defined therein, dated November</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15, 2016 (incorporated by reference to Exhibit 10.4 to our Current Report on Form 8-K filed November 21, 2016).</w:t>
              </w:r>
            </w:hyperlink>
          </w:p>
        </w:tc>
        <w:tc>
          <w:tcPr>
            <w:tcW w:w="11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4.19</w:t>
            </w:r>
          </w:p>
        </w:tc>
        <w:tc>
          <w:tcPr>
            <w:tcW w:w="10020" w:type="dxa"/>
            <w:vAlign w:val="bottom"/>
            <w:gridSpan w:val="24"/>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39">
              <w:r>
                <w:rPr>
                  <w:rFonts w:ascii="Arial" w:cs="Arial" w:eastAsia="Arial" w:hAnsi="Arial"/>
                  <w:sz w:val="18"/>
                  <w:szCs w:val="18"/>
                  <w:color w:val="0000FF"/>
                  <w:w w:val="95"/>
                </w:rPr>
                <w:t>Description of Our Securities (incorporated by reference to Exhibit 4.19 to our Annual Report on Form 10-K for the year ended</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39">
              <w:r>
                <w:rPr>
                  <w:rFonts w:ascii="Arial" w:cs="Arial" w:eastAsia="Arial" w:hAnsi="Arial"/>
                  <w:sz w:val="18"/>
                  <w:szCs w:val="18"/>
                  <w:color w:val="0000FF"/>
                  <w:w w:val="88"/>
                </w:rPr>
                <w:t>December 31, 2020).</w:t>
              </w:r>
            </w:hyperlink>
          </w:p>
        </w:tc>
        <w:tc>
          <w:tcPr>
            <w:tcW w:w="768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10.1</w:t>
            </w:r>
          </w:p>
        </w:tc>
        <w:tc>
          <w:tcPr>
            <w:tcW w:w="10020" w:type="dxa"/>
            <w:vAlign w:val="bottom"/>
            <w:gridSpan w:val="24"/>
          </w:tcPr>
          <w:p>
            <w:pPr>
              <w:ind w:left="2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40">
              <w:r>
                <w:rPr>
                  <w:rFonts w:ascii="Arial" w:cs="Arial" w:eastAsia="Arial" w:hAnsi="Arial"/>
                  <w:sz w:val="18"/>
                  <w:szCs w:val="18"/>
                  <w:color w:val="0000FF"/>
                  <w:w w:val="93"/>
                </w:rPr>
                <w:t>Credit Agreement dated as of August 20, 2021, among Plains All American Pipeline, L.P. and Plains Midstream Canada ULC, as</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0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Borrowers; certain subsidiaries of Plains All American Pipeline, L.P. from time to time party thereto, as Designated Borrowers;</w:t>
              </w:r>
            </w:hyperlink>
          </w:p>
        </w:tc>
        <w:tc>
          <w:tcPr>
            <w:tcW w:w="140" w:type="dxa"/>
            <w:vAlign w:val="bottom"/>
            <w:gridSpan w:val="3"/>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Bank of America, N.A., as Administrative Agent and Swing Line Lender; Bank of America, N.A., Citibank, N.A., JPMorgan</w:t>
              </w:r>
            </w:hyperlink>
          </w:p>
        </w:tc>
        <w:tc>
          <w:tcPr>
            <w:tcW w:w="16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40" w:type="dxa"/>
            <w:vAlign w:val="bottom"/>
            <w:gridSpan w:val="23"/>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Chase Bank, N.A. and Wells Fargo Bank, National Association, as L/C Issuers; and the other Lenders party thereto (incorporated</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by reference to Exhibit 10.1 to our Current Report on Form 8-K filed August 26, 2021).</w:t>
              </w:r>
            </w:hyperlink>
          </w:p>
        </w:tc>
        <w:tc>
          <w:tcPr>
            <w:tcW w:w="2960" w:type="dxa"/>
            <w:vAlign w:val="bottom"/>
            <w:tcBorders>
              <w:top w:val="single" w:sz="8" w:color="0000FF"/>
            </w:tcBorders>
            <w:gridSpan w:val="13"/>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10.2</w:t>
            </w:r>
          </w:p>
        </w:tc>
        <w:tc>
          <w:tcPr>
            <w:tcW w:w="10020" w:type="dxa"/>
            <w:vAlign w:val="bottom"/>
            <w:gridSpan w:val="24"/>
          </w:tcPr>
          <w:p>
            <w:pPr>
              <w:ind w:left="20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41">
              <w:r>
                <w:rPr>
                  <w:rFonts w:ascii="Arial" w:cs="Arial" w:eastAsia="Arial" w:hAnsi="Arial"/>
                  <w:sz w:val="18"/>
                  <w:szCs w:val="18"/>
                  <w:color w:val="0000FF"/>
                  <w:w w:val="99"/>
                </w:rPr>
                <w:t>Fourth Amended and Restated Credit Agreement dated as of August 20, 2021, among Plains Marketing, L.P. and Plains</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0" w:type="dxa"/>
            <w:vAlign w:val="bottom"/>
            <w:tcBorders>
              <w:top w:val="single" w:sz="8" w:color="0000FF"/>
            </w:tcBorders>
            <w:gridSpan w:val="11"/>
          </w:tcPr>
          <w:p>
            <w:pPr>
              <w:spacing w:after="0" w:line="156" w:lineRule="exact"/>
              <w:rPr>
                <w:rFonts w:ascii="Arial" w:cs="Arial" w:eastAsia="Arial" w:hAnsi="Arial"/>
                <w:sz w:val="18"/>
                <w:szCs w:val="18"/>
                <w:color w:val="0000FF"/>
                <w:w w:val="94"/>
              </w:rPr>
            </w:pPr>
            <w:hyperlink r:id="rId141">
              <w:r>
                <w:rPr>
                  <w:rFonts w:ascii="Arial" w:cs="Arial" w:eastAsia="Arial" w:hAnsi="Arial"/>
                  <w:sz w:val="18"/>
                  <w:szCs w:val="18"/>
                  <w:color w:val="0000FF"/>
                  <w:w w:val="94"/>
                </w:rPr>
                <w:t>Midstream Canada ULC, as Borrowers; Plains All American Pipeline, L.P., as guarantor; Bank of America, N.A., as</w:t>
              </w:r>
            </w:hyperlink>
          </w:p>
        </w:tc>
        <w:tc>
          <w:tcPr>
            <w:tcW w:w="56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200" w:type="dxa"/>
            <w:vAlign w:val="bottom"/>
            <w:gridSpan w:val="5"/>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Administrative Agent and Swing Line Lender; Bank of America, N.A., Citibank, N.A., JPMorgan Chase Bank, N.A.</w:t>
              </w:r>
            </w:hyperlink>
          </w:p>
        </w:tc>
        <w:tc>
          <w:tcPr>
            <w:tcW w:w="800" w:type="dxa"/>
            <w:vAlign w:val="bottom"/>
            <w:tcBorders>
              <w:bottom w:val="single" w:sz="8" w:color="0000FF"/>
            </w:tcBorders>
            <w:gridSpan w:val="5"/>
          </w:tcPr>
          <w:p>
            <w:pPr>
              <w:ind w:left="80"/>
              <w:spacing w:after="0" w:line="156" w:lineRule="exact"/>
              <w:rPr>
                <w:rFonts w:ascii="Arial" w:cs="Arial" w:eastAsia="Arial" w:hAnsi="Arial"/>
                <w:sz w:val="18"/>
                <w:szCs w:val="18"/>
                <w:color w:val="0000FF"/>
                <w:w w:val="88"/>
              </w:rPr>
            </w:pPr>
            <w:hyperlink r:id="rId141">
              <w:r>
                <w:rPr>
                  <w:rFonts w:ascii="Arial" w:cs="Arial" w:eastAsia="Arial" w:hAnsi="Arial"/>
                  <w:sz w:val="18"/>
                  <w:szCs w:val="18"/>
                  <w:color w:val="0000FF"/>
                  <w:w w:val="88"/>
                </w:rPr>
                <w:t>and Wells</w:t>
              </w:r>
            </w:hyperlink>
          </w:p>
        </w:tc>
        <w:tc>
          <w:tcPr>
            <w:tcW w:w="280" w:type="dxa"/>
            <w:vAlign w:val="bottom"/>
            <w:gridSpan w:val="8"/>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40" w:type="dxa"/>
            <w:vAlign w:val="bottom"/>
            <w:gridSpan w:val="23"/>
          </w:tcPr>
          <w:p>
            <w:pPr>
              <w:spacing w:after="0" w:line="15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Fargo Bank, National Association, as L/C Issuers; and the other Lenders party thereto (incorporated by reference to Exhibit 10.2</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to our Current Report on Form 8-K filed August 26, 2021).</w:t>
              </w:r>
            </w:hyperlink>
          </w:p>
        </w:tc>
        <w:tc>
          <w:tcPr>
            <w:tcW w:w="4980" w:type="dxa"/>
            <w:vAlign w:val="bottom"/>
            <w:tcBorders>
              <w:top w:val="single" w:sz="8" w:color="0000FF"/>
            </w:tcBorders>
            <w:gridSpan w:val="16"/>
          </w:tcPr>
          <w:p>
            <w:pPr>
              <w:spacing w:after="0"/>
              <w:rPr>
                <w:sz w:val="13"/>
                <w:szCs w:val="13"/>
                <w:color w:val="auto"/>
              </w:rPr>
            </w:pPr>
          </w:p>
        </w:tc>
        <w:tc>
          <w:tcPr>
            <w:tcW w:w="200" w:type="dxa"/>
            <w:vAlign w:val="bottom"/>
            <w:gridSpan w:val="5"/>
          </w:tcPr>
          <w:p>
            <w:pPr>
              <w:spacing w:after="0"/>
              <w:rPr>
                <w:sz w:val="13"/>
                <w:szCs w:val="13"/>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9"/>
              </w:rPr>
              <w:t>10.3** †</w:t>
            </w:r>
          </w:p>
        </w:tc>
        <w:tc>
          <w:tcPr>
            <w:tcW w:w="1002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9">
              <w:r>
                <w:rPr>
                  <w:rFonts w:ascii="Arial" w:cs="Arial" w:eastAsia="Arial" w:hAnsi="Arial"/>
                  <w:sz w:val="18"/>
                  <w:szCs w:val="18"/>
                  <w:color w:val="0000FF"/>
                </w:rPr>
                <w:t>Form of LTIP Grant Letter dated August 19, 2021 (Named Executive Officers).</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160" w:type="dxa"/>
            <w:vAlign w:val="bottom"/>
            <w:gridSpan w:val="16"/>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9"/>
              </w:rPr>
              <w:t>10.4** †</w:t>
            </w:r>
          </w:p>
        </w:tc>
        <w:tc>
          <w:tcPr>
            <w:tcW w:w="1002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9">
              <w:r>
                <w:rPr>
                  <w:rFonts w:ascii="Arial" w:cs="Arial" w:eastAsia="Arial" w:hAnsi="Arial"/>
                  <w:sz w:val="18"/>
                  <w:szCs w:val="18"/>
                  <w:color w:val="0000FF"/>
                </w:rPr>
                <w:t>Form of LTIP Grant Letter dated August 19, 2021 (Directors).</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160" w:type="dxa"/>
            <w:vAlign w:val="bottom"/>
            <w:gridSpan w:val="16"/>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31.1 †</w:t>
            </w:r>
          </w:p>
        </w:tc>
        <w:tc>
          <w:tcPr>
            <w:tcW w:w="1002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2">
              <w:r>
                <w:rPr>
                  <w:rFonts w:ascii="Arial" w:cs="Arial" w:eastAsia="Arial" w:hAnsi="Arial"/>
                  <w:sz w:val="18"/>
                  <w:szCs w:val="18"/>
                  <w:color w:val="0000FF"/>
                </w:rPr>
                <w:t>Certification of Principal Executive Officer pursuant to Exchange Act Rules 13a-14(a) and 15d-14(a).</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tcBorders>
              <w:left w:val="single" w:sz="8" w:color="0000FF"/>
            </w:tcBorders>
            <w:gridSpan w:val="16"/>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31.2 †</w:t>
            </w:r>
          </w:p>
        </w:tc>
        <w:tc>
          <w:tcPr>
            <w:tcW w:w="1002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3">
              <w:r>
                <w:rPr>
                  <w:rFonts w:ascii="Arial" w:cs="Arial" w:eastAsia="Arial" w:hAnsi="Arial"/>
                  <w:sz w:val="18"/>
                  <w:szCs w:val="18"/>
                  <w:color w:val="0000FF"/>
                </w:rPr>
                <w:t>Certification of Principal Financial Officer pursuant to Exchange Act Rules 13a-14(a) and 15d-14(a).</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16"/>
          </w:tcPr>
          <w:p>
            <w:pPr>
              <w:spacing w:after="0" w:line="20" w:lineRule="exact"/>
              <w:rPr>
                <w:sz w:val="1"/>
                <w:szCs w:val="1"/>
                <w:color w:val="auto"/>
              </w:rPr>
            </w:pPr>
          </w:p>
        </w:tc>
      </w:tr>
      <w:tr>
        <w:trPr>
          <w:trHeight w:val="318"/>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89"/>
              </w:rPr>
              <w:t>32.1 ††</w:t>
            </w:r>
          </w:p>
        </w:tc>
        <w:tc>
          <w:tcPr>
            <w:tcW w:w="1002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4">
              <w:r>
                <w:rPr>
                  <w:rFonts w:ascii="Arial" w:cs="Arial" w:eastAsia="Arial" w:hAnsi="Arial"/>
                  <w:sz w:val="18"/>
                  <w:szCs w:val="18"/>
                  <w:color w:val="0000FF"/>
                </w:rPr>
                <w:t>Certification of Principal Executive Officer pursuant to 18 U.S.C. 1350.</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4320" w:type="dxa"/>
            <w:vAlign w:val="bottom"/>
            <w:tcBorders>
              <w:left w:val="single" w:sz="8" w:color="0000FF"/>
            </w:tcBorders>
            <w:gridSpan w:val="19"/>
          </w:tcPr>
          <w:p>
            <w:pPr>
              <w:spacing w:after="0" w:line="20" w:lineRule="exact"/>
              <w:rPr>
                <w:sz w:val="1"/>
                <w:szCs w:val="1"/>
                <w:color w:val="auto"/>
              </w:rPr>
            </w:pPr>
          </w:p>
        </w:tc>
      </w:tr>
      <w:tr>
        <w:trPr>
          <w:trHeight w:val="318"/>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89"/>
              </w:rPr>
              <w:t>32.2 ††</w:t>
            </w:r>
          </w:p>
        </w:tc>
        <w:tc>
          <w:tcPr>
            <w:tcW w:w="1002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5">
              <w:r>
                <w:rPr>
                  <w:rFonts w:ascii="Arial" w:cs="Arial" w:eastAsia="Arial" w:hAnsi="Arial"/>
                  <w:sz w:val="18"/>
                  <w:szCs w:val="18"/>
                  <w:color w:val="0000FF"/>
                </w:rPr>
                <w:t>Certification of Principal Financial Officer pursuant to 18 U.S.C. 1350.</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4320" w:type="dxa"/>
            <w:vAlign w:val="bottom"/>
            <w:gridSpan w:val="19"/>
          </w:tcPr>
          <w:p>
            <w:pPr>
              <w:spacing w:after="0" w:line="20" w:lineRule="exact"/>
              <w:rPr>
                <w:sz w:val="1"/>
                <w:szCs w:val="1"/>
                <w:color w:val="auto"/>
              </w:rPr>
            </w:pPr>
          </w:p>
        </w:tc>
      </w:tr>
      <w:tr>
        <w:trPr>
          <w:trHeight w:val="304"/>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0"/>
              </w:rPr>
              <w:t>101.INS†</w:t>
            </w:r>
          </w:p>
        </w:tc>
        <w:tc>
          <w:tcPr>
            <w:tcW w:w="10020" w:type="dxa"/>
            <w:vAlign w:val="bottom"/>
            <w:gridSpan w:val="24"/>
          </w:tcPr>
          <w:p>
            <w:pPr>
              <w:ind w:left="200"/>
              <w:spacing w:after="0"/>
              <w:rPr>
                <w:sz w:val="20"/>
                <w:szCs w:val="20"/>
                <w:color w:val="auto"/>
              </w:rPr>
            </w:pPr>
            <w:r>
              <w:rPr>
                <w:rFonts w:ascii="Arial" w:cs="Arial" w:eastAsia="Arial" w:hAnsi="Arial"/>
                <w:sz w:val="18"/>
                <w:szCs w:val="18"/>
                <w:color w:val="auto"/>
                <w:w w:val="98"/>
              </w:rPr>
              <w:t>—  XBRL Instance Document - the instance document does not appear in the Interactive Data File because its XBRL tags are</w:t>
            </w:r>
          </w:p>
        </w:tc>
      </w:tr>
      <w:tr>
        <w:trPr>
          <w:trHeight w:val="230"/>
        </w:trPr>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40" w:type="dxa"/>
            <w:vAlign w:val="bottom"/>
            <w:gridSpan w:val="2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101.SCH†</w:t>
            </w:r>
          </w:p>
        </w:tc>
        <w:tc>
          <w:tcPr>
            <w:tcW w:w="1002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Schema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4"/>
              </w:rPr>
              <w:t>101.CAL†</w:t>
            </w:r>
          </w:p>
        </w:tc>
        <w:tc>
          <w:tcPr>
            <w:tcW w:w="1002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3"/>
              </w:rPr>
              <w:t>101.DEF†</w:t>
            </w:r>
          </w:p>
        </w:tc>
        <w:tc>
          <w:tcPr>
            <w:tcW w:w="1002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6"/>
              </w:rPr>
              <w:t>101.LAB†</w:t>
            </w:r>
          </w:p>
        </w:tc>
        <w:tc>
          <w:tcPr>
            <w:tcW w:w="1002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101.PRE†</w:t>
            </w:r>
          </w:p>
        </w:tc>
        <w:tc>
          <w:tcPr>
            <w:tcW w:w="1002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104†</w:t>
            </w:r>
          </w:p>
        </w:tc>
        <w:tc>
          <w:tcPr>
            <w:tcW w:w="10020" w:type="dxa"/>
            <w:vAlign w:val="bottom"/>
            <w:gridSpan w:val="24"/>
          </w:tcPr>
          <w:p>
            <w:pPr>
              <w:ind w:left="20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ind w:right="660" w:firstLine="8"/>
        <w:spacing w:after="0" w:line="277"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schedules and similar attachments have been omitted pursuant to Item 601(b)(2) of Regulation S-K. The Registrant agrees to furnish a supplemental copy of any omitted schedule or attachment to the SEC upon request.</w:t>
      </w:r>
    </w:p>
    <w:p>
      <w:pPr>
        <w:spacing w:after="0" w:line="6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PLAINS ALL AMERICAN PIPELINE, L.P.</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PAA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8"/>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AAP, L.P.,</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sole member</w:t>
            </w:r>
          </w:p>
        </w:tc>
      </w:tr>
      <w:tr>
        <w:trPr>
          <w:trHeight w:val="458"/>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November 8, 2021</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20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89"/>
              </w:rPr>
              <w:t>Executive Vice President and Chief Financial Officer of Plains All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November 8, 2021</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20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1"/>
              </w:rPr>
              <w:t>Senior Vice President, Finance and Chief Accounting Officer of</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November 8, 2021</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25" w:right="35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11430</wp:posOffset>
            </wp:positionV>
            <wp:extent cx="2768600" cy="797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4">
                      <a:extLst>
                        <a:ext uri="{28A0092B-C50C-407E-A947-70E740481C1C}"/>
                      </a:extLst>
                    </a:blip>
                    <a:srcRect/>
                    <a:stretch>
                      <a:fillRect/>
                    </a:stretch>
                  </pic:blipFill>
                  <pic:spPr bwMode="auto">
                    <a:xfrm>
                      <a:off x="0" y="0"/>
                      <a:ext cx="276860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2021 Regular Annual LTIP Grant</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Section 16 Officers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19,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«Section 16 Officer»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1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«Salutation»:</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 am pleased to inform you that, subject to the terms hereof, you have been granted a target number of Phantom Units equal to «LTIP_Grant»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15" w:lineRule="exact"/>
        <w:rPr>
          <w:sz w:val="20"/>
          <w:szCs w:val="20"/>
          <w:color w:val="auto"/>
        </w:rPr>
      </w:pPr>
    </w:p>
    <w:p>
      <w:pPr>
        <w:jc w:val="both"/>
        <w:ind w:left="1060" w:hanging="404"/>
        <w:spacing w:after="0" w:line="234" w:lineRule="auto"/>
        <w:tabs>
          <w:tab w:leader="none" w:pos="10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Subject to the further provisions hereof, your Phantom Units shall vest (become payable in the form of one Common Unit of PAA for each Phantom Unit that vests) as set forth below. With respect to Tranche 2 and Tranche 3 below, the actual number of Phantom Units that vest may be lower or higher than the percentage of target Phantom Units associated with such Tranche.</w:t>
      </w:r>
    </w:p>
    <w:p>
      <w:pPr>
        <w:spacing w:after="0" w:line="3" w:lineRule="exact"/>
        <w:rPr>
          <w:rFonts w:ascii="Arial" w:cs="Arial" w:eastAsia="Arial" w:hAnsi="Arial"/>
          <w:sz w:val="22"/>
          <w:szCs w:val="22"/>
          <w:color w:val="auto"/>
        </w:rPr>
      </w:pPr>
    </w:p>
    <w:p>
      <w:pPr>
        <w:ind w:left="1620" w:hanging="316"/>
        <w:spacing w:after="0" w:line="230" w:lineRule="auto"/>
        <w:tabs>
          <w:tab w:leader="none" w:pos="1620" w:val="left"/>
        </w:tabs>
        <w:numPr>
          <w:ilvl w:val="1"/>
          <w:numId w:val="52"/>
        </w:numPr>
        <w:rPr>
          <w:rFonts w:ascii="Arial" w:cs="Arial" w:eastAsia="Arial" w:hAnsi="Arial"/>
          <w:sz w:val="22"/>
          <w:szCs w:val="22"/>
          <w:color w:val="auto"/>
        </w:rPr>
      </w:pPr>
      <w:r>
        <w:rPr>
          <w:rFonts w:ascii="Arial" w:cs="Arial" w:eastAsia="Arial" w:hAnsi="Arial"/>
          <w:sz w:val="22"/>
          <w:szCs w:val="22"/>
          <w:color w:val="auto"/>
        </w:rPr>
        <w:t>50% of your Phantom Units (“Tranche 1”) will vest on the August 2024 Distribution Date.</w:t>
      </w:r>
    </w:p>
    <w:p>
      <w:pPr>
        <w:ind w:left="1620" w:right="20" w:hanging="316"/>
        <w:spacing w:after="0" w:line="230" w:lineRule="auto"/>
        <w:tabs>
          <w:tab w:leader="none" w:pos="1620" w:val="left"/>
        </w:tabs>
        <w:numPr>
          <w:ilvl w:val="1"/>
          <w:numId w:val="52"/>
        </w:numPr>
        <w:rPr>
          <w:rFonts w:ascii="Arial" w:cs="Arial" w:eastAsia="Arial" w:hAnsi="Arial"/>
          <w:sz w:val="22"/>
          <w:szCs w:val="22"/>
          <w:color w:val="auto"/>
        </w:rPr>
      </w:pPr>
      <w:r>
        <w:rPr>
          <w:rFonts w:ascii="Arial" w:cs="Arial" w:eastAsia="Arial" w:hAnsi="Arial"/>
          <w:sz w:val="22"/>
          <w:szCs w:val="22"/>
          <w:color w:val="auto"/>
        </w:rPr>
        <w:t>25% of your Phantom Units (“Tranche 2”) will vest pursuant to the terms and conditions described in Exhibit A attached hereto.</w:t>
      </w:r>
    </w:p>
    <w:p>
      <w:pPr>
        <w:spacing w:after="0" w:line="1" w:lineRule="exact"/>
        <w:rPr>
          <w:rFonts w:ascii="Arial" w:cs="Arial" w:eastAsia="Arial" w:hAnsi="Arial"/>
          <w:sz w:val="22"/>
          <w:szCs w:val="22"/>
          <w:color w:val="auto"/>
        </w:rPr>
      </w:pPr>
    </w:p>
    <w:p>
      <w:pPr>
        <w:ind w:left="1620" w:hanging="316"/>
        <w:spacing w:after="0" w:line="230" w:lineRule="auto"/>
        <w:tabs>
          <w:tab w:leader="none" w:pos="1608" w:val="left"/>
        </w:tabs>
        <w:numPr>
          <w:ilvl w:val="1"/>
          <w:numId w:val="52"/>
        </w:numPr>
        <w:rPr>
          <w:rFonts w:ascii="Arial" w:cs="Arial" w:eastAsia="Arial" w:hAnsi="Arial"/>
          <w:sz w:val="22"/>
          <w:szCs w:val="22"/>
          <w:color w:val="auto"/>
        </w:rPr>
      </w:pPr>
      <w:r>
        <w:rPr>
          <w:rFonts w:ascii="Arial" w:cs="Arial" w:eastAsia="Arial" w:hAnsi="Arial"/>
          <w:sz w:val="22"/>
          <w:szCs w:val="22"/>
          <w:color w:val="auto"/>
        </w:rPr>
        <w:t>25% of your Phantom Units (“Tranche 3”) will vest pursuant to the terms and conditions described in Exhibit B attached hereto.</w:t>
      </w:r>
    </w:p>
    <w:p>
      <w:pPr>
        <w:spacing w:after="0" w:line="1" w:lineRule="exact"/>
        <w:rPr>
          <w:rFonts w:ascii="Arial" w:cs="Arial" w:eastAsia="Arial" w:hAnsi="Arial"/>
          <w:sz w:val="22"/>
          <w:szCs w:val="22"/>
          <w:color w:val="auto"/>
        </w:rPr>
      </w:pPr>
    </w:p>
    <w:p>
      <w:pPr>
        <w:ind w:left="1620" w:right="20" w:hanging="316"/>
        <w:spacing w:after="0" w:line="236" w:lineRule="auto"/>
        <w:tabs>
          <w:tab w:leader="none" w:pos="1620" w:val="left"/>
        </w:tabs>
        <w:numPr>
          <w:ilvl w:val="1"/>
          <w:numId w:val="52"/>
        </w:numPr>
        <w:rPr>
          <w:rFonts w:ascii="Arial" w:cs="Arial" w:eastAsia="Arial" w:hAnsi="Arial"/>
          <w:sz w:val="22"/>
          <w:szCs w:val="22"/>
          <w:color w:val="auto"/>
        </w:rPr>
      </w:pPr>
      <w:r>
        <w:rPr>
          <w:rFonts w:ascii="Arial" w:cs="Arial" w:eastAsia="Arial" w:hAnsi="Arial"/>
          <w:sz w:val="22"/>
          <w:szCs w:val="22"/>
          <w:color w:val="auto"/>
        </w:rPr>
        <w:t>Any Tranche 2 or Tranche 3 Phantom Units that are determined not to have vested as of the August 2024 Distribution Date shall expire effective as of such date.</w:t>
      </w:r>
    </w:p>
    <w:p>
      <w:pPr>
        <w:spacing w:after="0" w:line="146" w:lineRule="exact"/>
        <w:rPr>
          <w:rFonts w:ascii="Arial" w:cs="Arial" w:eastAsia="Arial" w:hAnsi="Arial"/>
          <w:sz w:val="22"/>
          <w:szCs w:val="22"/>
          <w:color w:val="auto"/>
        </w:rPr>
      </w:pPr>
    </w:p>
    <w:p>
      <w:pPr>
        <w:ind w:left="1060" w:hanging="404"/>
        <w:spacing w:after="0"/>
        <w:tabs>
          <w:tab w:leader="none" w:pos="10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Subject to the further provisions hereof, your DERs shall vest (become payable in cash) as follows:</w:t>
      </w:r>
    </w:p>
    <w:p>
      <w:pPr>
        <w:spacing w:after="0" w:line="8" w:lineRule="exact"/>
        <w:rPr>
          <w:rFonts w:ascii="Arial" w:cs="Arial" w:eastAsia="Arial" w:hAnsi="Arial"/>
          <w:sz w:val="22"/>
          <w:szCs w:val="22"/>
          <w:color w:val="auto"/>
        </w:rPr>
      </w:pPr>
    </w:p>
    <w:p>
      <w:pPr>
        <w:jc w:val="both"/>
        <w:ind w:left="1620" w:hanging="316"/>
        <w:spacing w:after="0" w:line="280" w:lineRule="auto"/>
        <w:tabs>
          <w:tab w:leader="none" w:pos="1608"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DERs associated with Tranche 1 will begin accruing on the November 2021 Distribution Date and will continue to accrue until the August 2022 Distribution Date, on which date such accrued but unpaid DERs will vest and be paid in a lump sum. Beginning on the November 2022 Distribution Date, such vested DERs will be paid quarterly until the associated Phantom Units vest or are forfeited pursuant to the terms hereof.</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80"/>
        </w:rPr>
        <w:t>333 Clay Street, Suite 1600 (77002) ■ P.O. Box 4648 ■ Houston, Texas 77210-4648 ■ 713-646-4100</w:t>
      </w:r>
    </w:p>
    <w:p>
      <w:pPr>
        <w:sectPr>
          <w:pgSz w:w="11900" w:h="16838" w:orient="portrait"/>
          <w:cols w:equalWidth="0" w:num="1">
            <w:col w:w="11240"/>
          </w:cols>
          <w:pgMar w:left="320" w:top="112"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«Officer»</w:t>
      </w:r>
    </w:p>
    <w:p>
      <w:pPr>
        <w:spacing w:after="0" w:line="238" w:lineRule="auto"/>
        <w:rPr>
          <w:sz w:val="20"/>
          <w:szCs w:val="20"/>
          <w:color w:val="auto"/>
        </w:rPr>
      </w:pPr>
      <w:r>
        <w:rPr>
          <w:rFonts w:ascii="Arial" w:cs="Arial" w:eastAsia="Arial" w:hAnsi="Arial"/>
          <w:sz w:val="22"/>
          <w:szCs w:val="22"/>
          <w:color w:val="auto"/>
        </w:rPr>
        <w:t>August 19,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620" w:hanging="316"/>
        <w:spacing w:after="0" w:line="273" w:lineRule="auto"/>
        <w:tabs>
          <w:tab w:leader="none" w:pos="1620"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DERs associated with Tranches 2 and 3 will begin accruing on the November 2021 Distribution Date and will continue to accrue until the associated Phantom Units vest or are forfeited pursuant to the terms hereof. Until such time as a final determination has been made regarding the number of Phantom Units that have vested for Tranche 2 and Tranche 3, such accruals will be based on the assumption that the final “Payout Percentage” as determined pursuant to Exhibit A or Exhibit B, as applicable, equals 100%. Once the final Payout Percentages and the final number of Phantom Units vesting for Tranche 2 and Tranche 3 have been determined, such accrued amounts shall be adjusted upward or downward, as applicable, so that they equal the total amount that would have been accrued in respect of the DERs associated with such vested Phantom Units had the accrual been based on such number of vested Phantom Units commencing on the November 2021 Distribution Date. All accrued and unpaid DERs associated with Tranche 2 and Tranche 3 shall be paid on the August 2024 Distribution Date or as soon thereafter as is administratively practicable.</w:t>
      </w:r>
    </w:p>
    <w:p>
      <w:pPr>
        <w:spacing w:after="0" w:line="182" w:lineRule="exact"/>
        <w:rPr>
          <w:rFonts w:ascii="Arial" w:cs="Arial" w:eastAsia="Arial" w:hAnsi="Arial"/>
          <w:sz w:val="19"/>
          <w:szCs w:val="19"/>
          <w:color w:val="auto"/>
        </w:rPr>
      </w:pPr>
    </w:p>
    <w:p>
      <w:pPr>
        <w:jc w:val="both"/>
        <w:ind w:left="1080" w:hanging="424"/>
        <w:spacing w:after="0" w:line="238" w:lineRule="auto"/>
        <w:tabs>
          <w:tab w:leader="none" w:pos="10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number of Phantom Units and DERs subject to this award, and with respect to the Phantom Units comprising Tranche 3, the distributable cash flow level required for vesting of such Phantom Units, shall be proportionately reduced or increased for any split or reverse split, respectively, of PAA Common Units, or any event or transaction having a similar effect.</w:t>
      </w:r>
    </w:p>
    <w:p>
      <w:pPr>
        <w:spacing w:after="0" w:line="211" w:lineRule="exact"/>
        <w:rPr>
          <w:rFonts w:ascii="Arial" w:cs="Arial" w:eastAsia="Arial" w:hAnsi="Arial"/>
          <w:sz w:val="22"/>
          <w:szCs w:val="22"/>
          <w:color w:val="auto"/>
        </w:rPr>
      </w:pPr>
    </w:p>
    <w:p>
      <w:pPr>
        <w:jc w:val="both"/>
        <w:ind w:left="1080" w:hanging="424"/>
        <w:spacing w:after="0"/>
        <w:tabs>
          <w:tab w:leader="none" w:pos="10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«Officer»</w:t>
      </w:r>
    </w:p>
    <w:p>
      <w:pPr>
        <w:spacing w:after="0" w:line="238" w:lineRule="auto"/>
        <w:rPr>
          <w:sz w:val="20"/>
          <w:szCs w:val="20"/>
          <w:color w:val="auto"/>
        </w:rPr>
      </w:pPr>
      <w:r>
        <w:rPr>
          <w:rFonts w:ascii="Arial" w:cs="Arial" w:eastAsia="Arial" w:hAnsi="Arial"/>
          <w:sz w:val="22"/>
          <w:szCs w:val="22"/>
          <w:color w:val="auto"/>
        </w:rPr>
        <w:t>August 19,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980" w:hanging="324"/>
        <w:spacing w:after="0" w:line="244" w:lineRule="auto"/>
        <w:tabs>
          <w:tab w:leader="none" w:pos="9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for any reason (other than in connection with a Change in Status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after the first anniversary of the date of this grant, a “pro rata portion” of the target number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target number of your then outstanding Phantom Units by a fraction equal to the number of days between the grant date and the date of termination divided by the number of days between the grant date and the August 2024 Distribution Date (1,090). If the resulting amount includes a fraction, it will be rounded down to the nearest whole number.</w:t>
      </w:r>
    </w:p>
    <w:p>
      <w:pPr>
        <w:spacing w:after="0" w:line="207" w:lineRule="exact"/>
        <w:rPr>
          <w:rFonts w:ascii="Arial" w:cs="Arial" w:eastAsia="Arial" w:hAnsi="Arial"/>
          <w:sz w:val="21"/>
          <w:szCs w:val="21"/>
          <w:color w:val="auto"/>
        </w:rPr>
      </w:pPr>
    </w:p>
    <w:p>
      <w:pPr>
        <w:jc w:val="both"/>
        <w:ind w:left="980" w:hanging="324"/>
        <w:spacing w:after="0" w:line="269" w:lineRule="auto"/>
        <w:tabs>
          <w:tab w:leader="none" w:pos="9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w:t>
      </w:r>
    </w:p>
    <w:p>
      <w:pPr>
        <w:spacing w:after="0" w:line="2" w:lineRule="exact"/>
        <w:rPr>
          <w:rFonts w:ascii="Arial" w:cs="Arial" w:eastAsia="Arial" w:hAnsi="Arial"/>
          <w:sz w:val="19"/>
          <w:szCs w:val="19"/>
          <w:color w:val="auto"/>
        </w:rPr>
      </w:pPr>
    </w:p>
    <w:p>
      <w:pPr>
        <w:jc w:val="both"/>
        <w:ind w:left="980"/>
        <w:spacing w:after="0" w:line="246" w:lineRule="auto"/>
        <w:tabs>
          <w:tab w:leader="none" w:pos="1325" w:val="left"/>
        </w:tabs>
        <w:numPr>
          <w:ilvl w:val="1"/>
          <w:numId w:val="55"/>
        </w:numPr>
        <w:rPr>
          <w:rFonts w:ascii="Arial" w:cs="Arial" w:eastAsia="Arial" w:hAnsi="Arial"/>
          <w:sz w:val="21"/>
          <w:szCs w:val="21"/>
          <w:color w:val="auto"/>
        </w:rPr>
      </w:pPr>
      <w:r>
        <w:rPr>
          <w:rFonts w:ascii="Arial" w:cs="Arial" w:eastAsia="Arial" w:hAnsi="Arial"/>
          <w:sz w:val="21"/>
          <w:szCs w:val="21"/>
          <w:color w:val="auto"/>
        </w:rPr>
        <w:t>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206" w:lineRule="exact"/>
        <w:rPr>
          <w:rFonts w:ascii="Arial" w:cs="Arial" w:eastAsia="Arial" w:hAnsi="Arial"/>
          <w:sz w:val="21"/>
          <w:szCs w:val="21"/>
          <w:color w:val="auto"/>
        </w:rPr>
      </w:pPr>
    </w:p>
    <w:p>
      <w:pPr>
        <w:jc w:val="both"/>
        <w:ind w:left="980" w:hanging="324"/>
        <w:spacing w:after="0" w:line="236" w:lineRule="auto"/>
        <w:tabs>
          <w:tab w:leader="none" w:pos="9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(which shall be equal to the target number of Phantom Units specified in the first paragraph hereof)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«Officer»</w:t>
      </w:r>
    </w:p>
    <w:p>
      <w:pPr>
        <w:spacing w:after="0" w:line="238" w:lineRule="auto"/>
        <w:rPr>
          <w:sz w:val="20"/>
          <w:szCs w:val="20"/>
          <w:color w:val="auto"/>
        </w:rPr>
      </w:pPr>
      <w:r>
        <w:rPr>
          <w:rFonts w:ascii="Arial" w:cs="Arial" w:eastAsia="Arial" w:hAnsi="Arial"/>
          <w:sz w:val="22"/>
          <w:szCs w:val="22"/>
          <w:color w:val="auto"/>
        </w:rPr>
        <w:t>August 19,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980" w:hanging="324"/>
        <w:spacing w:after="0" w:line="238" w:lineRule="auto"/>
        <w:tabs>
          <w:tab w:leader="none" w:pos="9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Nasdaq for the five trading days preceding the then most recent “ex dividend” date for payment of a distribution by the Partnership.</w:t>
      </w:r>
    </w:p>
    <w:p>
      <w:pPr>
        <w:spacing w:after="0" w:line="21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pacing w:after="0" w:line="202" w:lineRule="exact"/>
        <w:rPr>
          <w:sz w:val="20"/>
          <w:szCs w:val="20"/>
          <w:color w:val="auto"/>
        </w:rPr>
      </w:pPr>
    </w:p>
    <w:p>
      <w:pPr>
        <w:jc w:val="both"/>
        <w:ind w:left="1580" w:hanging="924"/>
        <w:spacing w:after="0" w:line="234" w:lineRule="auto"/>
        <w:tabs>
          <w:tab w:leader="none" w:pos="157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p>
    <w:p>
      <w:pPr>
        <w:spacing w:after="0" w:line="3" w:lineRule="exact"/>
        <w:rPr>
          <w:rFonts w:ascii="Arial" w:cs="Arial" w:eastAsia="Arial" w:hAnsi="Arial"/>
          <w:sz w:val="22"/>
          <w:szCs w:val="22"/>
          <w:color w:val="auto"/>
        </w:rPr>
      </w:pPr>
    </w:p>
    <w:p>
      <w:pPr>
        <w:jc w:val="both"/>
        <w:ind w:left="1580" w:hanging="924"/>
        <w:spacing w:after="0" w:line="230" w:lineRule="auto"/>
        <w:tabs>
          <w:tab w:leader="none" w:pos="1577"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1" w:lineRule="exact"/>
        <w:rPr>
          <w:rFonts w:ascii="Arial" w:cs="Arial" w:eastAsia="Arial" w:hAnsi="Arial"/>
          <w:sz w:val="22"/>
          <w:szCs w:val="22"/>
          <w:color w:val="auto"/>
        </w:rPr>
      </w:pPr>
    </w:p>
    <w:p>
      <w:pPr>
        <w:ind w:left="1580" w:hanging="924"/>
        <w:spacing w:after="0" w:line="236" w:lineRule="auto"/>
        <w:tabs>
          <w:tab w:leader="none" w:pos="1569" w:val="left"/>
        </w:tabs>
        <w:numPr>
          <w:ilvl w:val="0"/>
          <w:numId w:val="57"/>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«Officer»</w:t>
      </w:r>
    </w:p>
    <w:p>
      <w:pPr>
        <w:spacing w:after="0" w:line="238" w:lineRule="auto"/>
        <w:rPr>
          <w:sz w:val="20"/>
          <w:szCs w:val="20"/>
          <w:color w:val="auto"/>
        </w:rPr>
      </w:pPr>
      <w:r>
        <w:rPr>
          <w:rFonts w:ascii="Arial" w:cs="Arial" w:eastAsia="Arial" w:hAnsi="Arial"/>
          <w:sz w:val="22"/>
          <w:szCs w:val="22"/>
          <w:color w:val="auto"/>
        </w:rPr>
        <w:t>August 19,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580" w:hanging="924"/>
        <w:spacing w:after="0" w:line="238" w:lineRule="auto"/>
        <w:tabs>
          <w:tab w:leader="none" w:pos="157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7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13" w:lineRule="exact"/>
        <w:rPr>
          <w:sz w:val="20"/>
          <w:szCs w:val="20"/>
          <w:color w:val="auto"/>
        </w:rPr>
      </w:pPr>
    </w:p>
    <w:p>
      <w:pPr>
        <w:jc w:val="both"/>
        <w:ind w:firstLine="565"/>
        <w:spacing w:after="0" w:line="236"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 You also acknowledge and agree that (i) Tranches 2 and 3 of this award constitute performance-based compensation as defined in the Clawback Policy adopted by PAGP GP on November 12, 2020 and (ii) Tranches 2 and 3 of this award, as well as any other performance-based compensation previously paid or awarded to you, are subject to recovery or cancellation pursuant to such Policy. Copies of the Plan, the Partnership Agreement and the Clawback Policy are available upon request.</w:t>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«Officer»</w:t>
      </w:r>
    </w:p>
    <w:p>
      <w:pPr>
        <w:spacing w:after="0" w:line="238" w:lineRule="auto"/>
        <w:rPr>
          <w:sz w:val="20"/>
          <w:szCs w:val="20"/>
          <w:color w:val="auto"/>
        </w:rPr>
      </w:pPr>
      <w:r>
        <w:rPr>
          <w:rFonts w:ascii="Arial" w:cs="Arial" w:eastAsia="Arial" w:hAnsi="Arial"/>
          <w:sz w:val="22"/>
          <w:szCs w:val="22"/>
          <w:color w:val="auto"/>
        </w:rPr>
        <w:t>August 19,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3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PLAINS ALL AMERICAN GP LLC,</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140" w:type="dxa"/>
            <w:vAlign w:val="bottom"/>
            <w:gridSpan w:val="6"/>
          </w:tcPr>
          <w:p>
            <w:pPr>
              <w:spacing w:after="0"/>
              <w:rPr>
                <w:sz w:val="20"/>
                <w:szCs w:val="20"/>
                <w:color w:val="auto"/>
              </w:rPr>
            </w:pPr>
            <w:r>
              <w:rPr>
                <w:rFonts w:ascii="Arial" w:cs="Arial" w:eastAsia="Arial" w:hAnsi="Arial"/>
                <w:sz w:val="22"/>
                <w:szCs w:val="22"/>
                <w:color w:val="auto"/>
              </w:rPr>
              <w:t>its general partner</w:t>
            </w:r>
          </w:p>
        </w:tc>
        <w:tc>
          <w:tcPr>
            <w:tcW w:w="3580" w:type="dxa"/>
            <w:vAlign w:val="bottom"/>
          </w:tcPr>
          <w:p>
            <w:pPr>
              <w:spacing w:after="0"/>
              <w:rPr>
                <w:sz w:val="23"/>
                <w:szCs w:val="23"/>
                <w:color w:val="auto"/>
              </w:rPr>
            </w:pPr>
          </w:p>
        </w:tc>
      </w:tr>
      <w:tr>
        <w:trPr>
          <w:trHeight w:val="680"/>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7"/>
          </w:tcPr>
          <w:p>
            <w:pPr>
              <w:ind w:left="700"/>
              <w:spacing w:after="0"/>
              <w:rPr>
                <w:sz w:val="20"/>
                <w:szCs w:val="20"/>
                <w:color w:val="auto"/>
              </w:rPr>
            </w:pPr>
            <w:r>
              <w:rPr>
                <w:rFonts w:ascii="Arial" w:cs="Arial" w:eastAsia="Arial" w:hAnsi="Arial"/>
                <w:sz w:val="22"/>
                <w:szCs w:val="22"/>
                <w:color w:val="auto"/>
                <w:w w:val="91"/>
              </w:rPr>
              <w:t>By:  ______________________________</w:t>
            </w:r>
          </w:p>
        </w:tc>
        <w:tc>
          <w:tcPr>
            <w:tcW w:w="3580" w:type="dxa"/>
            <w:vAlign w:val="bottom"/>
          </w:tcPr>
          <w:p>
            <w:pPr>
              <w:spacing w:after="0"/>
              <w:rPr>
                <w:sz w:val="24"/>
                <w:szCs w:val="24"/>
                <w:color w:val="auto"/>
              </w:rPr>
            </w:pPr>
          </w:p>
        </w:tc>
      </w:tr>
      <w:tr>
        <w:trPr>
          <w:trHeight w:val="243"/>
        </w:trPr>
        <w:tc>
          <w:tcPr>
            <w:tcW w:w="3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ind w:left="700"/>
              <w:spacing w:after="0" w:line="243" w:lineRule="exact"/>
              <w:rPr>
                <w:sz w:val="20"/>
                <w:szCs w:val="20"/>
                <w:color w:val="auto"/>
              </w:rPr>
            </w:pPr>
            <w:r>
              <w:rPr>
                <w:rFonts w:ascii="Arial" w:cs="Arial" w:eastAsia="Arial" w:hAnsi="Arial"/>
                <w:sz w:val="22"/>
                <w:szCs w:val="22"/>
                <w:color w:val="auto"/>
                <w:w w:val="95"/>
              </w:rPr>
              <w:t>Name:</w:t>
            </w:r>
          </w:p>
        </w:tc>
        <w:tc>
          <w:tcPr>
            <w:tcW w:w="40" w:type="dxa"/>
            <w:vAlign w:val="bottom"/>
          </w:tcPr>
          <w:p>
            <w:pPr>
              <w:spacing w:after="0"/>
              <w:rPr>
                <w:sz w:val="21"/>
                <w:szCs w:val="21"/>
                <w:color w:val="auto"/>
              </w:rPr>
            </w:pPr>
          </w:p>
        </w:tc>
        <w:tc>
          <w:tcPr>
            <w:tcW w:w="3100" w:type="dxa"/>
            <w:vAlign w:val="bottom"/>
            <w:gridSpan w:val="5"/>
          </w:tcPr>
          <w:p>
            <w:pPr>
              <w:ind w:left="100"/>
              <w:spacing w:after="0" w:line="243" w:lineRule="exact"/>
              <w:rPr>
                <w:sz w:val="20"/>
                <w:szCs w:val="20"/>
                <w:color w:val="auto"/>
              </w:rPr>
            </w:pPr>
            <w:r>
              <w:rPr>
                <w:rFonts w:ascii="Arial" w:cs="Arial" w:eastAsia="Arial" w:hAnsi="Arial"/>
                <w:sz w:val="22"/>
                <w:szCs w:val="22"/>
                <w:color w:val="auto"/>
              </w:rPr>
              <w:t>Jim Tillis</w:t>
            </w:r>
          </w:p>
        </w:tc>
        <w:tc>
          <w:tcPr>
            <w:tcW w:w="3580" w:type="dxa"/>
            <w:vAlign w:val="bottom"/>
          </w:tcPr>
          <w:p>
            <w:pPr>
              <w:spacing w:after="0"/>
              <w:rPr>
                <w:sz w:val="21"/>
                <w:szCs w:val="21"/>
                <w:color w:val="auto"/>
              </w:rPr>
            </w:pPr>
          </w:p>
        </w:tc>
      </w:tr>
      <w:tr>
        <w:trPr>
          <w:trHeight w:val="274"/>
        </w:trPr>
        <w:tc>
          <w:tcPr>
            <w:tcW w:w="3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ind w:left="700"/>
              <w:spacing w:after="0"/>
              <w:rPr>
                <w:sz w:val="20"/>
                <w:szCs w:val="20"/>
                <w:color w:val="auto"/>
              </w:rPr>
            </w:pPr>
            <w:r>
              <w:rPr>
                <w:rFonts w:ascii="Arial" w:cs="Arial" w:eastAsia="Arial" w:hAnsi="Arial"/>
                <w:sz w:val="22"/>
                <w:szCs w:val="22"/>
                <w:color w:val="auto"/>
              </w:rPr>
              <w:t>Title:</w:t>
            </w:r>
          </w:p>
        </w:tc>
        <w:tc>
          <w:tcPr>
            <w:tcW w:w="3140" w:type="dxa"/>
            <w:vAlign w:val="bottom"/>
            <w:gridSpan w:val="6"/>
          </w:tcPr>
          <w:p>
            <w:pPr>
              <w:ind w:left="20"/>
              <w:spacing w:after="0"/>
              <w:rPr>
                <w:sz w:val="20"/>
                <w:szCs w:val="20"/>
                <w:color w:val="auto"/>
              </w:rPr>
            </w:pPr>
            <w:r>
              <w:rPr>
                <w:rFonts w:ascii="Arial" w:cs="Arial" w:eastAsia="Arial" w:hAnsi="Arial"/>
                <w:sz w:val="22"/>
                <w:szCs w:val="22"/>
                <w:color w:val="auto"/>
                <w:w w:val="88"/>
              </w:rPr>
              <w:t>Vice President – Human Resources</w:t>
            </w:r>
          </w:p>
        </w:tc>
        <w:tc>
          <w:tcPr>
            <w:tcW w:w="3580" w:type="dxa"/>
            <w:vAlign w:val="bottom"/>
          </w:tcPr>
          <w:p>
            <w:pPr>
              <w:spacing w:after="0"/>
              <w:rPr>
                <w:sz w:val="23"/>
                <w:szCs w:val="23"/>
                <w:color w:val="auto"/>
              </w:rPr>
            </w:pPr>
          </w:p>
        </w:tc>
      </w:tr>
      <w:tr>
        <w:trPr>
          <w:trHeight w:val="698"/>
        </w:trPr>
        <w:tc>
          <w:tcPr>
            <w:tcW w:w="3200" w:type="dxa"/>
            <w:vAlign w:val="bottom"/>
            <w:gridSpan w:val="2"/>
          </w:tcPr>
          <w:p>
            <w:pPr>
              <w:spacing w:after="0"/>
              <w:rPr>
                <w:sz w:val="20"/>
                <w:szCs w:val="20"/>
                <w:color w:val="auto"/>
              </w:rPr>
            </w:pPr>
            <w:r>
              <w:rPr>
                <w:rFonts w:ascii="Arial" w:cs="Arial" w:eastAsia="Arial" w:hAnsi="Arial"/>
                <w:sz w:val="22"/>
                <w:szCs w:val="22"/>
                <w:color w:val="auto"/>
                <w:w w:val="89"/>
              </w:rPr>
              <w:t>_____________________________</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74"/>
        </w:trPr>
        <w:tc>
          <w:tcPr>
            <w:tcW w:w="3200" w:type="dxa"/>
            <w:vAlign w:val="bottom"/>
            <w:gridSpan w:val="2"/>
          </w:tcPr>
          <w:p>
            <w:pPr>
              <w:spacing w:after="0"/>
              <w:rPr>
                <w:sz w:val="20"/>
                <w:szCs w:val="20"/>
                <w:color w:val="auto"/>
              </w:rPr>
            </w:pPr>
            <w:r>
              <w:rPr>
                <w:rFonts w:ascii="Arial" w:cs="Arial" w:eastAsia="Arial" w:hAnsi="Arial"/>
                <w:sz w:val="22"/>
                <w:szCs w:val="22"/>
                <w:color w:val="auto"/>
              </w:rPr>
              <w:t>«Section 16 Officer»</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80" w:type="dxa"/>
            <w:vAlign w:val="bottom"/>
          </w:tcPr>
          <w:p>
            <w:pPr>
              <w:spacing w:after="0"/>
              <w:rPr>
                <w:sz w:val="23"/>
                <w:szCs w:val="23"/>
                <w:color w:val="auto"/>
              </w:rPr>
            </w:pPr>
          </w:p>
        </w:tc>
      </w:tr>
      <w:tr>
        <w:trPr>
          <w:trHeight w:val="449"/>
        </w:trPr>
        <w:tc>
          <w:tcPr>
            <w:tcW w:w="3000" w:type="dxa"/>
            <w:vAlign w:val="bottom"/>
          </w:tcPr>
          <w:p>
            <w:pPr>
              <w:spacing w:after="0"/>
              <w:rPr>
                <w:sz w:val="20"/>
                <w:szCs w:val="20"/>
                <w:color w:val="auto"/>
              </w:rPr>
            </w:pPr>
            <w:r>
              <w:rPr>
                <w:rFonts w:ascii="Arial" w:cs="Arial" w:eastAsia="Arial" w:hAnsi="Arial"/>
                <w:sz w:val="22"/>
                <w:szCs w:val="22"/>
                <w:color w:val="auto"/>
                <w:w w:val="90"/>
              </w:rPr>
              <w:t>Target Number of Phantom Units:</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«LTIP_Grant»</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625"/>
        </w:trPr>
        <w:tc>
          <w:tcPr>
            <w:tcW w:w="3200" w:type="dxa"/>
            <w:vAlign w:val="bottom"/>
            <w:gridSpan w:val="2"/>
          </w:tcPr>
          <w:p>
            <w:pPr>
              <w:spacing w:after="0"/>
              <w:rPr>
                <w:sz w:val="20"/>
                <w:szCs w:val="20"/>
                <w:color w:val="auto"/>
              </w:rPr>
            </w:pPr>
            <w:r>
              <w:rPr>
                <w:rFonts w:ascii="Arial" w:cs="Arial" w:eastAsia="Arial" w:hAnsi="Arial"/>
                <w:sz w:val="22"/>
                <w:szCs w:val="22"/>
                <w:color w:val="auto"/>
                <w:w w:val="90"/>
              </w:rPr>
              <w:t>Dated: _______________________</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921"/>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40" w:type="dxa"/>
            <w:vAlign w:val="bottom"/>
            <w:gridSpan w:val="6"/>
          </w:tcPr>
          <w:p>
            <w:pPr>
              <w:ind w:left="40"/>
              <w:spacing w:after="0"/>
              <w:rPr>
                <w:sz w:val="20"/>
                <w:szCs w:val="20"/>
                <w:color w:val="auto"/>
              </w:rPr>
            </w:pPr>
            <w:r>
              <w:rPr>
                <w:rFonts w:ascii="Arial" w:cs="Arial" w:eastAsia="Arial" w:hAnsi="Arial"/>
                <w:sz w:val="22"/>
                <w:szCs w:val="22"/>
                <w:color w:val="auto"/>
              </w:rPr>
              <w:t>Beneficiary Designation</w:t>
            </w:r>
          </w:p>
        </w:tc>
        <w:tc>
          <w:tcPr>
            <w:tcW w:w="3580" w:type="dxa"/>
            <w:vAlign w:val="bottom"/>
          </w:tcPr>
          <w:p>
            <w:pPr>
              <w:spacing w:after="0"/>
              <w:rPr>
                <w:sz w:val="24"/>
                <w:szCs w:val="24"/>
                <w:color w:val="auto"/>
              </w:rPr>
            </w:pPr>
          </w:p>
        </w:tc>
      </w:tr>
      <w:tr>
        <w:trPr>
          <w:trHeight w:val="290"/>
        </w:trPr>
        <w:tc>
          <w:tcPr>
            <w:tcW w:w="3200" w:type="dxa"/>
            <w:vAlign w:val="bottom"/>
            <w:tcBorders>
              <w:bottom w:val="single" w:sz="8" w:color="auto"/>
            </w:tcBorders>
            <w:gridSpan w:val="2"/>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336"/>
        </w:trPr>
        <w:tc>
          <w:tcPr>
            <w:tcW w:w="3200" w:type="dxa"/>
            <w:vAlign w:val="bottom"/>
            <w:tcBorders>
              <w:left w:val="single" w:sz="8" w:color="auto"/>
              <w:bottom w:val="single" w:sz="8" w:color="C0C0C0"/>
            </w:tcBorders>
            <w:gridSpan w:val="2"/>
            <w:shd w:val="clear" w:color="auto" w:fill="C0C0C0"/>
          </w:tcPr>
          <w:p>
            <w:pPr>
              <w:ind w:left="80"/>
              <w:spacing w:after="0"/>
              <w:rPr>
                <w:sz w:val="20"/>
                <w:szCs w:val="20"/>
                <w:color w:val="auto"/>
              </w:rPr>
            </w:pPr>
            <w:r>
              <w:rPr>
                <w:rFonts w:ascii="Arial" w:cs="Arial" w:eastAsia="Arial" w:hAnsi="Arial"/>
                <w:sz w:val="22"/>
                <w:szCs w:val="22"/>
                <w:color w:val="auto"/>
              </w:rPr>
              <w:t>Primary Beneficiary Name</w:t>
            </w:r>
          </w:p>
        </w:tc>
        <w:tc>
          <w:tcPr>
            <w:tcW w:w="1340" w:type="dxa"/>
            <w:vAlign w:val="bottom"/>
            <w:tcBorders>
              <w:bottom w:val="single" w:sz="8" w:color="C0C0C0"/>
            </w:tcBorders>
            <w:shd w:val="clear" w:color="auto" w:fill="C0C0C0"/>
          </w:tcPr>
          <w:p>
            <w:pPr>
              <w:spacing w:after="0"/>
              <w:rPr>
                <w:sz w:val="24"/>
                <w:szCs w:val="24"/>
                <w:color w:val="auto"/>
              </w:rPr>
            </w:pPr>
          </w:p>
        </w:tc>
        <w:tc>
          <w:tcPr>
            <w:tcW w:w="4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620" w:type="dxa"/>
            <w:vAlign w:val="bottom"/>
            <w:tcBorders>
              <w:bottom w:val="single" w:sz="8" w:color="C0C0C0"/>
              <w:right w:val="single" w:sz="8" w:color="auto"/>
            </w:tcBorders>
            <w:shd w:val="clear" w:color="auto" w:fill="C0C0C0"/>
          </w:tcPr>
          <w:p>
            <w:pPr>
              <w:spacing w:after="0"/>
              <w:rPr>
                <w:sz w:val="24"/>
                <w:szCs w:val="24"/>
                <w:color w:val="auto"/>
              </w:rPr>
            </w:pPr>
          </w:p>
        </w:tc>
        <w:tc>
          <w:tcPr>
            <w:tcW w:w="2280" w:type="dxa"/>
            <w:vAlign w:val="bottom"/>
            <w:tcBorders>
              <w:bottom w:val="single" w:sz="8" w:color="C0C0C0"/>
              <w:right w:val="single" w:sz="8" w:color="auto"/>
            </w:tcBorders>
            <w:gridSpan w:val="2"/>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40" w:type="dxa"/>
            <w:vAlign w:val="bottom"/>
            <w:tcBorders>
              <w:bottom w:val="single" w:sz="8" w:color="C0C0C0"/>
            </w:tcBorders>
            <w:shd w:val="clear" w:color="auto" w:fill="C0C0C0"/>
          </w:tcPr>
          <w:p>
            <w:pPr>
              <w:spacing w:after="0"/>
              <w:rPr>
                <w:sz w:val="24"/>
                <w:szCs w:val="24"/>
                <w:color w:val="auto"/>
              </w:rPr>
            </w:pPr>
          </w:p>
        </w:tc>
        <w:tc>
          <w:tcPr>
            <w:tcW w:w="358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37"/>
        </w:trPr>
        <w:tc>
          <w:tcPr>
            <w:tcW w:w="3000" w:type="dxa"/>
            <w:vAlign w:val="bottom"/>
            <w:tcBorders>
              <w:top w:val="single" w:sz="8" w:color="auto"/>
              <w:left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right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580" w:type="dxa"/>
            <w:vAlign w:val="bottom"/>
            <w:tcBorders>
              <w:top w:val="single" w:sz="8" w:color="auto"/>
              <w:bottom w:val="single" w:sz="8" w:color="auto"/>
              <w:right w:val="single" w:sz="8" w:color="auto"/>
            </w:tcBorders>
          </w:tcPr>
          <w:p>
            <w:pPr>
              <w:spacing w:after="0"/>
              <w:rPr>
                <w:sz w:val="20"/>
                <w:szCs w:val="20"/>
                <w:color w:val="auto"/>
              </w:rPr>
            </w:pPr>
          </w:p>
        </w:tc>
      </w:tr>
      <w:tr>
        <w:trPr>
          <w:trHeight w:val="236"/>
        </w:trPr>
        <w:tc>
          <w:tcPr>
            <w:tcW w:w="300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r>
        <w:trPr>
          <w:trHeight w:val="237"/>
        </w:trPr>
        <w:tc>
          <w:tcPr>
            <w:tcW w:w="300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r>
        <w:trPr>
          <w:trHeight w:val="336"/>
        </w:trPr>
        <w:tc>
          <w:tcPr>
            <w:tcW w:w="3200" w:type="dxa"/>
            <w:vAlign w:val="bottom"/>
            <w:tcBorders>
              <w:left w:val="single" w:sz="8" w:color="auto"/>
              <w:bottom w:val="single" w:sz="8" w:color="C0C0C0"/>
            </w:tcBorders>
            <w:gridSpan w:val="2"/>
            <w:shd w:val="clear" w:color="auto" w:fill="C0C0C0"/>
          </w:tcPr>
          <w:p>
            <w:pPr>
              <w:ind w:left="80"/>
              <w:spacing w:after="0"/>
              <w:rPr>
                <w:sz w:val="20"/>
                <w:szCs w:val="20"/>
                <w:color w:val="auto"/>
              </w:rPr>
            </w:pPr>
            <w:r>
              <w:rPr>
                <w:rFonts w:ascii="Arial" w:cs="Arial" w:eastAsia="Arial" w:hAnsi="Arial"/>
                <w:sz w:val="22"/>
                <w:szCs w:val="22"/>
                <w:color w:val="auto"/>
              </w:rPr>
              <w:t>Secondary Beneficiary Name</w:t>
            </w:r>
          </w:p>
        </w:tc>
        <w:tc>
          <w:tcPr>
            <w:tcW w:w="1340" w:type="dxa"/>
            <w:vAlign w:val="bottom"/>
            <w:tcBorders>
              <w:bottom w:val="single" w:sz="8" w:color="C0C0C0"/>
            </w:tcBorders>
            <w:shd w:val="clear" w:color="auto" w:fill="C0C0C0"/>
          </w:tcPr>
          <w:p>
            <w:pPr>
              <w:spacing w:after="0"/>
              <w:rPr>
                <w:sz w:val="24"/>
                <w:szCs w:val="24"/>
                <w:color w:val="auto"/>
              </w:rPr>
            </w:pPr>
          </w:p>
        </w:tc>
        <w:tc>
          <w:tcPr>
            <w:tcW w:w="4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620" w:type="dxa"/>
            <w:vAlign w:val="bottom"/>
            <w:tcBorders>
              <w:bottom w:val="single" w:sz="8" w:color="C0C0C0"/>
              <w:right w:val="single" w:sz="8" w:color="auto"/>
            </w:tcBorders>
            <w:shd w:val="clear" w:color="auto" w:fill="C0C0C0"/>
          </w:tcPr>
          <w:p>
            <w:pPr>
              <w:spacing w:after="0"/>
              <w:rPr>
                <w:sz w:val="24"/>
                <w:szCs w:val="24"/>
                <w:color w:val="auto"/>
              </w:rPr>
            </w:pPr>
          </w:p>
        </w:tc>
        <w:tc>
          <w:tcPr>
            <w:tcW w:w="2280" w:type="dxa"/>
            <w:vAlign w:val="bottom"/>
            <w:tcBorders>
              <w:bottom w:val="single" w:sz="8" w:color="C0C0C0"/>
              <w:right w:val="single" w:sz="8" w:color="auto"/>
            </w:tcBorders>
            <w:gridSpan w:val="2"/>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40" w:type="dxa"/>
            <w:vAlign w:val="bottom"/>
            <w:tcBorders>
              <w:bottom w:val="single" w:sz="8" w:color="C0C0C0"/>
            </w:tcBorders>
            <w:shd w:val="clear" w:color="auto" w:fill="C0C0C0"/>
          </w:tcPr>
          <w:p>
            <w:pPr>
              <w:spacing w:after="0"/>
              <w:rPr>
                <w:sz w:val="24"/>
                <w:szCs w:val="24"/>
                <w:color w:val="auto"/>
              </w:rPr>
            </w:pPr>
          </w:p>
        </w:tc>
        <w:tc>
          <w:tcPr>
            <w:tcW w:w="358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10"/>
        </w:trPr>
        <w:tc>
          <w:tcPr>
            <w:tcW w:w="3000" w:type="dxa"/>
            <w:vAlign w:val="bottom"/>
            <w:tcBorders>
              <w:top w:val="single" w:sz="8" w:color="auto"/>
              <w:left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right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right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580" w:type="dxa"/>
            <w:vAlign w:val="bottom"/>
            <w:tcBorders>
              <w:top w:val="single" w:sz="8" w:color="auto"/>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09"/>
        </w:trPr>
        <w:tc>
          <w:tcPr>
            <w:tcW w:w="300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24" w:lineRule="exact"/>
        <w:rPr>
          <w:sz w:val="20"/>
          <w:szCs w:val="20"/>
          <w:color w:val="auto"/>
        </w:rPr>
      </w:pPr>
    </w:p>
    <w:p>
      <w:pPr>
        <w:ind w:left="2240" w:hanging="241"/>
        <w:spacing w:after="0"/>
        <w:tabs>
          <w:tab w:leader="none" w:pos="2240" w:val="left"/>
        </w:tabs>
        <w:numPr>
          <w:ilvl w:val="0"/>
          <w:numId w:val="59"/>
        </w:numPr>
        <w:rPr>
          <w:rFonts w:ascii="MS PGothic" w:cs="MS PGothic" w:eastAsia="MS PGothic" w:hAnsi="MS PGothic"/>
          <w:sz w:val="22"/>
          <w:szCs w:val="22"/>
          <w:color w:val="auto"/>
        </w:rPr>
      </w:pPr>
      <w:r>
        <w:rPr>
          <w:rFonts w:ascii="Arial" w:cs="Arial" w:eastAsia="Arial" w:hAnsi="Arial"/>
          <w:sz w:val="22"/>
          <w:szCs w:val="22"/>
          <w:color w:val="auto"/>
        </w:rPr>
        <w:t>Check this box only if this beneficiary designation does not apply to prior grants.</w:t>
      </w:r>
    </w:p>
    <w:p>
      <w:pPr>
        <w:sectPr>
          <w:pgSz w:w="11900" w:h="16838" w:orient="portrait"/>
          <w:cols w:equalWidth="0" w:num="1">
            <w:col w:w="11260"/>
          </w:cols>
          <w:pgMar w:left="320" w:top="118" w:right="319" w:bottom="1440" w:gutter="0" w:footer="0" w:header="0"/>
        </w:sectPr>
      </w:pPr>
    </w:p>
    <w:bookmarkStart w:id="74" w:name="page75"/>
    <w:bookmarkEnd w:id="74"/>
    <w:p>
      <w:pPr>
        <w:jc w:val="center"/>
        <w:ind w:right="312"/>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Tranche 2 Vesting Terms</w:t>
      </w:r>
    </w:p>
    <w:p>
      <w:pPr>
        <w:spacing w:after="0" w:line="14"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(Total Shareholder Return)</w:t>
      </w:r>
    </w:p>
    <w:p>
      <w:pPr>
        <w:spacing w:after="0" w:line="222" w:lineRule="exact"/>
        <w:rPr>
          <w:sz w:val="20"/>
          <w:szCs w:val="20"/>
          <w:color w:val="auto"/>
        </w:rPr>
      </w:pPr>
    </w:p>
    <w:p>
      <w:pPr>
        <w:jc w:val="both"/>
        <w:ind w:left="328" w:hanging="328"/>
        <w:spacing w:after="0" w:line="294" w:lineRule="auto"/>
        <w:tabs>
          <w:tab w:leader="none" w:pos="328" w:val="left"/>
        </w:tabs>
        <w:numPr>
          <w:ilvl w:val="0"/>
          <w:numId w:val="60"/>
        </w:numPr>
        <w:rPr>
          <w:rFonts w:ascii="Arial" w:cs="Arial" w:eastAsia="Arial" w:hAnsi="Arial"/>
          <w:sz w:val="16"/>
          <w:szCs w:val="16"/>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color w:val="auto"/>
        </w:rPr>
        <w:t>. Consistent with the Company’s pay for performance philosophy and in order to more closely align the interests of management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spacing w:after="0" w:line="39" w:lineRule="exact"/>
        <w:rPr>
          <w:rFonts w:ascii="Arial" w:cs="Arial" w:eastAsia="Arial" w:hAnsi="Arial"/>
          <w:sz w:val="16"/>
          <w:szCs w:val="16"/>
          <w:color w:val="auto"/>
        </w:rPr>
      </w:pPr>
    </w:p>
    <w:p>
      <w:pPr>
        <w:jc w:val="both"/>
        <w:ind w:left="328" w:hanging="328"/>
        <w:spacing w:after="0" w:line="266" w:lineRule="auto"/>
        <w:tabs>
          <w:tab w:leader="none" w:pos="328" w:val="left"/>
        </w:tabs>
        <w:numPr>
          <w:ilvl w:val="0"/>
          <w:numId w:val="60"/>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and Payout</w:t>
      </w:r>
      <w:r>
        <w:rPr>
          <w:rFonts w:ascii="Arial" w:cs="Arial" w:eastAsia="Arial" w:hAnsi="Arial"/>
          <w:sz w:val="16"/>
          <w:szCs w:val="16"/>
          <w:color w:val="auto"/>
        </w:rPr>
        <w:t>. As soon as administratively feasible following the close of the three-year period ending on June 30, 2024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Compensation Committee shall determine and certify the TSR Payout Percentage (as defined below). The Compensation Committee shall make such determination based on a scaled payout range of between 0% and 200% as provided in the table below (the specific payout percentage is referred to as the “TSR Payout Percentage”) based on PAA’s TSR ranking at the end of the Performance Period compared to the TSR ranking of the various companies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If PAA’s absolute TSR at the end of the Performance Period is less than 0% and the TSR Payout Percentage is greater than 100%,</w:t>
      </w:r>
    </w:p>
    <w:p>
      <w:pPr>
        <w:spacing w:after="0" w:line="4" w:lineRule="exact"/>
        <w:rPr>
          <w:rFonts w:ascii="Arial" w:cs="Arial" w:eastAsia="Arial" w:hAnsi="Arial"/>
          <w:sz w:val="16"/>
          <w:szCs w:val="16"/>
          <w:color w:val="auto"/>
        </w:rPr>
      </w:pPr>
    </w:p>
    <w:p>
      <w:pPr>
        <w:jc w:val="both"/>
        <w:ind w:left="328" w:hanging="4"/>
        <w:spacing w:after="0" w:line="238" w:lineRule="auto"/>
        <w:tabs>
          <w:tab w:leader="none" w:pos="55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TSR Payout Percentage above 125% will be reduced by 25 gross percentage points, and (ii) a TSR Payout Percentage between 100% and 125% will be reduced to 100%. The number of Tranche 2 Phantom Units vesting will be determined by multiplying your target number of Tranche 2 Phantom Units by the TSR Payout Percentage as certified by the Compensation Committee. If the resulting amount includes a fraction, it will be rounded down to the nearest whole number.</w:t>
      </w:r>
    </w:p>
    <w:p>
      <w:pPr>
        <w:spacing w:after="0" w:line="345" w:lineRule="exact"/>
        <w:rPr>
          <w:sz w:val="20"/>
          <w:szCs w:val="20"/>
          <w:color w:val="auto"/>
        </w:rPr>
      </w:pPr>
    </w:p>
    <w:tbl>
      <w:tblPr>
        <w:tblLayout w:type="fixed"/>
        <w:tblInd w:w="1018" w:type="dxa"/>
        <w:tblCellMar>
          <w:top w:w="0" w:type="dxa"/>
          <w:left w:w="0" w:type="dxa"/>
          <w:bottom w:w="0" w:type="dxa"/>
          <w:right w:w="0" w:type="dxa"/>
        </w:tblCellMar>
      </w:tblPr>
      <w:tr>
        <w:trPr>
          <w:trHeight w:val="225"/>
        </w:trPr>
        <w:tc>
          <w:tcPr>
            <w:tcW w:w="338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w w:val="95"/>
              </w:rPr>
              <w:t>PAA TSR Ranking vs. PAA Peer Group</w:t>
            </w: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TSR Payout</w:t>
            </w:r>
          </w:p>
        </w:tc>
        <w:tc>
          <w:tcPr>
            <w:tcW w:w="0" w:type="dxa"/>
            <w:vAlign w:val="bottom"/>
          </w:tcPr>
          <w:p>
            <w:pPr>
              <w:spacing w:after="0"/>
              <w:rPr>
                <w:sz w:val="1"/>
                <w:szCs w:val="1"/>
                <w:color w:val="auto"/>
              </w:rPr>
            </w:pPr>
          </w:p>
        </w:tc>
      </w:tr>
      <w:tr>
        <w:trPr>
          <w:trHeight w:val="241"/>
        </w:trPr>
        <w:tc>
          <w:tcPr>
            <w:tcW w:w="338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57"/>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185.6%</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171.5%</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157.1%</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142.9%</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128.5%</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114.4%</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87.6%</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75.0%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62.6%</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37.6%</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0908"/>
          </w:cols>
          <w:pgMar w:left="652" w:top="140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Illustrative Examples (based on an assumed target number of Tranche 2 Phantom Units of 1,000):</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120" w:type="dxa"/>
            <w:vAlign w:val="bottom"/>
            <w:tcBorders>
              <w:top w:val="single" w:sz="8" w:color="auto"/>
              <w:left w:val="single" w:sz="8" w:color="auto"/>
              <w:right w:val="single" w:sz="8" w:color="auto"/>
            </w:tcBorders>
          </w:tcPr>
          <w:p>
            <w:pPr>
              <w:ind w:left="1040"/>
              <w:spacing w:after="0"/>
              <w:rPr>
                <w:sz w:val="20"/>
                <w:szCs w:val="20"/>
                <w:color w:val="auto"/>
              </w:rPr>
            </w:pPr>
            <w:r>
              <w:rPr>
                <w:rFonts w:ascii="Arial" w:cs="Arial" w:eastAsia="Arial" w:hAnsi="Arial"/>
                <w:sz w:val="18"/>
                <w:szCs w:val="18"/>
                <w:b w:val="1"/>
                <w:bCs w:val="1"/>
                <w:color w:val="auto"/>
              </w:rPr>
              <w:t>PAA TSR Ranking vs. PAA Peer Group</w:t>
            </w:r>
          </w:p>
        </w:tc>
        <w:tc>
          <w:tcPr>
            <w:tcW w:w="500" w:type="dxa"/>
            <w:vAlign w:val="bottom"/>
            <w:tcBorders>
              <w:top w:val="single" w:sz="8" w:color="auto"/>
            </w:tcBorders>
          </w:tcPr>
          <w:p>
            <w:pPr>
              <w:spacing w:after="0"/>
              <w:rPr>
                <w:sz w:val="19"/>
                <w:szCs w:val="19"/>
                <w:color w:val="auto"/>
              </w:rPr>
            </w:pPr>
          </w:p>
        </w:tc>
        <w:tc>
          <w:tcPr>
            <w:tcW w:w="5640" w:type="dxa"/>
            <w:vAlign w:val="bottom"/>
            <w:tcBorders>
              <w:top w:val="single" w:sz="8" w:color="auto"/>
              <w:right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90"/>
              </w:rPr>
              <w:t>TSR Payout Percentage / Number of Units Vesting</w:t>
            </w:r>
          </w:p>
        </w:tc>
      </w:tr>
      <w:tr>
        <w:trPr>
          <w:trHeight w:val="241"/>
        </w:trPr>
        <w:tc>
          <w:tcPr>
            <w:tcW w:w="5120" w:type="dxa"/>
            <w:vAlign w:val="bottom"/>
            <w:tcBorders>
              <w:left w:val="single" w:sz="8" w:color="auto"/>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640" w:type="dxa"/>
            <w:vAlign w:val="bottom"/>
            <w:tcBorders>
              <w:bottom w:val="single" w:sz="8" w:color="auto"/>
              <w:right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(impact of negative absolute TSR)</w:t>
            </w:r>
          </w:p>
        </w:tc>
      </w:tr>
      <w:tr>
        <w:trPr>
          <w:trHeight w:val="257"/>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 or #2</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200%</w:t>
            </w:r>
          </w:p>
        </w:tc>
        <w:tc>
          <w:tcPr>
            <w:tcW w:w="5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2,000 units</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61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157.1% / 1,571 units</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61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 but PAA’s absolute TSR is less than 0%</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132.1% / 1,321 units (TSR Payout Percentage reduced by 25 percentage points)</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61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114.4% / 1,144 units</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 but PAA’s absolute TSR is less than 0%</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100%</w:t>
            </w:r>
          </w:p>
        </w:tc>
        <w:tc>
          <w:tcPr>
            <w:tcW w:w="5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(TSR Payout Percentage reduced from 114.4% to 100%)</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100%</w:t>
            </w:r>
          </w:p>
        </w:tc>
        <w:tc>
          <w:tcPr>
            <w:tcW w:w="5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(performance at Target)</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61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50% / 500 units</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61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#16 or #17</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0% / 0 units</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PAA Peer Group (2021-2024 Performance Period)</w:t>
      </w:r>
      <w:r>
        <w:rPr>
          <w:rFonts w:ascii="Arial" w:cs="Arial" w:eastAsia="Arial" w:hAnsi="Arial"/>
          <w:sz w:val="18"/>
          <w:szCs w:val="18"/>
          <w:color w:val="auto"/>
        </w:rPr>
        <w:t>:</w:t>
      </w:r>
    </w:p>
    <w:p>
      <w:pPr>
        <w:spacing w:after="0" w:line="368"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Company Name</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Ticker</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Products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EPD</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Kinder Morgan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KMI</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Williams Companies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WMB</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MPLX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MPLX</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Energy Transfer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ET</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ONEOK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OKE</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Magellan Midstream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MMP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Phillips 66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PSXP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Targa Resources Corp.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TRGP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DCP Midstream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DCP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Western Midstream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WES</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Holly Energy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HEP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NuStar Energy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NS</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EnLink Midstream LLC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ENLC</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Alerian Midstream Energy Index</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AMNA</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S&amp;P 500 Index</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SPX</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If any member of the PAA Peer Group is acquired by an unrelated entity before the end of the Performance Period, such member shall be removed from the PAA Peer Group for purposes of calculating the TSR Payout Percentage. The Compensation Committee shall have discretionary authority to replace such member for purposes of calculating the TSR Payout Percentage. In all other cases involving merger, reorganization or other material change in ownership, legal structure or business operations of any member of the PAA Peer Group, including acquisition by a related entity before the end of the Performance Period, the Compensation Committee shall have authority to retain, remove or replace such member for purposes of calculating the TSR Payout Percentage. In connection with any change to the PAA Peer Group, the Compensation Committee shall also have authority to make related adjustments to the rankings and TSR Payout Percentages.</w:t>
      </w:r>
    </w:p>
    <w:p>
      <w:pPr>
        <w:sectPr>
          <w:pgSz w:w="11900" w:h="16838" w:orient="portrait"/>
          <w:cols w:equalWidth="0" w:num="1">
            <w:col w:w="11260"/>
          </w:cols>
          <w:pgMar w:left="320" w:top="14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60"/>
          </w:cols>
          <w:pgMar w:left="320" w:top="1421" w:right="319" w:bottom="1440" w:gutter="0" w:footer="0" w:header="0"/>
          <w:type w:val="continuous"/>
        </w:sectPr>
      </w:pPr>
    </w:p>
    <w:bookmarkStart w:id="76" w:name="page77"/>
    <w:bookmarkEnd w:id="76"/>
    <w:p>
      <w:pPr>
        <w:jc w:val="center"/>
        <w:ind w:right="312"/>
        <w:spacing w:after="0"/>
        <w:rPr>
          <w:sz w:val="20"/>
          <w:szCs w:val="20"/>
          <w:color w:val="auto"/>
        </w:rPr>
      </w:pPr>
      <w:r>
        <w:rPr>
          <w:rFonts w:ascii="Arial" w:cs="Arial" w:eastAsia="Arial" w:hAnsi="Arial"/>
          <w:sz w:val="22"/>
          <w:szCs w:val="22"/>
          <w:b w:val="1"/>
          <w:bCs w:val="1"/>
          <w:color w:val="auto"/>
        </w:rPr>
        <w:t>Exhibit B</w:t>
      </w: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Tranche 3 Vesting Terms</w:t>
      </w:r>
    </w:p>
    <w:p>
      <w:pPr>
        <w:spacing w:after="0" w:line="14"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(Cumulative DCF with Leverage Modifier)</w:t>
      </w:r>
    </w:p>
    <w:p>
      <w:pPr>
        <w:spacing w:after="0" w:line="222" w:lineRule="exact"/>
        <w:rPr>
          <w:sz w:val="20"/>
          <w:szCs w:val="20"/>
          <w:color w:val="auto"/>
        </w:rPr>
      </w:pPr>
    </w:p>
    <w:p>
      <w:pPr>
        <w:jc w:val="both"/>
        <w:ind w:left="328" w:hanging="328"/>
        <w:spacing w:after="0" w:line="257" w:lineRule="auto"/>
        <w:tabs>
          <w:tab w:leader="none" w:pos="328" w:val="left"/>
        </w:tabs>
        <w:numPr>
          <w:ilvl w:val="0"/>
          <w:numId w:val="62"/>
        </w:numPr>
        <w:rPr>
          <w:rFonts w:ascii="Arial" w:cs="Arial" w:eastAsia="Arial" w:hAnsi="Arial"/>
          <w:sz w:val="17"/>
          <w:szCs w:val="17"/>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color w:val="auto"/>
        </w:rPr>
        <w:t>. Consistent with the Company’s pay for performance philosophy and in order to more closely align the interests of management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of investors, a portion of your Phantom Units will vest based on PAA’s cumulative distributable cash flow (“DCF”) per common unit equivalent (“CUE”) over a three-year period as described below. PAA’s ability to sustain and increase DCF is a primary long-term measure of PAA’s performance and is consistent with PAA’s overall financial strategy. The final payout calculation will be subject to modification based on leverage levels at the end of the Performance Period; the purpose of the potential leverage modifier is to insure that DCF performance remains tied to leverage levels assumed in PAA’s long term plan as of the grant date (the “Grant Date Plan”).</w:t>
      </w:r>
    </w:p>
    <w:p>
      <w:pPr>
        <w:spacing w:after="0" w:line="67" w:lineRule="exact"/>
        <w:rPr>
          <w:rFonts w:ascii="Arial" w:cs="Arial" w:eastAsia="Arial" w:hAnsi="Arial"/>
          <w:sz w:val="17"/>
          <w:szCs w:val="17"/>
          <w:color w:val="auto"/>
        </w:rPr>
      </w:pPr>
    </w:p>
    <w:p>
      <w:pPr>
        <w:jc w:val="both"/>
        <w:ind w:left="328" w:hanging="328"/>
        <w:spacing w:after="0" w:line="244"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i w:val="1"/>
          <w:iCs w:val="1"/>
          <w:u w:val="single" w:color="auto"/>
          <w:color w:val="auto"/>
        </w:rPr>
        <w:t>Vesting and Payout</w:t>
      </w:r>
      <w:r>
        <w:rPr>
          <w:rFonts w:ascii="Arial" w:cs="Arial" w:eastAsia="Arial" w:hAnsi="Arial"/>
          <w:sz w:val="18"/>
          <w:szCs w:val="18"/>
          <w:color w:val="auto"/>
        </w:rPr>
        <w:t>. As soon as administratively feasible following the close of the three-year period ending on June 30, 2024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Compensation Committee shall determine and certify the DCF Payout Percentage (as defined below). The Compensation Committee shall make such determination based on a scaled payout range between 0% and 200% as provided in the table below (the specific payout percentage is referred to as the “DCF Payout Percentage”) based on PAA’s cumulative DCF per CUE over the Performance Period. If PAA’s cumulative DCF per CUE at the end of the Performance Period is between any two of the stated amounts in the table below, the DCF Payout Percentage will be interpolated between the two levels. The DCF Payout Percentage may be adjusted upward or downward by +/- 50 percentage points (the “Leverage Modifier”) based on PAA’s leverage ratio (long-term debt to adjusted EBITDA as calculated pursuant to PAA’s senior unsecured revolving credit facility) as of June 30, 2024 compared to the leverage ratio assumed in the Grant Date Plan. The Leverage Modifier will be applied as follows:</w:t>
      </w:r>
    </w:p>
    <w:p>
      <w:pPr>
        <w:spacing w:after="0" w:line="77" w:lineRule="exact"/>
        <w:rPr>
          <w:rFonts w:ascii="Arial" w:cs="Arial" w:eastAsia="Arial" w:hAnsi="Arial"/>
          <w:sz w:val="18"/>
          <w:szCs w:val="18"/>
          <w:color w:val="auto"/>
        </w:rPr>
      </w:pPr>
    </w:p>
    <w:p>
      <w:pPr>
        <w:ind w:left="968" w:hanging="320"/>
        <w:spacing w:after="0"/>
        <w:tabs>
          <w:tab w:leader="none" w:pos="968"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the leverage ratio as of June 30, 2024 is between 3.1x and 3.4x, there will be no adjustment to the DCF Payout Percentage;</w:t>
      </w:r>
    </w:p>
    <w:p>
      <w:pPr>
        <w:spacing w:after="0" w:line="115" w:lineRule="exact"/>
        <w:rPr>
          <w:rFonts w:ascii="Arial" w:cs="Arial" w:eastAsia="Arial" w:hAnsi="Arial"/>
          <w:sz w:val="17"/>
          <w:szCs w:val="17"/>
          <w:color w:val="auto"/>
        </w:rPr>
      </w:pPr>
    </w:p>
    <w:p>
      <w:pPr>
        <w:ind w:left="968" w:hanging="320"/>
        <w:spacing w:after="0" w:line="261" w:lineRule="auto"/>
        <w:tabs>
          <w:tab w:leader="none" w:pos="9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leverage ratio as of June 30, 2024 is higher than 3.4x, the DCF Payout Percentage will be reduced by 50 gross percentage points; and</w:t>
      </w:r>
    </w:p>
    <w:p>
      <w:pPr>
        <w:spacing w:after="0" w:line="62" w:lineRule="exact"/>
        <w:rPr>
          <w:rFonts w:ascii="Arial" w:cs="Arial" w:eastAsia="Arial" w:hAnsi="Arial"/>
          <w:sz w:val="18"/>
          <w:szCs w:val="18"/>
          <w:color w:val="auto"/>
        </w:rPr>
      </w:pPr>
    </w:p>
    <w:p>
      <w:pPr>
        <w:ind w:left="968" w:right="20" w:hanging="320"/>
        <w:spacing w:after="0" w:line="261" w:lineRule="auto"/>
        <w:tabs>
          <w:tab w:leader="none" w:pos="9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leverage ratio as of June 30, 2024 is lower than 3.1x, the DCF Payout Percentage will be increased by 50 gross percentage points (subject to a 200% cap).</w:t>
      </w:r>
    </w:p>
    <w:p>
      <w:pPr>
        <w:spacing w:after="0" w:line="327" w:lineRule="exact"/>
        <w:rPr>
          <w:sz w:val="20"/>
          <w:szCs w:val="20"/>
          <w:color w:val="auto"/>
        </w:rPr>
      </w:pPr>
    </w:p>
    <w:tbl>
      <w:tblPr>
        <w:tblLayout w:type="fixed"/>
        <w:tblInd w:w="898" w:type="dxa"/>
        <w:tblCellMar>
          <w:top w:w="0" w:type="dxa"/>
          <w:left w:w="0" w:type="dxa"/>
          <w:bottom w:w="0" w:type="dxa"/>
          <w:right w:w="0" w:type="dxa"/>
        </w:tblCellMar>
      </w:tblPr>
      <w:tr>
        <w:trPr>
          <w:trHeight w:val="265"/>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Cumulative DCF Per CUE Over the</w:t>
            </w:r>
          </w:p>
        </w:tc>
        <w:tc>
          <w:tcPr>
            <w:tcW w:w="356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DCF Payout Percentage</w:t>
            </w:r>
          </w:p>
        </w:tc>
      </w:tr>
      <w:tr>
        <w:trPr>
          <w:trHeight w:val="23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Performance Period</w:t>
            </w:r>
          </w:p>
        </w:tc>
        <w:tc>
          <w:tcPr>
            <w:tcW w:w="3560" w:type="dxa"/>
            <w:vAlign w:val="bottom"/>
            <w:tcBorders>
              <w:right w:val="single" w:sz="8" w:color="auto"/>
            </w:tcBorders>
          </w:tcPr>
          <w:p>
            <w:pPr>
              <w:spacing w:after="0"/>
              <w:rPr>
                <w:sz w:val="20"/>
                <w:szCs w:val="20"/>
                <w:color w:val="auto"/>
              </w:rPr>
            </w:pP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$6.75 (112.5% of target)</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$6.5625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175%</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$6.3750</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$6.1875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$6.00 (target)</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$5.85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$5.70</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$5.55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$5.40 (90% of target)</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328"/>
        <w:spacing w:after="0" w:line="248" w:lineRule="auto"/>
        <w:rPr>
          <w:sz w:val="20"/>
          <w:szCs w:val="20"/>
          <w:color w:val="auto"/>
        </w:rPr>
      </w:pPr>
      <w:r>
        <w:rPr>
          <w:rFonts w:ascii="Arial" w:cs="Arial" w:eastAsia="Arial" w:hAnsi="Arial"/>
          <w:sz w:val="18"/>
          <w:szCs w:val="18"/>
          <w:color w:val="auto"/>
        </w:rPr>
        <w:t>Note: Both the cumulative DCF per CUE targets set forth in the table above and the leverage ratios referenced above are based on the Grant Date Plan, excluding the earnings and leverage impacts of potential asset sales (other than asset sales under contract as of the grant date). Accordingly, when calculating the DCF Payout Percentage, the following adjustments will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0908"/>
          </w:cols>
          <w:pgMar w:left="652" w:top="1408" w:right="339" w:bottom="1440" w:gutter="0" w:footer="0" w:header="0"/>
        </w:sectPr>
      </w:pPr>
    </w:p>
    <w:bookmarkStart w:id="77" w:name="page78"/>
    <w:bookmarkEnd w:id="77"/>
    <w:p>
      <w:pPr>
        <w:jc w:val="both"/>
        <w:ind w:left="980" w:right="20" w:hanging="324"/>
        <w:spacing w:after="0" w:line="270" w:lineRule="auto"/>
        <w:tabs>
          <w:tab w:leader="none" w:pos="977"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cumulative DCF per CUE target for the Performance Period as set forth in the table above will be adjusted downward to account for the loss of earnings assumed in the Grant Date Plan for any divested assets, net of avoided interest expense allocable to the divested assets (calculated based on an assumption that 100% of the net sales proceeds from such divestitures are used to reduce debt); and</w:t>
      </w:r>
    </w:p>
    <w:p>
      <w:pPr>
        <w:spacing w:after="0" w:line="55" w:lineRule="exact"/>
        <w:rPr>
          <w:rFonts w:ascii="Arial" w:cs="Arial" w:eastAsia="Arial" w:hAnsi="Arial"/>
          <w:sz w:val="17"/>
          <w:szCs w:val="17"/>
          <w:color w:val="auto"/>
        </w:rPr>
      </w:pPr>
    </w:p>
    <w:p>
      <w:pPr>
        <w:ind w:left="980" w:right="20" w:hanging="324"/>
        <w:spacing w:after="0" w:line="291" w:lineRule="auto"/>
        <w:tabs>
          <w:tab w:leader="none" w:pos="974"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with respect to any divested assets that were included as divestitures in the Grant Date Plan, the leverage ratio target will be adjusted to reflect the leverage impact of any such divested assets based on the assumptions originally set forth in the Grant Date Plan.</w:t>
      </w:r>
    </w:p>
    <w:p>
      <w:pPr>
        <w:spacing w:after="0" w:line="39" w:lineRule="exact"/>
        <w:rPr>
          <w:sz w:val="20"/>
          <w:szCs w:val="20"/>
          <w:color w:val="auto"/>
        </w:rPr>
      </w:pPr>
    </w:p>
    <w:p>
      <w:pPr>
        <w:jc w:val="both"/>
        <w:ind w:left="660" w:right="20"/>
        <w:spacing w:after="0"/>
        <w:rPr>
          <w:sz w:val="20"/>
          <w:szCs w:val="20"/>
          <w:color w:val="auto"/>
        </w:rPr>
      </w:pPr>
      <w:r>
        <w:rPr>
          <w:rFonts w:ascii="Arial" w:cs="Arial" w:eastAsia="Arial" w:hAnsi="Arial"/>
          <w:sz w:val="18"/>
          <w:szCs w:val="18"/>
          <w:color w:val="auto"/>
        </w:rPr>
        <w:t>In addition, for the Leverage Modifier, the leverage ratio calculation will be adjusted up or down as appropriate to neutralize the impact on leverage of any DCF per CUE over or under performance that has already been taken into account in determining the final amount of cumulative DCF per CUE during the Performance Period (with the goal of isolating the balance sheet impact of other actions such as timing and amount of asset sales, amount of capital expenditures, etc.). The number of Tranche 3 Phantom Units vesting will be determined by multiplying your target number of Tranche 3 Phantom Units by the DCF Payout Percentage as certified by the Compensation Committee. If the resulting amount includes a fraction, it will be rounded down to the nearest whole number.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Illustrative Examples (based on an assumed target number of Tranche 3 Phantom Units of 1,000):</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PAA Cumulative DCF per CUE</w:t>
            </w:r>
          </w:p>
        </w:tc>
        <w:tc>
          <w:tcPr>
            <w:tcW w:w="2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w w:val="90"/>
              </w:rPr>
              <w:t>Leverage Ratio as of June</w:t>
            </w:r>
          </w:p>
        </w:tc>
        <w:tc>
          <w:tcPr>
            <w:tcW w:w="500" w:type="dxa"/>
            <w:vAlign w:val="bottom"/>
            <w:tcBorders>
              <w:top w:val="single" w:sz="8" w:color="auto"/>
            </w:tcBorders>
          </w:tcPr>
          <w:p>
            <w:pPr>
              <w:spacing w:after="0"/>
              <w:rPr>
                <w:sz w:val="19"/>
                <w:szCs w:val="19"/>
                <w:color w:val="auto"/>
              </w:rPr>
            </w:pPr>
          </w:p>
        </w:tc>
        <w:tc>
          <w:tcPr>
            <w:tcW w:w="596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DCF Payout Percentage / Number of Units Vesting</w:t>
            </w:r>
          </w:p>
        </w:tc>
      </w:tr>
      <w:tr>
        <w:trPr>
          <w:trHeight w:val="275"/>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Over the Performance Period</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30, 2024</w:t>
            </w:r>
          </w:p>
        </w:tc>
        <w:tc>
          <w:tcPr>
            <w:tcW w:w="500" w:type="dxa"/>
            <w:vAlign w:val="bottom"/>
          </w:tcPr>
          <w:p>
            <w:pPr>
              <w:spacing w:after="0"/>
              <w:rPr>
                <w:sz w:val="23"/>
                <w:szCs w:val="23"/>
                <w:color w:val="auto"/>
              </w:rPr>
            </w:pPr>
          </w:p>
        </w:tc>
        <w:tc>
          <w:tcPr>
            <w:tcW w:w="596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(Impact of Leverage Modifier)</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3.25x</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200%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2,000 units (no adjustment to DCF Payout Percentage)</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3.45x</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150%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1,500 units (DCF Payout Percentage reduced by 50 percentage points)</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2.95x</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200%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2,000 units (DCF Payout Percentage capped at 200%)</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3.25x</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100%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(no adjustment to DCF Payout Percentage)</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3.45x</w:t>
            </w:r>
          </w:p>
        </w:tc>
        <w:tc>
          <w:tcPr>
            <w:tcW w:w="6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50% / 500 units (DCF Payout Percentage reduced by 50 percentage points)</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2.95x</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150%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 1,500 units (DCF Payout Percentage increased by 50 percentage points)</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3.25x</w:t>
            </w:r>
          </w:p>
        </w:tc>
        <w:tc>
          <w:tcPr>
            <w:tcW w:w="6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0% / 0 units (no adjustment to DCF Payout Percentage)</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3.45x</w:t>
            </w:r>
          </w:p>
        </w:tc>
        <w:tc>
          <w:tcPr>
            <w:tcW w:w="6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0% / 0 units (no adjustment to DCF Payout Percentage)</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2.95x</w:t>
            </w:r>
          </w:p>
        </w:tc>
        <w:tc>
          <w:tcPr>
            <w:tcW w:w="6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50% / 500 units (DCF Payout Percentage increased by 50 percentage points)</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60"/>
          </w:cols>
          <w:pgMar w:left="320" w:top="1421" w:right="31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11430</wp:posOffset>
            </wp:positionV>
            <wp:extent cx="2322830" cy="5911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5">
                      <a:extLst>
                        <a:ext uri="{28A0092B-C50C-407E-A947-70E740481C1C}"/>
                      </a:extLst>
                    </a:blip>
                    <a:srcRect/>
                    <a:stretch>
                      <a:fillRect/>
                    </a:stretch>
                  </pic:blipFill>
                  <pic:spPr bwMode="auto">
                    <a:xfrm>
                      <a:off x="0" y="0"/>
                      <a:ext cx="232283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2021 ANNUAL DIRECTOR GRANT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19,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«FirstName» «LastName»</w:t>
      </w:r>
    </w:p>
    <w:p>
      <w:pPr>
        <w:spacing w:after="0" w:line="238" w:lineRule="auto"/>
        <w:rPr>
          <w:sz w:val="20"/>
          <w:szCs w:val="20"/>
          <w:color w:val="auto"/>
        </w:rPr>
      </w:pPr>
      <w:r>
        <w:rPr>
          <w:rFonts w:ascii="Arial" w:cs="Arial" w:eastAsia="Arial" w:hAnsi="Arial"/>
          <w:sz w:val="22"/>
          <w:szCs w:val="22"/>
          <w:color w:val="auto"/>
        </w:rPr>
        <w:t>«Address»</w:t>
      </w:r>
    </w:p>
    <w:p>
      <w:pPr>
        <w:spacing w:after="0"/>
        <w:rPr>
          <w:sz w:val="20"/>
          <w:szCs w:val="20"/>
          <w:color w:val="auto"/>
        </w:rPr>
      </w:pPr>
      <w:r>
        <w:rPr>
          <w:rFonts w:ascii="Arial" w:cs="Arial" w:eastAsia="Arial" w:hAnsi="Arial"/>
          <w:sz w:val="22"/>
          <w:szCs w:val="22"/>
          <w:color w:val="auto"/>
        </w:rPr>
        <w:t>«City», «State» «Zip»</w:t>
      </w:r>
    </w:p>
    <w:p>
      <w:pPr>
        <w:spacing w:after="0" w:line="21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Class A Shares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«Salutation»:</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 am pleased to inform you that you have been granted 11,900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74" w:lineRule="exact"/>
        <w:rPr>
          <w:sz w:val="20"/>
          <w:szCs w:val="20"/>
          <w:color w:val="auto"/>
        </w:rPr>
      </w:pPr>
    </w:p>
    <w:p>
      <w:pPr>
        <w:ind w:left="660" w:hanging="328"/>
        <w:spacing w:after="0" w:line="328" w:lineRule="auto"/>
        <w:tabs>
          <w:tab w:leader="none" w:pos="6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Phantom Class A Shares shall vest (become payable in the form of one Class A Share of PAGP for each Phantom Class A Share that vests) on the August 2025 Distribution Date.</w:t>
      </w:r>
    </w:p>
    <w:p>
      <w:pPr>
        <w:spacing w:after="0" w:line="131" w:lineRule="exact"/>
        <w:rPr>
          <w:rFonts w:ascii="Arial" w:cs="Arial" w:eastAsia="Arial" w:hAnsi="Arial"/>
          <w:sz w:val="19"/>
          <w:szCs w:val="19"/>
          <w:color w:val="auto"/>
        </w:rPr>
      </w:pPr>
    </w:p>
    <w:p>
      <w:pPr>
        <w:ind w:left="660" w:hanging="328"/>
        <w:spacing w:after="0" w:line="250"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33" w:lineRule="exact"/>
        <w:rPr>
          <w:rFonts w:ascii="Arial" w:cs="Arial" w:eastAsia="Arial" w:hAnsi="Arial"/>
          <w:sz w:val="22"/>
          <w:szCs w:val="22"/>
          <w:color w:val="auto"/>
        </w:rPr>
      </w:pPr>
    </w:p>
    <w:p>
      <w:pPr>
        <w:jc w:val="both"/>
        <w:ind w:left="660" w:hanging="328"/>
        <w:spacing w:after="0" w:line="238"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25"/>
          <w:szCs w:val="25"/>
          <w:color w:val="000080"/>
        </w:rPr>
        <w:t>■</w:t>
      </w:r>
      <w:r>
        <w:rPr>
          <w:rFonts w:ascii="Arial" w:cs="Arial" w:eastAsia="Arial" w:hAnsi="Arial"/>
          <w:sz w:val="20"/>
          <w:szCs w:val="20"/>
          <w:color w:val="000080"/>
        </w:rPr>
        <w:t xml:space="preserve"> Houston, Texas 77002 </w:t>
      </w:r>
      <w:r>
        <w:rPr>
          <w:rFonts w:ascii="Arial" w:cs="Arial" w:eastAsia="Arial" w:hAnsi="Arial"/>
          <w:sz w:val="25"/>
          <w:szCs w:val="25"/>
          <w:color w:val="000080"/>
        </w:rPr>
        <w:t>■</w:t>
      </w:r>
      <w:r>
        <w:rPr>
          <w:rFonts w:ascii="Arial" w:cs="Arial" w:eastAsia="Arial" w:hAnsi="Arial"/>
          <w:sz w:val="20"/>
          <w:szCs w:val="20"/>
          <w:color w:val="000080"/>
        </w:rPr>
        <w:t xml:space="preserve"> 713-646-4100 or 800-564-3036</w:t>
      </w:r>
    </w:p>
    <w:p>
      <w:pPr>
        <w:sectPr>
          <w:pgSz w:w="11900" w:h="16838" w:orient="portrait"/>
          <w:cols w:equalWidth="0" w:num="1">
            <w:col w:w="11240"/>
          </w:cols>
          <w:pgMar w:left="320" w:top="111" w:right="339" w:bottom="1440" w:gutter="0" w:footer="0" w:header="0"/>
        </w:sectPr>
      </w:pPr>
    </w:p>
    <w:bookmarkStart w:id="79" w:name="page80"/>
    <w:bookmarkEnd w:id="79"/>
    <w:p>
      <w:pPr>
        <w:jc w:val="center"/>
        <w:ind w:right="-19"/>
        <w:spacing w:after="0"/>
        <w:tabs>
          <w:tab w:leader="none" w:pos="200" w:val="left"/>
          <w:tab w:leader="none" w:pos="180" w:val="left"/>
        </w:tabs>
        <w:rPr>
          <w:sz w:val="20"/>
          <w:szCs w:val="20"/>
          <w:color w:val="auto"/>
        </w:rPr>
      </w:pPr>
      <w:r>
        <w:rPr>
          <w:rFonts w:ascii="Arial" w:cs="Arial" w:eastAsia="Arial" w:hAnsi="Arial"/>
          <w:sz w:val="22"/>
          <w:szCs w:val="22"/>
          <w:color w:val="auto"/>
        </w:rPr>
        <w:t>«FirstName» «LastName»</w:t>
        <w:tab/>
        <w:t>- 2 -</w:t>
      </w:r>
      <w:r>
        <w:rPr>
          <w:sz w:val="20"/>
          <w:szCs w:val="20"/>
          <w:color w:val="auto"/>
        </w:rPr>
        <w:tab/>
      </w:r>
      <w:r>
        <w:rPr>
          <w:rFonts w:ascii="Arial" w:cs="Arial" w:eastAsia="Arial" w:hAnsi="Arial"/>
          <w:sz w:val="19"/>
          <w:szCs w:val="19"/>
          <w:color w:val="auto"/>
        </w:rPr>
        <w:t>August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hanging="328"/>
        <w:spacing w:after="0" w:line="236" w:lineRule="auto"/>
        <w:tabs>
          <w:tab w:leader="none" w:pos="6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shall immediately become nonforfeitable and shall vest in full as of the next following Distribution Date. Upon such payment, the tandem DERs associated with the Phantom Class A Shares that are vesting shall expire.</w:t>
      </w:r>
    </w:p>
    <w:p>
      <w:pPr>
        <w:spacing w:after="0" w:line="214" w:lineRule="exact"/>
        <w:rPr>
          <w:rFonts w:ascii="Arial" w:cs="Arial" w:eastAsia="Arial" w:hAnsi="Arial"/>
          <w:sz w:val="22"/>
          <w:szCs w:val="22"/>
          <w:color w:val="auto"/>
        </w:rPr>
      </w:pPr>
    </w:p>
    <w:p>
      <w:pPr>
        <w:ind w:left="660" w:hanging="328"/>
        <w:spacing w:after="0" w:line="328" w:lineRule="auto"/>
        <w:tabs>
          <w:tab w:leader="none" w:pos="6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132" w:lineRule="exact"/>
        <w:rPr>
          <w:sz w:val="20"/>
          <w:szCs w:val="20"/>
          <w:color w:val="auto"/>
        </w:rPr>
      </w:pPr>
    </w:p>
    <w:p>
      <w:pPr>
        <w:jc w:val="both"/>
        <w:ind w:firstLine="286"/>
        <w:spacing w:after="0" w:line="234" w:lineRule="auto"/>
        <w:rPr>
          <w:sz w:val="20"/>
          <w:szCs w:val="20"/>
          <w:color w:val="auto"/>
        </w:rPr>
      </w:pPr>
      <w:r>
        <w:rPr>
          <w:rFonts w:ascii="Arial" w:cs="Arial" w:eastAsia="Arial" w:hAnsi="Arial"/>
          <w:sz w:val="22"/>
          <w:szCs w:val="22"/>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218" w:lineRule="exact"/>
        <w:rPr>
          <w:sz w:val="20"/>
          <w:szCs w:val="20"/>
          <w:color w:val="auto"/>
        </w:rPr>
      </w:pPr>
    </w:p>
    <w:p>
      <w:pPr>
        <w:jc w:val="both"/>
        <w:ind w:firstLine="236"/>
        <w:spacing w:after="0" w:line="235"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240"/>
          </w:cols>
          <w:pgMar w:left="320" w:top="118" w:right="339" w:bottom="1440" w:gutter="0" w:footer="0" w:header="0"/>
        </w:sectPr>
      </w:pPr>
    </w:p>
    <w:bookmarkStart w:id="80" w:name="page81"/>
    <w:bookmarkEnd w:id="80"/>
    <w:p>
      <w:pPr>
        <w:jc w:val="center"/>
        <w:ind w:right="-19"/>
        <w:spacing w:after="0"/>
        <w:tabs>
          <w:tab w:leader="none" w:pos="200" w:val="left"/>
          <w:tab w:leader="none" w:pos="180" w:val="left"/>
        </w:tabs>
        <w:rPr>
          <w:sz w:val="20"/>
          <w:szCs w:val="20"/>
          <w:color w:val="auto"/>
        </w:rPr>
      </w:pPr>
      <w:r>
        <w:rPr>
          <w:rFonts w:ascii="Arial" w:cs="Arial" w:eastAsia="Arial" w:hAnsi="Arial"/>
          <w:sz w:val="22"/>
          <w:szCs w:val="22"/>
          <w:color w:val="auto"/>
        </w:rPr>
        <w:t>«FirstName» «LastName»</w:t>
        <w:tab/>
        <w:t>- 3 -</w:t>
      </w:r>
      <w:r>
        <w:rPr>
          <w:sz w:val="20"/>
          <w:szCs w:val="20"/>
          <w:color w:val="auto"/>
        </w:rPr>
        <w:tab/>
      </w:r>
      <w:r>
        <w:rPr>
          <w:rFonts w:ascii="Arial" w:cs="Arial" w:eastAsia="Arial" w:hAnsi="Arial"/>
          <w:sz w:val="19"/>
          <w:szCs w:val="19"/>
          <w:color w:val="auto"/>
        </w:rPr>
        <w:t>August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Please designate in the space provided below a beneficiary to receive benefits payable under this a grant in the event of your death. In addition, please execute and return a copy of this grant letter to me and retain a copy for your records.</w:t>
      </w:r>
    </w:p>
    <w:p>
      <w:pPr>
        <w:spacing w:after="0" w:line="3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____________________________________</w:t>
      </w: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Richard McGee</w:t>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«FirstName» «LastName»</w: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11,900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-17780</wp:posOffset>
            </wp:positionV>
            <wp:extent cx="5092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6">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Beneficiary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40575" cy="1499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8">
                      <a:extLst>
                        <a:ext uri="{28A0092B-C50C-407E-A947-70E740481C1C}"/>
                      </a:extLst>
                    </a:blip>
                    <a:srcRect/>
                    <a:stretch>
                      <a:fillRect/>
                    </a:stretch>
                  </pic:blipFill>
                  <pic:spPr bwMode="auto">
                    <a:xfrm>
                      <a:off x="0" y="0"/>
                      <a:ext cx="7140575" cy="149987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920" w:type="dxa"/>
            <w:vAlign w:val="bottom"/>
            <w:shd w:val="clear" w:color="auto" w:fill="C0C0C0"/>
          </w:tcPr>
          <w:p>
            <w:pPr>
              <w:ind w:left="80"/>
              <w:spacing w:after="0"/>
              <w:rPr>
                <w:sz w:val="20"/>
                <w:szCs w:val="20"/>
                <w:color w:val="auto"/>
              </w:rPr>
            </w:pPr>
            <w:r>
              <w:rPr>
                <w:rFonts w:ascii="Arial" w:cs="Arial" w:eastAsia="Arial" w:hAnsi="Arial"/>
                <w:sz w:val="22"/>
                <w:szCs w:val="22"/>
                <w:color w:val="auto"/>
              </w:rPr>
              <w:t>Primary Beneficiary Name</w:t>
            </w:r>
          </w:p>
        </w:tc>
        <w:tc>
          <w:tcPr>
            <w:tcW w:w="3180" w:type="dxa"/>
            <w:vAlign w:val="bottom"/>
            <w:shd w:val="clear" w:color="auto" w:fill="C0C0C0"/>
          </w:tcPr>
          <w:p>
            <w:pPr>
              <w:ind w:left="1500"/>
              <w:spacing w:after="0"/>
              <w:rPr>
                <w:sz w:val="20"/>
                <w:szCs w:val="20"/>
                <w:color w:val="auto"/>
              </w:rPr>
            </w:pPr>
            <w:r>
              <w:rPr>
                <w:rFonts w:ascii="Arial" w:cs="Arial" w:eastAsia="Arial" w:hAnsi="Arial"/>
                <w:sz w:val="22"/>
                <w:szCs w:val="22"/>
                <w:color w:val="auto"/>
              </w:rPr>
              <w:t>Relationship</w:t>
            </w:r>
          </w:p>
        </w:tc>
        <w:tc>
          <w:tcPr>
            <w:tcW w:w="4140" w:type="dxa"/>
            <w:vAlign w:val="bottom"/>
            <w:shd w:val="clear" w:color="auto" w:fill="C0C0C0"/>
          </w:tcPr>
          <w:p>
            <w:pPr>
              <w:ind w:left="600"/>
              <w:spacing w:after="0"/>
              <w:rPr>
                <w:sz w:val="20"/>
                <w:szCs w:val="20"/>
                <w:color w:val="auto"/>
              </w:rPr>
            </w:pPr>
            <w:r>
              <w:rPr>
                <w:rFonts w:ascii="Arial" w:cs="Arial" w:eastAsia="Arial" w:hAnsi="Arial"/>
                <w:sz w:val="22"/>
                <w:szCs w:val="22"/>
                <w:color w:val="auto"/>
              </w:rPr>
              <w:t>Percent (Must total 100%)</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020" w:type="dxa"/>
            <w:vAlign w:val="bottom"/>
            <w:shd w:val="clear" w:color="auto" w:fill="C0C0C0"/>
          </w:tcPr>
          <w:p>
            <w:pPr>
              <w:ind w:left="80"/>
              <w:spacing w:after="0"/>
              <w:rPr>
                <w:sz w:val="20"/>
                <w:szCs w:val="20"/>
                <w:color w:val="auto"/>
              </w:rPr>
            </w:pPr>
            <w:r>
              <w:rPr>
                <w:rFonts w:ascii="Arial" w:cs="Arial" w:eastAsia="Arial" w:hAnsi="Arial"/>
                <w:sz w:val="22"/>
                <w:szCs w:val="22"/>
                <w:color w:val="auto"/>
              </w:rPr>
              <w:t>Secondary Beneficiary Name</w:t>
            </w:r>
          </w:p>
        </w:tc>
        <w:tc>
          <w:tcPr>
            <w:tcW w:w="3080" w:type="dxa"/>
            <w:vAlign w:val="bottom"/>
            <w:shd w:val="clear" w:color="auto" w:fill="C0C0C0"/>
          </w:tcPr>
          <w:p>
            <w:pPr>
              <w:ind w:left="1400"/>
              <w:spacing w:after="0"/>
              <w:rPr>
                <w:sz w:val="20"/>
                <w:szCs w:val="20"/>
                <w:color w:val="auto"/>
              </w:rPr>
            </w:pPr>
            <w:r>
              <w:rPr>
                <w:rFonts w:ascii="Arial" w:cs="Arial" w:eastAsia="Arial" w:hAnsi="Arial"/>
                <w:sz w:val="22"/>
                <w:szCs w:val="22"/>
                <w:color w:val="auto"/>
              </w:rPr>
              <w:t>Relationship</w:t>
            </w:r>
          </w:p>
        </w:tc>
        <w:tc>
          <w:tcPr>
            <w:tcW w:w="4140" w:type="dxa"/>
            <w:vAlign w:val="bottom"/>
            <w:shd w:val="clear" w:color="auto" w:fill="C0C0C0"/>
          </w:tcPr>
          <w:p>
            <w:pPr>
              <w:ind w:left="600"/>
              <w:spacing w:after="0"/>
              <w:rPr>
                <w:sz w:val="20"/>
                <w:szCs w:val="20"/>
                <w:color w:val="auto"/>
              </w:rPr>
            </w:pPr>
            <w:r>
              <w:rPr>
                <w:rFonts w:ascii="Arial" w:cs="Arial" w:eastAsia="Arial" w:hAnsi="Arial"/>
                <w:sz w:val="22"/>
                <w:szCs w:val="22"/>
                <w:color w:val="auto"/>
              </w:rPr>
              <w:t>Percent (Must total 100%)</w:t>
            </w:r>
          </w:p>
        </w:tc>
      </w:tr>
    </w:tbl>
    <w:p>
      <w:pPr>
        <w:sectPr>
          <w:pgSz w:w="11900" w:h="16838" w:orient="portrait"/>
          <w:cols w:equalWidth="0" w:num="1">
            <w:col w:w="11240"/>
          </w:cols>
          <w:pgMar w:left="320" w:top="118"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25" w:lineRule="exact"/>
        <w:rPr>
          <w:sz w:val="20"/>
          <w:szCs w:val="20"/>
          <w:color w:val="auto"/>
        </w:rPr>
      </w:pPr>
    </w:p>
    <w:p>
      <w:pPr>
        <w:ind w:right="180" w:firstLine="656"/>
        <w:spacing w:after="0" w:line="263" w:lineRule="auto"/>
        <w:tabs>
          <w:tab w:leader="none" w:pos="13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2021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November 8, 2021</w:t>
      </w:r>
    </w:p>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180" w:firstLine="656"/>
        <w:spacing w:after="0" w:line="263" w:lineRule="auto"/>
        <w:tabs>
          <w:tab w:leader="none" w:pos="13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2021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November 8,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2"/>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lowerRoman"/>
      <w:start w:val="2"/>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2"/>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lowerRoman"/>
      <w:start w:val="2"/>
    </w:lvl>
  </w:abstractNum>
  <w:abstractNum w:abstractNumId="27">
    <w:nsid w:val="79A1DEAA"/>
    <w:multiLevelType w:val="hybridMultilevel"/>
    <w:lvl w:ilvl="0">
      <w:lvlJc w:val="left"/>
      <w:lvlText w:val="(%1)"/>
      <w:numFmt w:val="decimal"/>
      <w:start w:val="3"/>
    </w:lvl>
  </w:abstractNum>
  <w:abstractNum w:abstractNumId="28">
    <w:nsid w:val="75C6C33A"/>
    <w:multiLevelType w:val="hybridMultilevel"/>
    <w:lvl w:ilvl="0">
      <w:lvlJc w:val="left"/>
      <w:lvlText w:val="(%1)"/>
      <w:numFmt w:val="decimal"/>
      <w:start w:val="10"/>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1)"/>
      <w:numFmt w:val="lowerRoman"/>
      <w:start w:val="3"/>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decimal"/>
      <w:start w:val="3"/>
    </w:lvl>
  </w:abstractNum>
  <w:abstractNum w:abstractNumId="36">
    <w:nsid w:val="275AC794"/>
    <w:multiLevelType w:val="hybridMultilevel"/>
    <w:lvl w:ilvl="0">
      <w:lvlJc w:val="left"/>
      <w:lvlText w:val="(%1)"/>
      <w:numFmt w:val="decimal"/>
      <w:start w:val="4"/>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1)"/>
      <w:numFmt w:val="lowerRoman"/>
      <w:start w:val="5"/>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2"/>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3"/>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lowerRoman"/>
      <w:start w:val="4"/>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decimal"/>
      <w:start w:val="1"/>
    </w:lvl>
    <w:lvl w:ilvl="1">
      <w:lvlJc w:val="left"/>
      <w:lvlText w:val="%2."/>
      <w:numFmt w:val="lowerLetter"/>
      <w:start w:val="1"/>
    </w:lvl>
  </w:abstractNum>
  <w:abstractNum w:abstractNumId="52">
    <w:nsid w:val="310C50B3"/>
    <w:multiLevelType w:val="hybridMultilevel"/>
    <w:lvl w:ilvl="0">
      <w:lvlJc w:val="left"/>
      <w:lvlText w:val="%1"/>
      <w:numFmt w:val="decimal"/>
      <w:start w:val="1"/>
    </w:lvl>
    <w:lvl w:ilvl="1">
      <w:lvlJc w:val="left"/>
      <w:lvlText w:val="%2."/>
      <w:numFmt w:val="lowerLetter"/>
      <w:start w:val="2"/>
    </w:lvl>
  </w:abstractNum>
  <w:abstractNum w:abstractNumId="53">
    <w:nsid w:val="5FF87E05"/>
    <w:multiLevelType w:val="hybridMultilevel"/>
    <w:lvl w:ilvl="0">
      <w:lvlJc w:val="left"/>
      <w:lvlText w:val="%1."/>
      <w:numFmt w:val="decimal"/>
      <w:start w:val="3"/>
    </w:lvl>
    <w:lvl w:ilvl="1">
      <w:lvlJc w:val="left"/>
      <w:lvlText w:val="%2"/>
      <w:numFmt w:val="lowerLetter"/>
      <w:start w:val="1"/>
    </w:lvl>
  </w:abstractNum>
  <w:abstractNum w:abstractNumId="54">
    <w:nsid w:val="2F305DEF"/>
    <w:multiLevelType w:val="hybridMultilevel"/>
    <w:lvl w:ilvl="0">
      <w:lvlJc w:val="left"/>
      <w:lvlText w:val="%1."/>
      <w:numFmt w:val="decimal"/>
      <w:start w:val="5"/>
    </w:lvl>
    <w:lvl w:ilvl="1">
      <w:lvlJc w:val="left"/>
      <w:lvlText w:val="(%2)"/>
      <w:numFmt w:val="lowerLetter"/>
      <w:start w:val="25"/>
    </w:lvl>
  </w:abstractNum>
  <w:abstractNum w:abstractNumId="55">
    <w:nsid w:val="25A70BF7"/>
    <w:multiLevelType w:val="hybridMultilevel"/>
    <w:lvl w:ilvl="0">
      <w:lvlJc w:val="left"/>
      <w:lvlText w:val="%1."/>
      <w:numFmt w:val="decimal"/>
      <w:start w:val="8"/>
    </w:lvl>
  </w:abstractNum>
  <w:abstractNum w:abstractNumId="56">
    <w:nsid w:val="1DBABF00"/>
    <w:multiLevelType w:val="hybridMultilevel"/>
    <w:lvl w:ilvl="0">
      <w:lvlJc w:val="left"/>
      <w:lvlText w:val="(%1)"/>
      <w:numFmt w:val="lowerRoman"/>
      <w:start w:val="1"/>
    </w:lvl>
  </w:abstractNum>
  <w:abstractNum w:abstractNumId="57">
    <w:nsid w:val="4AD084E9"/>
    <w:multiLevelType w:val="hybridMultilevel"/>
    <w:lvl w:ilvl="0">
      <w:lvlJc w:val="left"/>
      <w:lvlText w:val="(%1)"/>
      <w:numFmt w:val="lowerRoman"/>
      <w:start w:val="4"/>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1."/>
      <w:numFmt w:val="decimal"/>
      <w:start w:val="1"/>
    </w:lvl>
    <w:lvl w:ilvl="1">
      <w:lvlJc w:val="left"/>
      <w:lvlText w:val="(%2)"/>
      <w:numFmt w:val="lowerRoman"/>
      <w:start w:val="1"/>
    </w:lvl>
  </w:abstractNum>
  <w:abstractNum w:abstractNumId="60">
    <w:nsid w:val="5DB70AE5"/>
    <w:multiLevelType w:val="hybridMultilevel"/>
    <w:lvl w:ilvl="0">
      <w:lvlJc w:val="left"/>
      <w:lvlText w:val="%1."/>
      <w:numFmt w:val="decimal"/>
      <w:start w:val="3"/>
    </w:lvl>
  </w:abstractNum>
  <w:abstractNum w:abstractNumId="61">
    <w:nsid w:val="100F8FCA"/>
    <w:multiLevelType w:val="hybridMultilevel"/>
    <w:lvl w:ilvl="0">
      <w:lvlJc w:val="left"/>
      <w:lvlText w:val="%1."/>
      <w:numFmt w:val="decimal"/>
      <w:start w:val="1"/>
    </w:lvl>
    <w:lvl w:ilvl="1">
      <w:lvlJc w:val="left"/>
      <w:lvlText w:val="(%2)"/>
      <w:numFmt w:val="lowerRoman"/>
      <w:start w:val="1"/>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6"/>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decimal"/>
      <w:start w:val="5"/>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decimal"/>
      <w:start w:val="5"/>
    </w:lvl>
  </w:abstractNum>
  <w:abstractNum w:abstractNumId="72">
    <w:nsid w:val="5DC79EA8"/>
    <w:multiLevelType w:val="hybridMultilevel"/>
    <w:lvl w:ilvl="0">
      <w:lvlJc w:val="left"/>
      <w:lvlText w:val="(%1)"/>
      <w:numFmt w:val="lowerLetter"/>
      <w:start w:val="1"/>
    </w:lvl>
  </w:abstractNum>
  <w:abstractNum w:abstractNumId="73">
    <w:nsid w:val="540A471C"/>
    <w:multiLevelType w:val="hybridMultilevel"/>
    <w:lvl w:ilvl="0">
      <w:lvlJc w:val="left"/>
      <w:lvlText w:val="(%1)"/>
      <w:numFmt w:val="lowerRoman"/>
      <w:start w:val="1"/>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2" Type="http://schemas.openxmlformats.org/officeDocument/2006/relationships/image" Target="media/image84.png"/><Relationship Id="rId120" Type="http://schemas.openxmlformats.org/officeDocument/2006/relationships/image" Target="media/image85.png"/><Relationship Id="rId135" Type="http://schemas.openxmlformats.org/officeDocument/2006/relationships/image" Target="media/image86.png"/><Relationship Id="rId142" Type="http://schemas.openxmlformats.org/officeDocument/2006/relationships/image" Target="media/image87.png"/><Relationship Id="rId143" Type="http://schemas.openxmlformats.org/officeDocument/2006/relationships/image" Target="media/image88.png"/><Relationship Id="rId144" Type="http://schemas.openxmlformats.org/officeDocument/2006/relationships/image" Target="media/image89.jpeg"/><Relationship Id="rId145" Type="http://schemas.openxmlformats.org/officeDocument/2006/relationships/image" Target="media/image90.jpeg"/><Relationship Id="rId146" Type="http://schemas.openxmlformats.org/officeDocument/2006/relationships/image" Target="media/image91.png"/><Relationship Id="rId147" Type="http://schemas.openxmlformats.org/officeDocument/2006/relationships/image" Target="media/image92.png"/><Relationship Id="rId148" Type="http://schemas.openxmlformats.org/officeDocument/2006/relationships/image" Target="media/image93.png"/><Relationship Id="rId149" Type="http://schemas.openxmlformats.org/officeDocument/2006/relationships/image" Target="media/image94.png"/><Relationship Id="rId150" Type="http://schemas.openxmlformats.org/officeDocument/2006/relationships/image" Target="media/image95.png"/><Relationship Id="rId151" Type="http://schemas.openxmlformats.org/officeDocument/2006/relationships/image" Target="media/image96.png"/><Relationship Id="rId152" Type="http://schemas.openxmlformats.org/officeDocument/2006/relationships/image" Target="media/image97.png"/><Relationship Id="rId91" Type="http://schemas.openxmlformats.org/officeDocument/2006/relationships/hyperlink" Target="https://www.sec.gov/Archives/edgar/data/1070423/000110465921091443/tm2121935d1_ex2-1.htm" TargetMode="External"/><Relationship Id="rId92" Type="http://schemas.openxmlformats.org/officeDocument/2006/relationships/hyperlink" Target="http://www.sec.gov/Archives/edgar/data/1070423/000110465917061889/a17-22685_5ex3d1.htm#Exhibit3_1_122228" TargetMode="External"/><Relationship Id="rId93" Type="http://schemas.openxmlformats.org/officeDocument/2006/relationships/hyperlink" Target="http://www.sec.gov/Archives/edgar/data/1070423/000104746904016502/a2135501zex-3_2.htm" TargetMode="External"/><Relationship Id="rId94" Type="http://schemas.openxmlformats.org/officeDocument/2006/relationships/hyperlink" Target="http://www.sec.gov/Archives/edgar/data/1070423/000110465911010359/a11-2319_1ex3d9.htm" TargetMode="External"/><Relationship Id="rId95" Type="http://schemas.openxmlformats.org/officeDocument/2006/relationships/hyperlink" Target="http://www.sec.gov/Archives/edgar/data/1070423/000110465911010359/a11-2319_1ex3d10.htm" TargetMode="External"/><Relationship Id="rId96" Type="http://schemas.openxmlformats.org/officeDocument/2006/relationships/hyperlink" Target="http://www.sec.gov/Archives/edgar/data/1070423/000110465914014322/a13-25941_1ex3d7.htm" TargetMode="External"/><Relationship Id="rId97" Type="http://schemas.openxmlformats.org/officeDocument/2006/relationships/hyperlink" Target="http://www.sec.gov/Archives/edgar/data/1070423/000110465914014322/a13-25941_1ex3d8.htm" TargetMode="External"/><Relationship Id="rId98" Type="http://schemas.openxmlformats.org/officeDocument/2006/relationships/hyperlink" Target="http://www.sec.gov/Archives/edgar/data/1070423/000107042320000004/paa201910-kexhibit37.htm" TargetMode="External"/><Relationship Id="rId99" Type="http://schemas.openxmlformats.org/officeDocument/2006/relationships/hyperlink" Target="http://www.sec.gov/Archives/edgar/data/1070423/000104746904016502/a2135501zex-3_3.htm" TargetMode="External"/><Relationship Id="rId100" Type="http://schemas.openxmlformats.org/officeDocument/2006/relationships/hyperlink" Target="http://www.sec.gov/Archives/edgar/data/1070423/000110465914014322/a13-25941_1ex3d10.htm" TargetMode="External"/><Relationship Id="rId101" Type="http://schemas.openxmlformats.org/officeDocument/2006/relationships/hyperlink" Target="http://www.sec.gov/Archives/edgar/data/1070423/000110465916158355/a16-21841_1ex3d3.htm" TargetMode="External"/><Relationship Id="rId103" Type="http://schemas.openxmlformats.org/officeDocument/2006/relationships/hyperlink" Target="http://www.sec.gov/Archives/edgar/data/1070423/000110465916158355/a16-21841_1ex3d4.htm" TargetMode="External"/><Relationship Id="rId104" Type="http://schemas.openxmlformats.org/officeDocument/2006/relationships/hyperlink" Target="http://www.sec.gov/Archives/edgar/data/1070423/000110465918060011/a18-36196_1ex3d1.htm" TargetMode="External"/><Relationship Id="rId105" Type="http://schemas.openxmlformats.org/officeDocument/2006/relationships/hyperlink" Target="http://www.sec.gov/Archives/edgar/data/1070423/000110465919032810/a19-10856_1ex3d1.htm" TargetMode="External"/><Relationship Id="rId106" Type="http://schemas.openxmlformats.org/officeDocument/2006/relationships/hyperlink" Target="http://www.sec.gov/Archives/edgar/data/1070423/000095012907001096/h43224exv3w10.htm" TargetMode="External"/><Relationship Id="rId107" Type="http://schemas.openxmlformats.org/officeDocument/2006/relationships/hyperlink" Target="http://www.sec.gov/Archives/edgar/data/1070423/000095012907001096/h43224exv3w11.htm" TargetMode="External"/><Relationship Id="rId108" Type="http://schemas.openxmlformats.org/officeDocument/2006/relationships/hyperlink" Target="http://www.sec.gov/Archives/edgar/data/1070423/000095012908000071/h52770exv3w3.htm" TargetMode="External"/><Relationship Id="rId109" Type="http://schemas.openxmlformats.org/officeDocument/2006/relationships/hyperlink" Target="http://www.sec.gov/Archives/edgar/data/1581990/000104746913007875/a2216069zex-3_1.htm" TargetMode="External"/><Relationship Id="rId110" Type="http://schemas.openxmlformats.org/officeDocument/2006/relationships/hyperlink" Target="http://www.sec.gov/Archives/edgar/data/1581990/000110465916158356/a16-21845_1ex3d2.htm" TargetMode="External"/><Relationship Id="rId111" Type="http://schemas.openxmlformats.org/officeDocument/2006/relationships/hyperlink" Target="http://www.sec.gov/Archives/edgar/data/1581990/000158199020000012/exhibit31.htm" TargetMode="External"/><Relationship Id="rId112" Type="http://schemas.openxmlformats.org/officeDocument/2006/relationships/hyperlink" Target="http://www.sec.gov/Archives/edgar/data/1581990/000104746913007875/a2216069zex-3_3.htm" TargetMode="External"/><Relationship Id="rId113" Type="http://schemas.openxmlformats.org/officeDocument/2006/relationships/hyperlink" Target="http://www.sec.gov/Archives/edgar/data/1070423/000110465917010601/a17-6891_1ex3d1.htm" TargetMode="External"/><Relationship Id="rId114" Type="http://schemas.openxmlformats.org/officeDocument/2006/relationships/hyperlink" Target="http://www.sec.gov/Archives/edgar/data/1070423/000110465918052848/a18-18381_3ex3d1.htm" TargetMode="External"/><Relationship Id="rId115" Type="http://schemas.openxmlformats.org/officeDocument/2006/relationships/hyperlink" Target="http://www.sec.gov/Archives/edgar/data/1070423/000110465918072384/a18-41341_1ex3d1.htm" TargetMode="External"/><Relationship Id="rId116" Type="http://schemas.openxmlformats.org/officeDocument/2006/relationships/hyperlink" Target="http://www.sec.gov/Archives/edgar/data/1070423/000110465919067782/tm1923979d1_ex3-1.htm" TargetMode="External"/><Relationship Id="rId117" Type="http://schemas.openxmlformats.org/officeDocument/2006/relationships/hyperlink" Target="http://www.sec.gov/Archives/edgar/data/1070423/000110465921031455/tm218523d2_ex3-1.htm" TargetMode="External"/><Relationship Id="rId118" Type="http://schemas.openxmlformats.org/officeDocument/2006/relationships/hyperlink" Target="http://www.sec.gov/Archives/edgar/data/1070423/000110465921108999/tm2125729d1_ex3-1.htm" TargetMode="External"/><Relationship Id="rId119" Type="http://schemas.openxmlformats.org/officeDocument/2006/relationships/hyperlink" Target="http://www.sec.gov/Archives/edgar/data/1070423/000089924302002834/dex41.txt" TargetMode="External"/><Relationship Id="rId121" Type="http://schemas.openxmlformats.org/officeDocument/2006/relationships/hyperlink" Target="http://www.sec.gov/Archives/edgar/data/1070423/000110465906034368/a06-11663_1ex4d1.htm" TargetMode="External"/><Relationship Id="rId122" Type="http://schemas.openxmlformats.org/officeDocument/2006/relationships/hyperlink" Target="http://www.sec.gov/Archives/edgar/data/1070423/000095012906009235/h40667exv4w2.htm" TargetMode="External"/><Relationship Id="rId123" Type="http://schemas.openxmlformats.org/officeDocument/2006/relationships/hyperlink" Target="http://www.sec.gov/Archives/edgar/data/1070423/000119312512132295/d321017dex41.htm" TargetMode="External"/><Relationship Id="rId124" Type="http://schemas.openxmlformats.org/officeDocument/2006/relationships/hyperlink" Target="http://www.sec.gov/Archives/edgar/data/1070423/000119312512132295/d321017dex43.htm" TargetMode="External"/><Relationship Id="rId125" Type="http://schemas.openxmlformats.org/officeDocument/2006/relationships/hyperlink" Target="http://www.sec.gov/Archives/edgar/data/1070423/000119312512499932/d453762dex41.htm" TargetMode="External"/><Relationship Id="rId126" Type="http://schemas.openxmlformats.org/officeDocument/2006/relationships/hyperlink" Target="http://www.sec.gov/Archives/edgar/data/1070423/000119312512499932/d453762dex43.htm" TargetMode="External"/><Relationship Id="rId127" Type="http://schemas.openxmlformats.org/officeDocument/2006/relationships/hyperlink" Target="http://www.sec.gov/Archives/edgar/data/1070423/000119312513336066/d581734dex41.htm" TargetMode="External"/><Relationship Id="rId128" Type="http://schemas.openxmlformats.org/officeDocument/2006/relationships/hyperlink" Target="http://www.sec.gov/Archives/edgar/data/1070423/000119312514164183/d713938dex41.htm" TargetMode="External"/><Relationship Id="rId129" Type="http://schemas.openxmlformats.org/officeDocument/2006/relationships/hyperlink" Target="http://www.sec.gov/Archives/edgar/data/1070423/000119312514338289/d787160dex41.htm" TargetMode="External"/><Relationship Id="rId130" Type="http://schemas.openxmlformats.org/officeDocument/2006/relationships/hyperlink" Target="http://www.sec.gov/Archives/edgar/data/1070423/000119312514440007/d833885dex43.htm" TargetMode="External"/><Relationship Id="rId131" Type="http://schemas.openxmlformats.org/officeDocument/2006/relationships/hyperlink" Target="http://www.sec.gov/Archives/edgar/data/1070423/000119312515302829/d45393dex41.htm" TargetMode="External"/><Relationship Id="rId132" Type="http://schemas.openxmlformats.org/officeDocument/2006/relationships/hyperlink" Target="http://www.sec.gov/Archives/edgar/data/1070423/000110465916159593/a16-22232_1ex4d1.htm" TargetMode="External"/><Relationship Id="rId133" Type="http://schemas.openxmlformats.org/officeDocument/2006/relationships/hyperlink" Target="http://www.sec.gov/Archives/edgar/data/1070423/000141057819001281/tv529555_ex4-1.htm" TargetMode="External"/><Relationship Id="rId134" Type="http://schemas.openxmlformats.org/officeDocument/2006/relationships/hyperlink" Target="http://www.sec.gov/Archives/edgar/data/1070423/000110465920072270/tm2022235d1_ex4-1.htm" TargetMode="External"/><Relationship Id="rId136" Type="http://schemas.openxmlformats.org/officeDocument/2006/relationships/hyperlink" Target="http://www.sec.gov/Archives/edgar/data/1070423/000095012309050401/h68193exv4w1.htm" TargetMode="External"/><Relationship Id="rId137" Type="http://schemas.openxmlformats.org/officeDocument/2006/relationships/hyperlink" Target="http://www.sec.gov/Archives/edgar/data/1070423/000110465916093299/a16-3362_1ex4d1.htm" TargetMode="External"/><Relationship Id="rId138" Type="http://schemas.openxmlformats.org/officeDocument/2006/relationships/hyperlink" Target="http://www.sec.gov/Archives/edgar/data/1070423/000110465916158355/a16-21841_1ex10d4.htm" TargetMode="External"/><Relationship Id="rId139" Type="http://schemas.openxmlformats.org/officeDocument/2006/relationships/hyperlink" Target="http://www.sec.gov/Archives/edgar/data/1070423/000107042321000008/paa202010-kexhibit419.htm" TargetMode="External"/><Relationship Id="rId140" Type="http://schemas.openxmlformats.org/officeDocument/2006/relationships/hyperlink" Target="http://www.sec.gov/Archives/edgar/data/1070423/000110465921109829/tm2125729d3_ex10-1.htm" TargetMode="External"/><Relationship Id="rId141" Type="http://schemas.openxmlformats.org/officeDocument/2006/relationships/hyperlink" Target="http://www.sec.gov/Archives/edgar/data/1070423/000110465921109829/tm2125729d3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2021-11-08T16:31:45Z</dcterms:created>
  <dcterms:modified xsi:type="dcterms:W3CDTF">2021-11-08T16:31:45Z</dcterms:modified>
</cp:coreProperties>
</file>