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before="0" w:after="0"/>
        <w:jc w:val="left"/>
        <w:rPr/>
      </w:pPr>
      <w:r>
        <w:rPr/>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Commission file number 1-14569</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PLAINS ALL AMERICAN PIPELINE, L.P.</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286"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76-0582150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333 Clay Street, Suite 1600, 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before="0" w:after="0"/>
        <w:jc w:val="left"/>
        <w:rPr/>
      </w:pPr>
      <w:r>
        <w:rPr/>
      </w:r>
    </w:p>
    <w:p>
      <w:pPr>
        <w:pStyle w:val="TextBody"/>
        <w:bidi w:val="0"/>
        <w:spacing w:lineRule="auto" w:line="288" w:before="0" w:after="60"/>
        <w:jc w:val="center"/>
        <w:rPr/>
      </w:pPr>
      <w:r>
        <w:rPr>
          <w:rFonts w:ascii="Times New Roman;sans-serif" w:hAnsi="Times New Roman;sans-serif"/>
          <w:b w:val="false"/>
          <w:color w:val="000000"/>
          <w:sz w:val="16"/>
        </w:rPr>
        <w:t xml:space="preserve">Registrant’s telephone number, including area code: </w:t>
      </w:r>
      <w:r>
        <w:rPr>
          <w:rFonts w:ascii="Times New Roman;sans-serif" w:hAnsi="Times New Roman;sans-serif"/>
          <w:b/>
          <w:color w:val="000000"/>
          <w:sz w:val="16"/>
        </w:rPr>
        <w:t>(713) 646-4100</w:t>
      </w:r>
    </w:p>
    <w:p>
      <w:pPr>
        <w:pStyle w:val="TextBody"/>
        <w:bidi w:val="0"/>
        <w:spacing w:lineRule="auto" w:line="288" w:before="0" w:after="10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5965" w:type="dxa"/>
        <w:jc w:val="center"/>
        <w:tblInd w:w="0" w:type="dxa"/>
        <w:tblLayout w:type="fixed"/>
        <w:tblCellMar>
          <w:top w:w="28" w:type="dxa"/>
          <w:left w:w="28" w:type="dxa"/>
          <w:bottom w:w="28" w:type="dxa"/>
          <w:right w:w="28" w:type="dxa"/>
        </w:tblCellMar>
      </w:tblPr>
      <w:tblGrid>
        <w:gridCol w:w="451"/>
        <w:gridCol w:w="397"/>
        <w:gridCol w:w="398"/>
        <w:gridCol w:w="109"/>
        <w:gridCol w:w="109"/>
        <w:gridCol w:w="109"/>
        <w:gridCol w:w="409"/>
        <w:gridCol w:w="409"/>
        <w:gridCol w:w="411"/>
        <w:gridCol w:w="109"/>
        <w:gridCol w:w="109"/>
        <w:gridCol w:w="109"/>
        <w:gridCol w:w="830"/>
        <w:gridCol w:w="830"/>
        <w:gridCol w:w="117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w:t>
            </w:r>
          </w:p>
        </w:tc>
      </w:tr>
    </w:tbl>
    <w:p>
      <w:pPr>
        <w:pStyle w:val="TextBody"/>
        <w:bidi w:val="0"/>
        <w:spacing w:lineRule="auto" w:line="288" w:before="0" w:after="0"/>
        <w:jc w:val="center"/>
        <w:rPr/>
      </w:pPr>
      <w:r>
        <w:rPr>
          <w:rFonts w:ascii="Times New Roman;sans-serif" w:hAnsi="Times New Roman;sans-serif"/>
          <w:b w:val="false"/>
          <w:color w:val="000000"/>
          <w:sz w:val="16"/>
        </w:rPr>
        <w:t>Securities registered pursuant to Section 12(g) of the Act: </w:t>
      </w:r>
      <w:r>
        <w:rPr>
          <w:rFonts w:ascii="Times New Roman;sans-serif" w:hAnsi="Times New Roman;sans-serif"/>
          <w:b/>
          <w:color w:val="000000"/>
          <w:sz w:val="16"/>
        </w:rPr>
        <w:t>None</w:t>
      </w:r>
    </w:p>
    <w:p>
      <w:pPr>
        <w:pStyle w:val="TextBody"/>
        <w:bidi w:val="0"/>
        <w:spacing w:before="0" w:after="0"/>
        <w:jc w:val="left"/>
        <w:rPr/>
      </w:pPr>
      <w:r>
        <w:rPr/>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Section 15(d) of the Act. Yes ☐  No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97" w:type="dxa"/>
        <w:jc w:val="left"/>
        <w:tblInd w:w="0" w:type="dxa"/>
        <w:tblLayout w:type="fixed"/>
        <w:tblCellMar>
          <w:top w:w="28" w:type="dxa"/>
          <w:left w:w="28" w:type="dxa"/>
          <w:bottom w:w="28" w:type="dxa"/>
          <w:right w:w="28" w:type="dxa"/>
        </w:tblCellMar>
      </w:tblPr>
      <w:tblGrid>
        <w:gridCol w:w="674"/>
        <w:gridCol w:w="592"/>
        <w:gridCol w:w="594"/>
        <w:gridCol w:w="109"/>
        <w:gridCol w:w="109"/>
        <w:gridCol w:w="109"/>
        <w:gridCol w:w="676"/>
        <w:gridCol w:w="676"/>
        <w:gridCol w:w="958"/>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lineRule="auto" w:line="288" w:before="0" w:after="12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the approximately 462.5 million Common Units held by non-affiliates of the registrant (treating all executive officers and directors of the registrant and holders of 10% or more of the Common Units outstanding, for this purpose, as if they are affiliates of the registrant) on June 28, 2024 was approximately $8.3 billion, based on a closing price of $17.86 per Common Unit as reported on the Nasdaq Global Select Market on such date. </w:t>
      </w:r>
    </w:p>
    <w:p>
      <w:pPr>
        <w:pStyle w:val="TextBody"/>
        <w:bidi w:val="0"/>
        <w:spacing w:lineRule="auto" w:line="288" w:before="0" w:after="12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As of February 14, 2025, there were 703,775,950 Common Units outstanding.</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to be filed pursuant to Regulation 14A pertaining to the 2025 Annual Meeting of Unitholders are incorporated by reference into Part III hereof. The registrant intends to file such Proxy Statement no later than 120 days after the end of the fiscal year covered by this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10-K—2024 ANNUAL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44"/>
        <w:gridCol w:w="387"/>
        <w:gridCol w:w="388"/>
        <w:gridCol w:w="2827"/>
        <w:gridCol w:w="2803"/>
        <w:gridCol w:w="2842"/>
        <w:gridCol w:w="149"/>
        <w:gridCol w:w="149"/>
        <w:gridCol w:w="216"/>
      </w:tblGrid>
      <w:tr>
        <w:trPr/>
        <w:tc>
          <w:tcPr>
            <w:tcW w:w="44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08aef656445fea87274cf3e5c1ee9_13">
              <w:r>
                <w:rPr>
                  <w:rStyle w:val="InternetLink"/>
                  <w:rFonts w:ascii="Times New Roman;sans-serif" w:hAnsi="Times New Roman;sans-serif"/>
                  <w:b/>
                  <w:color w:val="0000FF"/>
                  <w:sz w:val="20"/>
                  <w:u w:val="single"/>
                </w:rPr>
                <w:t>PART I</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52e08aef656445fea87274cf3e5c1ee9_13">
              <w:r>
                <w:rPr>
                  <w:rStyle w:val="InternetLink"/>
                  <w:rFonts w:ascii="Times New Roman;sans-serif" w:hAnsi="Times New Roman;sans-serif"/>
                  <w:b w:val="false"/>
                  <w:strike w:val="false"/>
                  <w:dstrike w:val="false"/>
                  <w:color w:val="000000"/>
                  <w:sz w:val="20"/>
                  <w:u w:val="none"/>
                  <w:effect w:val="none"/>
                </w:rPr>
                <w:t>5</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6">
              <w:r>
                <w:rPr>
                  <w:rStyle w:val="InternetLink"/>
                  <w:rFonts w:ascii="Times New Roman;sans-serif" w:hAnsi="Times New Roman;sans-serif"/>
                  <w:b w:val="false"/>
                  <w:color w:val="0000FF"/>
                  <w:sz w:val="20"/>
                  <w:u w:val="single"/>
                </w:rPr>
                <w:t>Items 1 and 2.</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6">
              <w:r>
                <w:rPr>
                  <w:rStyle w:val="InternetLink"/>
                  <w:rFonts w:ascii="Times New Roman;sans-serif" w:hAnsi="Times New Roman;sans-serif"/>
                  <w:b w:val="false"/>
                  <w:color w:val="0000FF"/>
                  <w:sz w:val="20"/>
                  <w:u w:val="single"/>
                </w:rPr>
                <w:t>Business and 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6">
              <w:r>
                <w:rPr>
                  <w:rStyle w:val="InternetLink"/>
                  <w:rFonts w:ascii="Times New Roman;sans-serif" w:hAnsi="Times New Roman;sans-serif"/>
                  <w:b w:val="false"/>
                  <w:strike w:val="false"/>
                  <w:dstrike w:val="false"/>
                  <w:color w:val="000000"/>
                  <w:sz w:val="20"/>
                  <w:u w:val="none"/>
                  <w:effect w:val="none"/>
                </w:rPr>
                <w:t>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58">
              <w:r>
                <w:rPr>
                  <w:rStyle w:val="InternetLink"/>
                  <w:rFonts w:ascii="Times New Roman;sans-serif" w:hAnsi="Times New Roman;sans-serif"/>
                  <w:b w:val="false"/>
                  <w:color w:val="0000FF"/>
                  <w:sz w:val="20"/>
                  <w:u w:val="single"/>
                </w:rPr>
                <w:t>Item 1A.</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58">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58">
              <w:r>
                <w:rPr>
                  <w:rStyle w:val="InternetLink"/>
                  <w:rFonts w:ascii="Times New Roman;sans-serif" w:hAnsi="Times New Roman;sans-serif"/>
                  <w:b w:val="false"/>
                  <w:strike w:val="false"/>
                  <w:dstrike w:val="false"/>
                  <w:color w:val="000000"/>
                  <w:sz w:val="20"/>
                  <w:u w:val="none"/>
                  <w:effect w:val="none"/>
                </w:rPr>
                <w:t>37</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61">
              <w:r>
                <w:rPr>
                  <w:rStyle w:val="InternetLink"/>
                  <w:rFonts w:ascii="Times New Roman;sans-serif" w:hAnsi="Times New Roman;sans-serif"/>
                  <w:b w:val="false"/>
                  <w:color w:val="0000FF"/>
                  <w:sz w:val="20"/>
                  <w:u w:val="single"/>
                </w:rPr>
                <w:t>Item 1B.</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61">
              <w:r>
                <w:rPr>
                  <w:rStyle w:val="InternetLink"/>
                  <w:rFonts w:ascii="Times New Roman;sans-serif" w:hAnsi="Times New Roman;sans-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61">
              <w:r>
                <w:rPr>
                  <w:rStyle w:val="InternetLink"/>
                  <w:rFonts w:ascii="Times New Roman;sans-serif" w:hAnsi="Times New Roman;sans-serif"/>
                  <w:b w:val="false"/>
                  <w:strike w:val="false"/>
                  <w:dstrike w:val="false"/>
                  <w:color w:val="000000"/>
                  <w:sz w:val="20"/>
                  <w:u w:val="none"/>
                  <w:effect w:val="none"/>
                </w:rPr>
                <w:t>64</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64">
              <w:r>
                <w:rPr>
                  <w:rStyle w:val="InternetLink"/>
                  <w:rFonts w:ascii="Times New Roman;sans-serif" w:hAnsi="Times New Roman;sans-serif"/>
                  <w:b w:val="false"/>
                  <w:color w:val="0000FF"/>
                  <w:sz w:val="20"/>
                  <w:u w:val="single"/>
                </w:rPr>
                <w:t>Item 1C.</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64">
              <w:r>
                <w:rPr>
                  <w:rStyle w:val="InternetLink"/>
                  <w:rFonts w:ascii="Times New Roman;sans-serif" w:hAnsi="Times New Roman;sans-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64">
              <w:r>
                <w:rPr>
                  <w:rStyle w:val="InternetLink"/>
                  <w:rFonts w:ascii="Times New Roman;sans-serif" w:hAnsi="Times New Roman;sans-serif"/>
                  <w:b w:val="false"/>
                  <w:strike w:val="false"/>
                  <w:dstrike w:val="false"/>
                  <w:color w:val="000000"/>
                  <w:sz w:val="20"/>
                  <w:u w:val="none"/>
                  <w:effect w:val="none"/>
                </w:rPr>
                <w:t>65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67">
              <w:r>
                <w:rPr>
                  <w:rStyle w:val="InternetLink"/>
                  <w:rFonts w:ascii="Times New Roman;sans-serif" w:hAnsi="Times New Roman;sans-serif"/>
                  <w:b w:val="false"/>
                  <w:color w:val="0000FF"/>
                  <w:sz w:val="20"/>
                  <w:u w:val="single"/>
                </w:rPr>
                <w:t>Item 3.</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67">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67">
              <w:r>
                <w:rPr>
                  <w:rStyle w:val="InternetLink"/>
                  <w:rFonts w:ascii="Times New Roman;sans-serif" w:hAnsi="Times New Roman;sans-serif"/>
                  <w:b w:val="false"/>
                  <w:strike w:val="false"/>
                  <w:dstrike w:val="false"/>
                  <w:color w:val="000000"/>
                  <w:sz w:val="20"/>
                  <w:u w:val="none"/>
                  <w:effect w:val="none"/>
                </w:rPr>
                <w:t>66</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70">
              <w:r>
                <w:rPr>
                  <w:rStyle w:val="InternetLink"/>
                  <w:rFonts w:ascii="Times New Roman;sans-serif" w:hAnsi="Times New Roman;sans-serif"/>
                  <w:b w:val="false"/>
                  <w:color w:val="0000FF"/>
                  <w:sz w:val="20"/>
                  <w:u w:val="single"/>
                </w:rPr>
                <w:t>Item 4.</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70">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70">
              <w:r>
                <w:rPr>
                  <w:rStyle w:val="InternetLink"/>
                  <w:rFonts w:ascii="Times New Roman;sans-serif" w:hAnsi="Times New Roman;sans-serif"/>
                  <w:b w:val="false"/>
                  <w:strike w:val="false"/>
                  <w:dstrike w:val="false"/>
                  <w:color w:val="000000"/>
                  <w:sz w:val="20"/>
                  <w:u w:val="none"/>
                  <w:effect w:val="none"/>
                </w:rPr>
                <w:t>66</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08aef656445fea87274cf3e5c1ee9_73">
              <w:r>
                <w:rPr>
                  <w:rStyle w:val="InternetLink"/>
                  <w:rFonts w:ascii="Times New Roman;sans-serif" w:hAnsi="Times New Roman;sans-serif"/>
                  <w:b/>
                  <w:color w:val="0000FF"/>
                  <w:sz w:val="20"/>
                  <w:u w:val="single"/>
                </w:rPr>
                <w:t>PART II</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73">
              <w:r>
                <w:rPr>
                  <w:rStyle w:val="InternetLink"/>
                  <w:rFonts w:ascii="Times New Roman;sans-serif" w:hAnsi="Times New Roman;sans-serif"/>
                  <w:b w:val="false"/>
                  <w:strike w:val="false"/>
                  <w:dstrike w:val="false"/>
                  <w:color w:val="000000"/>
                  <w:sz w:val="20"/>
                  <w:u w:val="none"/>
                  <w:effect w:val="none"/>
                </w:rPr>
                <w:t>67</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76">
              <w:r>
                <w:rPr>
                  <w:rStyle w:val="InternetLink"/>
                  <w:rFonts w:ascii="Times New Roman;sans-serif" w:hAnsi="Times New Roman;sans-serif"/>
                  <w:b w:val="false"/>
                  <w:color w:val="0000FF"/>
                  <w:sz w:val="20"/>
                  <w:u w:val="single"/>
                </w:rPr>
                <w:t>Item 5.</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76">
              <w:r>
                <w:rPr>
                  <w:rStyle w:val="InternetLink"/>
                  <w:rFonts w:ascii="Times New Roman;sans-serif" w:hAnsi="Times New Roman;sans-serif"/>
                  <w:b w:val="false"/>
                  <w:color w:val="0000FF"/>
                  <w:sz w:val="20"/>
                  <w:u w:val="single"/>
                </w:rPr>
                <w:t>Market for Registrant’s Common Units, Related Unitholder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76">
              <w:r>
                <w:rPr>
                  <w:rStyle w:val="InternetLink"/>
                  <w:rFonts w:ascii="Times New Roman;sans-serif" w:hAnsi="Times New Roman;sans-serif"/>
                  <w:b w:val="false"/>
                  <w:strike w:val="false"/>
                  <w:dstrike w:val="false"/>
                  <w:color w:val="000000"/>
                  <w:sz w:val="20"/>
                  <w:u w:val="none"/>
                  <w:effect w:val="none"/>
                </w:rPr>
                <w:t>67</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79">
              <w:r>
                <w:rPr>
                  <w:rStyle w:val="InternetLink"/>
                  <w:rFonts w:ascii="Times New Roman;sans-serif" w:hAnsi="Times New Roman;sans-serif"/>
                  <w:b w:val="false"/>
                  <w:color w:val="0000FF"/>
                  <w:sz w:val="20"/>
                  <w:u w:val="single"/>
                </w:rPr>
                <w:t>Item 6.</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79">
              <w:r>
                <w:rPr>
                  <w:rStyle w:val="InternetLink"/>
                  <w:rFonts w:ascii="Times New Roman;sans-serif" w:hAnsi="Times New Roman;sans-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79">
              <w:r>
                <w:rPr>
                  <w:rStyle w:val="InternetLink"/>
                  <w:rFonts w:ascii="Times New Roman;sans-serif" w:hAnsi="Times New Roman;sans-serif"/>
                  <w:b w:val="false"/>
                  <w:strike w:val="false"/>
                  <w:dstrike w:val="false"/>
                  <w:color w:val="000000"/>
                  <w:sz w:val="20"/>
                  <w:u w:val="none"/>
                  <w:effect w:val="none"/>
                </w:rPr>
                <w:t>68</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82">
              <w:r>
                <w:rPr>
                  <w:rStyle w:val="InternetLink"/>
                  <w:rFonts w:ascii="Times New Roman;sans-serif" w:hAnsi="Times New Roman;sans-serif"/>
                  <w:b w:val="false"/>
                  <w:color w:val="0000FF"/>
                  <w:sz w:val="20"/>
                  <w:u w:val="single"/>
                </w:rPr>
                <w:t>Item 7.</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82">
              <w:r>
                <w:rPr>
                  <w:rStyle w:val="InternetLink"/>
                  <w:rFonts w:ascii="Times New Roman;sans-serif" w:hAnsi="Times New Roman;sans-serif"/>
                  <w:b w:val="false"/>
                  <w:strike w:val="false"/>
                  <w:dstrike w:val="false"/>
                  <w:color w:val="000000"/>
                  <w:sz w:val="20"/>
                  <w:u w:val="none"/>
                  <w:effect w:val="none"/>
                </w:rPr>
                <w:t>68</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06">
              <w:r>
                <w:rPr>
                  <w:rStyle w:val="InternetLink"/>
                  <w:rFonts w:ascii="Times New Roman;sans-serif" w:hAnsi="Times New Roman;sans-serif"/>
                  <w:b w:val="false"/>
                  <w:color w:val="0000FF"/>
                  <w:sz w:val="20"/>
                  <w:u w:val="single"/>
                </w:rPr>
                <w:t>Item 7A.</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06">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06">
              <w:r>
                <w:rPr>
                  <w:rStyle w:val="InternetLink"/>
                  <w:rFonts w:ascii="Times New Roman;sans-serif" w:hAnsi="Times New Roman;sans-serif"/>
                  <w:b w:val="false"/>
                  <w:strike w:val="false"/>
                  <w:dstrike w:val="false"/>
                  <w:color w:val="000000"/>
                  <w:sz w:val="20"/>
                  <w:u w:val="none"/>
                  <w:effect w:val="none"/>
                </w:rPr>
                <w:t>93</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09">
              <w:r>
                <w:rPr>
                  <w:rStyle w:val="InternetLink"/>
                  <w:rFonts w:ascii="Times New Roman;sans-serif" w:hAnsi="Times New Roman;sans-serif"/>
                  <w:b w:val="false"/>
                  <w:color w:val="0000FF"/>
                  <w:sz w:val="20"/>
                  <w:u w:val="single"/>
                </w:rPr>
                <w:t>Item 8.</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09">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09">
              <w:r>
                <w:rPr>
                  <w:rStyle w:val="InternetLink"/>
                  <w:rFonts w:ascii="Times New Roman;sans-serif" w:hAnsi="Times New Roman;sans-serif"/>
                  <w:b w:val="false"/>
                  <w:strike w:val="false"/>
                  <w:dstrike w:val="false"/>
                  <w:color w:val="000000"/>
                  <w:sz w:val="20"/>
                  <w:u w:val="none"/>
                  <w:effect w:val="none"/>
                </w:rPr>
                <w:t>94</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12">
              <w:r>
                <w:rPr>
                  <w:rStyle w:val="InternetLink"/>
                  <w:rFonts w:ascii="Times New Roman;sans-serif" w:hAnsi="Times New Roman;sans-serif"/>
                  <w:b w:val="false"/>
                  <w:color w:val="0000FF"/>
                  <w:sz w:val="20"/>
                  <w:u w:val="single"/>
                </w:rPr>
                <w:t>Item 9.</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1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12">
              <w:r>
                <w:rPr>
                  <w:rStyle w:val="InternetLink"/>
                  <w:rFonts w:ascii="Times New Roman;sans-serif" w:hAnsi="Times New Roman;sans-serif"/>
                  <w:b w:val="false"/>
                  <w:strike w:val="false"/>
                  <w:dstrike w:val="false"/>
                  <w:color w:val="000000"/>
                  <w:sz w:val="20"/>
                  <w:u w:val="none"/>
                  <w:effect w:val="none"/>
                </w:rPr>
                <w:t>94</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15">
              <w:r>
                <w:rPr>
                  <w:rStyle w:val="InternetLink"/>
                  <w:rFonts w:ascii="Times New Roman;sans-serif" w:hAnsi="Times New Roman;sans-serif"/>
                  <w:b w:val="false"/>
                  <w:color w:val="0000FF"/>
                  <w:sz w:val="20"/>
                  <w:u w:val="single"/>
                </w:rPr>
                <w:t>Item 9A.</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15">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15">
              <w:r>
                <w:rPr>
                  <w:rStyle w:val="InternetLink"/>
                  <w:rFonts w:ascii="Times New Roman;sans-serif" w:hAnsi="Times New Roman;sans-serif"/>
                  <w:b w:val="false"/>
                  <w:strike w:val="false"/>
                  <w:dstrike w:val="false"/>
                  <w:color w:val="000000"/>
                  <w:sz w:val="20"/>
                  <w:u w:val="none"/>
                  <w:effect w:val="none"/>
                </w:rPr>
                <w:t>94</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18">
              <w:r>
                <w:rPr>
                  <w:rStyle w:val="InternetLink"/>
                  <w:rFonts w:ascii="Times New Roman;sans-serif" w:hAnsi="Times New Roman;sans-serif"/>
                  <w:b w:val="false"/>
                  <w:color w:val="0000FF"/>
                  <w:sz w:val="20"/>
                  <w:u w:val="single"/>
                </w:rPr>
                <w:t>Item 9B.</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18">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18">
              <w:r>
                <w:rPr>
                  <w:rStyle w:val="InternetLink"/>
                  <w:rFonts w:ascii="Times New Roman;sans-serif" w:hAnsi="Times New Roman;sans-serif"/>
                  <w:b w:val="false"/>
                  <w:strike w:val="false"/>
                  <w:dstrike w:val="false"/>
                  <w:color w:val="000000"/>
                  <w:sz w:val="20"/>
                  <w:u w:val="none"/>
                  <w:effect w:val="none"/>
                </w:rPr>
                <w:t>95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21">
              <w:r>
                <w:rPr>
                  <w:rStyle w:val="InternetLink"/>
                  <w:rFonts w:ascii="Times New Roman;sans-serif" w:hAnsi="Times New Roman;sans-serif"/>
                  <w:b w:val="false"/>
                  <w:color w:val="0000FF"/>
                  <w:sz w:val="20"/>
                  <w:u w:val="single"/>
                </w:rPr>
                <w:t>Item 9C.</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21">
              <w:r>
                <w:rPr>
                  <w:rStyle w:val="InternetLink"/>
                  <w:rFonts w:ascii="Times New Roman;sans-serif" w:hAnsi="Times New Roman;sans-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21">
              <w:r>
                <w:rPr>
                  <w:rStyle w:val="InternetLink"/>
                  <w:rFonts w:ascii="Times New Roman;sans-serif" w:hAnsi="Times New Roman;sans-serif"/>
                  <w:b w:val="false"/>
                  <w:strike w:val="false"/>
                  <w:dstrike w:val="false"/>
                  <w:color w:val="000000"/>
                  <w:sz w:val="20"/>
                  <w:u w:val="none"/>
                  <w:effect w:val="none"/>
                </w:rPr>
                <w:t>95</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08aef656445fea87274cf3e5c1ee9_124">
              <w:r>
                <w:rPr>
                  <w:rStyle w:val="InternetLink"/>
                  <w:rFonts w:ascii="Times New Roman;sans-serif" w:hAnsi="Times New Roman;sans-serif"/>
                  <w:b/>
                  <w:color w:val="0000FF"/>
                  <w:sz w:val="20"/>
                  <w:u w:val="single"/>
                </w:rPr>
                <w:t>PART III</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24">
              <w:r>
                <w:rPr>
                  <w:rStyle w:val="InternetLink"/>
                  <w:rFonts w:ascii="Times New Roman;sans-serif" w:hAnsi="Times New Roman;sans-serif"/>
                  <w:b w:val="false"/>
                  <w:strike w:val="false"/>
                  <w:dstrike w:val="false"/>
                  <w:color w:val="000000"/>
                  <w:sz w:val="20"/>
                  <w:u w:val="none"/>
                  <w:effect w:val="none"/>
                </w:rPr>
                <w:t>96</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27">
              <w:r>
                <w:rPr>
                  <w:rStyle w:val="InternetLink"/>
                  <w:rFonts w:ascii="Times New Roman;sans-serif" w:hAnsi="Times New Roman;sans-serif"/>
                  <w:b w:val="false"/>
                  <w:color w:val="0000FF"/>
                  <w:sz w:val="20"/>
                  <w:u w:val="single"/>
                </w:rPr>
                <w:t>Item 10.</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27">
              <w:r>
                <w:rPr>
                  <w:rStyle w:val="InternetLink"/>
                  <w:rFonts w:ascii="Times New Roman;sans-serif" w:hAnsi="Times New Roman;sans-serif"/>
                  <w:b w:val="false"/>
                  <w:color w:val="0000FF"/>
                  <w:sz w:val="20"/>
                  <w:u w:val="single"/>
                </w:rPr>
                <w:t>Directors and Executive Officers of Our General Partner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27">
              <w:r>
                <w:rPr>
                  <w:rStyle w:val="InternetLink"/>
                  <w:rFonts w:ascii="Times New Roman;sans-serif" w:hAnsi="Times New Roman;sans-serif"/>
                  <w:b w:val="false"/>
                  <w:strike w:val="false"/>
                  <w:dstrike w:val="false"/>
                  <w:color w:val="000000"/>
                  <w:sz w:val="20"/>
                  <w:u w:val="none"/>
                  <w:effect w:val="none"/>
                </w:rPr>
                <w:t>96</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30">
              <w:r>
                <w:rPr>
                  <w:rStyle w:val="InternetLink"/>
                  <w:rFonts w:ascii="Times New Roman;sans-serif" w:hAnsi="Times New Roman;sans-serif"/>
                  <w:b w:val="false"/>
                  <w:color w:val="0000FF"/>
                  <w:sz w:val="20"/>
                  <w:u w:val="single"/>
                </w:rPr>
                <w:t>Item 11.</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30">
              <w:r>
                <w:rPr>
                  <w:rStyle w:val="InternetLink"/>
                  <w:rFonts w:ascii="Times New Roman;sans-serif" w:hAnsi="Times New Roman;sans-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30">
              <w:r>
                <w:rPr>
                  <w:rStyle w:val="InternetLink"/>
                  <w:rFonts w:ascii="Times New Roman;sans-serif" w:hAnsi="Times New Roman;sans-serif"/>
                  <w:b w:val="false"/>
                  <w:strike w:val="false"/>
                  <w:dstrike w:val="false"/>
                  <w:color w:val="000000"/>
                  <w:sz w:val="20"/>
                  <w:u w:val="none"/>
                  <w:effect w:val="none"/>
                </w:rPr>
                <w:t>96</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33">
              <w:r>
                <w:rPr>
                  <w:rStyle w:val="InternetLink"/>
                  <w:rFonts w:ascii="Times New Roman;sans-serif" w:hAnsi="Times New Roman;sans-serif"/>
                  <w:b w:val="false"/>
                  <w:color w:val="0000FF"/>
                  <w:sz w:val="20"/>
                  <w:u w:val="single"/>
                </w:rPr>
                <w:t>Item 12.</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33">
              <w:r>
                <w:rPr>
                  <w:rStyle w:val="InternetLink"/>
                  <w:rFonts w:ascii="Times New Roman;sans-serif" w:hAnsi="Times New Roman;sans-serif"/>
                  <w:b w:val="false"/>
                  <w:color w:val="0000FF"/>
                  <w:sz w:val="20"/>
                  <w:u w:val="single"/>
                </w:rPr>
                <w:t>Security Ownership of Certain Beneficial Owners and Management and Related Unitholder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33">
              <w:r>
                <w:rPr>
                  <w:rStyle w:val="InternetLink"/>
                  <w:rFonts w:ascii="Times New Roman;sans-serif" w:hAnsi="Times New Roman;sans-serif"/>
                  <w:b w:val="false"/>
                  <w:strike w:val="false"/>
                  <w:dstrike w:val="false"/>
                  <w:color w:val="000000"/>
                  <w:sz w:val="20"/>
                  <w:u w:val="none"/>
                  <w:effect w:val="none"/>
                </w:rPr>
                <w:t>96</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36">
              <w:r>
                <w:rPr>
                  <w:rStyle w:val="InternetLink"/>
                  <w:rFonts w:ascii="Times New Roman;sans-serif" w:hAnsi="Times New Roman;sans-serif"/>
                  <w:b w:val="false"/>
                  <w:color w:val="0000FF"/>
                  <w:sz w:val="20"/>
                  <w:u w:val="single"/>
                </w:rPr>
                <w:t>Item 13.</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3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36">
              <w:r>
                <w:rPr>
                  <w:rStyle w:val="InternetLink"/>
                  <w:rFonts w:ascii="Times New Roman;sans-serif" w:hAnsi="Times New Roman;sans-serif"/>
                  <w:b w:val="false"/>
                  <w:strike w:val="false"/>
                  <w:dstrike w:val="false"/>
                  <w:color w:val="000000"/>
                  <w:sz w:val="20"/>
                  <w:u w:val="none"/>
                  <w:effect w:val="none"/>
                </w:rPr>
                <w:t>97</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39">
              <w:r>
                <w:rPr>
                  <w:rStyle w:val="InternetLink"/>
                  <w:rFonts w:ascii="Times New Roman;sans-serif" w:hAnsi="Times New Roman;sans-serif"/>
                  <w:b w:val="false"/>
                  <w:color w:val="0000FF"/>
                  <w:sz w:val="20"/>
                  <w:u w:val="single"/>
                </w:rPr>
                <w:t>Item 14.</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39">
              <w:r>
                <w:rPr>
                  <w:rStyle w:val="InternetLink"/>
                  <w:rFonts w:ascii="Times New Roman;sans-serif" w:hAnsi="Times New Roman;sans-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39">
              <w:r>
                <w:rPr>
                  <w:rStyle w:val="InternetLink"/>
                  <w:rFonts w:ascii="Times New Roman;sans-serif" w:hAnsi="Times New Roman;sans-serif"/>
                  <w:b w:val="false"/>
                  <w:strike w:val="false"/>
                  <w:dstrike w:val="false"/>
                  <w:color w:val="000000"/>
                  <w:sz w:val="20"/>
                  <w:u w:val="none"/>
                  <w:effect w:val="none"/>
                </w:rPr>
                <w:t>97</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08aef656445fea87274cf3e5c1ee9_142">
              <w:r>
                <w:rPr>
                  <w:rStyle w:val="InternetLink"/>
                  <w:rFonts w:ascii="Times New Roman;sans-serif" w:hAnsi="Times New Roman;sans-serif"/>
                  <w:b/>
                  <w:color w:val="0000FF"/>
                  <w:sz w:val="20"/>
                  <w:u w:val="single"/>
                </w:rPr>
                <w:t>PART IV</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42">
              <w:r>
                <w:rPr>
                  <w:rStyle w:val="InternetLink"/>
                  <w:rFonts w:ascii="Times New Roman;sans-serif" w:hAnsi="Times New Roman;sans-serif"/>
                  <w:b w:val="false"/>
                  <w:strike w:val="false"/>
                  <w:dstrike w:val="false"/>
                  <w:color w:val="000000"/>
                  <w:sz w:val="20"/>
                  <w:u w:val="none"/>
                  <w:effect w:val="none"/>
                </w:rPr>
                <w:t>98</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45">
              <w:r>
                <w:rPr>
                  <w:rStyle w:val="InternetLink"/>
                  <w:rFonts w:ascii="Times New Roman;sans-serif" w:hAnsi="Times New Roman;sans-serif"/>
                  <w:b w:val="false"/>
                  <w:color w:val="0000FF"/>
                  <w:sz w:val="20"/>
                  <w:u w:val="single"/>
                </w:rPr>
                <w:t>Item 15.</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45">
              <w:r>
                <w:rPr>
                  <w:rStyle w:val="InternetLink"/>
                  <w:rFonts w:ascii="Times New Roman;sans-serif" w:hAnsi="Times New Roman;sans-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45">
              <w:r>
                <w:rPr>
                  <w:rStyle w:val="InternetLink"/>
                  <w:rFonts w:ascii="Times New Roman;sans-serif" w:hAnsi="Times New Roman;sans-serif"/>
                  <w:b w:val="false"/>
                  <w:strike w:val="false"/>
                  <w:dstrike w:val="false"/>
                  <w:color w:val="000000"/>
                  <w:sz w:val="20"/>
                  <w:u w:val="none"/>
                  <w:effect w:val="none"/>
                </w:rPr>
                <w:t>98</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51">
              <w:r>
                <w:rPr>
                  <w:rStyle w:val="InternetLink"/>
                  <w:rFonts w:ascii="Times New Roman;sans-serif" w:hAnsi="Times New Roman;sans-serif"/>
                  <w:b w:val="false"/>
                  <w:color w:val="0000FF"/>
                  <w:sz w:val="20"/>
                  <w:u w:val="single"/>
                </w:rPr>
                <w:t>Item 16.</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51">
              <w:r>
                <w:rPr>
                  <w:rStyle w:val="InternetLink"/>
                  <w:rFonts w:ascii="Times New Roman;sans-serif" w:hAnsi="Times New Roman;sans-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51">
              <w:r>
                <w:rPr>
                  <w:rStyle w:val="InternetLink"/>
                  <w:rFonts w:ascii="Times New Roman;sans-serif" w:hAnsi="Times New Roman;sans-serif"/>
                  <w:b w:val="false"/>
                  <w:strike w:val="false"/>
                  <w:dstrike w:val="false"/>
                  <w:color w:val="000000"/>
                  <w:sz w:val="20"/>
                  <w:u w:val="none"/>
                  <w:effect w:val="none"/>
                </w:rPr>
                <w:t>104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refinery capacity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acquisitions, divestitures, joint ventures or other strategic opportunities and realize benefits therefrom;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or our service providers’ electronic and computer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 (including hurricanes, floods, wildfires and drought);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pace of development of natural gas or other infrastructure and its impact on expected crude oil production growth in the Permian Basin;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maintenance of our credit ratings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costs and expenses related to unexpected or unplanned capital or maintenance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amplification of other risks caused by volatile or closed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deferral of current revenue recognition attributable to deficiency payments received from customers who fail to ship or move their minimum contracted volumes;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risks related to the development and operation of our assets;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Items 1 and 2.  </w:t>
      </w:r>
      <w:r>
        <w:rPr>
          <w:rFonts w:ascii="Times New Roman;sans-serif" w:hAnsi="Times New Roman;sans-serif"/>
          <w:b/>
          <w:i/>
          <w:color w:val="000000"/>
          <w:sz w:val="20"/>
        </w:rPr>
        <w:t>Business and Properties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 is a publicly traded Delaware limited partnership. Our common units are listed on the Nasdaq Global Select Market (“Nasdaq”) under the ticker symbol “PAA.” 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based on the fundamental thesis that hydrocarbons are essential to the security and advancement of human quality of life and will continue to play a major long-term role in the world economy.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and that North American crude oil and NGL production will be required to support the growth in demand.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assets are owned, and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Organizational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diagram below shows our organizational structure as of December 31, 2024 in a summarized format:</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jc w:val="center"/>
        <w:rPr/>
      </w:pPr>
      <w:r>
        <w:rPr/>
        <w:drawing>
          <wp:inline distT="0" distB="0" distL="0" distR="0">
            <wp:extent cx="6515100" cy="78962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515100" cy="78962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Each Class C share represents a non-economic limited partner interest in PAGP. The Class C shares function as a “pass-through” voting mechanism through which we vote at the direction of and as proxy for our common unitholders (other than AAP) and Series A preferred unitholders on the election of directors.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Series B preferred units, which are non-voting securities, and common units held by AAP, which already participate in such elections through the PAGP Class A and Class B shares, are not entitled to vote in the election of directors.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On January 31, 2025, the Partnership repurchased approximately 12.7 million Series A Preferred Units. See Note 11 to our Consolidated Financial Statements for additional information regarding this repurchase.</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The Partnership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commercial expertise. We intend to execute our strategy by:</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Focusing on operational excellence, continuous improvement and running a safe, reliable, and environmentally and socially responsible operation;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Using our well-positioned network of midstream infrastructure in conjunction with our commercial capabilities to provide our customers with market access, flexibility and value chain solutions, capture market opportunities, address physical market imbalances and generate and grow sustainable cash flow and margin while maintaining an acceptable risk profile;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Optimizing and enhancing our asset portfolio and operations (through disciplined and accretive capital investments and the pursuit of emerging energy opportunities) to maximize returns on invested capital; and</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 xml:space="preserve">Pursuing a balanced, long-term financial strategy that is focused on maintaining an investment grade credit profile and enhancing financial flexibility by making disciplined capital allocation decisions.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successful execution of this strategy will enable us to generate and grow sustainable earnings and cash flow, and will position us to maintain an investment grade credit profile and increase returns to equity holders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Competitive Strengths </w: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competitive strengths position us to successfully execute our principal business strategy:</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We own a strategically located, geographically diverse and interconnected large-scale asset base that provides operational flexibility and commercial optionality.</w:t>
      </w:r>
      <w:r>
        <w:rPr>
          <w:color w:val="000000"/>
        </w:rPr>
        <w:t xml:space="preserve"> </w:t>
      </w:r>
      <w:r>
        <w:rPr>
          <w:rFonts w:ascii="Times New Roman;sans-serif" w:hAnsi="Times New Roman;sans-serif"/>
          <w:b w:val="false"/>
          <w:color w:val="000000"/>
          <w:sz w:val="20"/>
        </w:rPr>
        <w:t>The majority of our transportation assets are in crude oil service, are located in well-established crude oil producing regions (with our largest asset presence in the Permian Basin) and other transportation corridors and are connected, directly or indirectly, with our terminals and facilities assets. The majority of our terminals and facilities assets are located at major trading locations and premium markets that serve as gateways to major North American refinery and distribution markets and key export terminals where we have strong business relationships. In addition, our pipeline, rail, truck and storage assets provide our customers and us with significant flexibility and optionality to satisfy demand, balance markets, and participate in emerging energy opportunities.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 xml:space="preserve">Our full-service integrated model and long-term focus attracts a broad, diverse and high-quality customer base that supports sustainable fee-based cash flow generation. </w:t>
      </w:r>
      <w:r>
        <w:rPr>
          <w:rFonts w:ascii="Times New Roman;sans-serif" w:hAnsi="Times New Roman;sans-serif"/>
          <w:b w:val="false"/>
          <w:color w:val="000000"/>
          <w:sz w:val="20"/>
        </w:rPr>
        <w:t xml:space="preserve">Our strategically located and interconnected asset base enables us to provide our customers with a wide variety of 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We possess specialized crude oil and NGL market knowledge. </w:t>
      </w:r>
      <w:r>
        <w:rPr>
          <w:rFonts w:ascii="Times New Roman;sans-serif" w:hAnsi="Times New Roman;sans-serif"/>
          <w:b w:val="false"/>
          <w:color w:val="000000"/>
          <w:sz w:val="20"/>
        </w:rPr>
        <w:t>We believe our business relationships with participants in various phases of the 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Our merchant activities provide us with the opportunity to realize incremental margins. </w:t>
      </w:r>
      <w:r>
        <w:rPr>
          <w:rFonts w:ascii="Times New Roman;sans-serif" w:hAnsi="Times New Roman;sans-serif"/>
          <w:b w:val="false"/>
          <w:color w:val="000000"/>
          <w:sz w:val="20"/>
        </w:rPr>
        <w:t xml:space="preserve">We believe the variety of our merchant activities provides us with a low-risk opportunity to generate incremental margin, the amount of which may vary depending on market conditions (such as differentials and certain competitive factors).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We have the financial, strategic and technical skills needed to execute strategic transactions that support our business and financial objectives, including joint ventures, joint ownership arrangements, acquisitions and divestitures.</w:t>
      </w:r>
      <w:r>
        <w:rPr>
          <w:color w:val="000000"/>
        </w:rPr>
        <w:t xml:space="preserve"> </w:t>
      </w:r>
      <w:r>
        <w:rPr>
          <w:rFonts w:ascii="Times New Roman;sans-serif" w:hAnsi="Times New Roman;sans-serif"/>
          <w:b w:val="false"/>
          <w:color w:val="000000"/>
          <w:sz w:val="20"/>
        </w:rPr>
        <w:t>We are a party to more than 25 joint ventures and/or joint ownership arrangements (including the Permian JV that was formed in October 2021) with strategic partners that support the success of the applicable project or investment.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have an experienced management team whose interests are aligned with those of our equity holders.</w:t>
      </w:r>
      <w:r>
        <w:rPr>
          <w:color w:val="000000"/>
        </w:rPr>
        <w:t xml:space="preserve"> </w:t>
      </w:r>
      <w:r>
        <w:rPr>
          <w:rFonts w:ascii="Times New Roman;sans-serif" w:hAnsi="Times New Roman;sans-serif"/>
          <w:b w:val="false"/>
          <w:color w:val="000000"/>
          <w:sz w:val="20"/>
        </w:rPr>
        <w:t>Our executive management team has an average of 30+ years of experience spanning across all sectors of the energy industry and an average of over 15 years of experience with us or our predecessors and affiliates. In addition, through their ownership of equity interests and grants of long-term equity incentive awards, our management team has a vested interest in our continued success that is aligned with the interests of our equity 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our initial public offering in 1998, we have completed and integrated over 100 acquisitions with an aggregate purchase price of approximately $14.7 billion, implemented investment capital projects totaling approximately $18.1 billion, returned $19.3 billion to our equity holders, primarily in the form of distributions, and enhanced our credit rating to investment grade from non-investment grade. Additionally, since 2016 we have completed more than $4.9 billion of divestitures of non-core assets and/or strategic sales of partial interests in selected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Targeted Credit Profile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financial strategy, we intend to maintain a credit profile that we believe is consistent with investment grade credit ratings. We target a credit profile with the following attributes: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average long-term debt-to-total capitalization ratio of approximately 50% or less;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average total debt-to-total capitalization ratio of approximately 60% or less;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average Adjusted EBITDA-to-interest coverage multiple of approximately 3.3x or better.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Item 7. “Management’s Discussion and Analysis of Financial Condition and Results of Operations—Results of Operations—Non-GAAP Financial Measures” for our definition of Adjusted EBITDA and Adjusted EBITDA attributable to PAA.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our publicly-traded senior notes comprised approximately 99% of our long-term debt. Additionally, we routinely incur short-term debt primarily in connection with our merchant activities that involve the simultaneous purchase and forward sale of crude oil and NGL. The crude oil and NGL purchased in these transactions are volumetrically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Values and Sustainability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our officers and employees conduct themselves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Annual environmental and safety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References to sustainability in this report incorporate ESG factors. See “—Available Information” below.</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Segments and Associated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are conducted through two segments — Crude Oil and NGL. We have an extensive network of pipeline transportation, terminalling, storage and gathering assets in key crude oil and NGL producing basins and transportation corridors and at major market hubs in the United States and Canada.</w:t>
      </w:r>
    </w:p>
    <w:p>
      <w:pPr>
        <w:pStyle w:val="TextBody"/>
        <w:bidi w:val="0"/>
        <w:spacing w:before="0" w:after="0"/>
        <w:jc w:val="left"/>
        <w:rPr/>
      </w:pPr>
      <w:r>
        <w:rPr/>
      </w:r>
    </w:p>
    <w:p>
      <w:pPr>
        <w:pStyle w:val="TextBody"/>
        <w:bidi w:val="0"/>
        <w:spacing w:before="0" w:after="0"/>
        <w:ind w:left="0" w:right="0" w:firstLine="720"/>
        <w:jc w:val="center"/>
        <w:rPr/>
      </w:pPr>
      <w:r>
        <w:rPr/>
        <w:drawing>
          <wp:inline distT="0" distB="0" distL="0" distR="0">
            <wp:extent cx="6515100" cy="56197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6515100" cy="5619750"/>
                    </a:xfrm>
                    <a:prstGeom prst="rect">
                      <a:avLst/>
                    </a:prstGeom>
                  </pic:spPr>
                </pic:pic>
              </a:graphicData>
            </a:graphic>
          </wp:inline>
        </w:drawing>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description of the activities and assets for each of our segments.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Crude Oil Segment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Market and Business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lack of fungibility of the various grades of crude oil can create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figure below provides an illustrative and simplified overview of the assets and activities associated with our Crude Oil segment (within the shaded area):</w:t>
      </w:r>
    </w:p>
    <w:p>
      <w:pPr>
        <w:pStyle w:val="TextBody"/>
        <w:bidi w:val="0"/>
        <w:spacing w:before="0" w:after="0"/>
        <w:jc w:val="left"/>
        <w:rPr/>
      </w:pPr>
      <w:r>
        <w:rPr/>
      </w:r>
    </w:p>
    <w:p>
      <w:pPr>
        <w:pStyle w:val="TextBody"/>
        <w:bidi w:val="0"/>
        <w:spacing w:before="0" w:after="0"/>
        <w:jc w:val="center"/>
        <w:rPr/>
      </w:pPr>
      <w:r>
        <w:rPr/>
        <w:drawing>
          <wp:inline distT="0" distB="0" distL="0" distR="0">
            <wp:extent cx="6515100" cy="154305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6515100" cy="1543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and processing facilities. We also generate significant revenue through a variety of commercial and merchant activities that often result in increased utilization of our transportation and storage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 Assets Overview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assets utilized in our Crude Oil segment included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18,800 miles of active crude oil transportation pipelines and gathering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72 million barrels of commercial crude oil storage capacity at our terminalling and storage locations;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40 million barrels of active, above-ground tank capacity used to facilitate pipeline throughput or support our rail assets and help maintain product quality segregation;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four marine facilities in the United States;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condensate processing facility with an aggregate processing capacity of 120,000 barrels per day;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eight crude oil rail terminals with aggregate loading and unloading capacity of 264,000 and 380,000 barrels per day,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1,250 crude oil railcars;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815 trucks and 1,335 trailers.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assets include the linefill associated with our commercial activities, including approximately: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15 million barrels of crude oil linefill in pipelines and tanks owned by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3 million barrels of crude oil utilized as linefill in pipelines owned by third parties or otherwise required as long-term inventory.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about our pipelines and terminals by geographic location, including active pipeline miles and commercial storage capacity as of December 31, 2024 and average daily volumes transported on our crude oil pipelines for the year ended December 31, 2024:</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50"/>
        <w:gridCol w:w="579"/>
        <w:gridCol w:w="557"/>
        <w:gridCol w:w="109"/>
        <w:gridCol w:w="109"/>
        <w:gridCol w:w="109"/>
        <w:gridCol w:w="509"/>
        <w:gridCol w:w="509"/>
        <w:gridCol w:w="511"/>
        <w:gridCol w:w="109"/>
        <w:gridCol w:w="109"/>
        <w:gridCol w:w="109"/>
        <w:gridCol w:w="644"/>
        <w:gridCol w:w="637"/>
        <w:gridCol w:w="639"/>
        <w:gridCol w:w="109"/>
        <w:gridCol w:w="109"/>
        <w:gridCol w:w="109"/>
        <w:gridCol w:w="471"/>
        <w:gridCol w:w="471"/>
        <w:gridCol w:w="473"/>
        <w:gridCol w:w="109"/>
        <w:gridCol w:w="109"/>
        <w:gridCol w:w="109"/>
        <w:gridCol w:w="626"/>
        <w:gridCol w:w="626"/>
        <w:gridCol w:w="895"/>
      </w:tblGrid>
      <w:tr>
        <w:trPr/>
        <w:tc>
          <w:tcPr>
            <w:tcW w:w="75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Region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Approximate System Miles </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2024 Average</w:t>
            </w:r>
          </w:p>
          <w:p>
            <w:pPr>
              <w:pStyle w:val="TableContents"/>
              <w:bidi w:val="0"/>
              <w:spacing w:lineRule="auto" w:line="240" w:before="0" w:after="0"/>
              <w:jc w:val="center"/>
              <w:rPr/>
            </w:pPr>
            <w:r>
              <w:rPr>
                <w:rFonts w:ascii="Times New Roman;sans-serif" w:hAnsi="Times New Roman;sans-serif"/>
                <w:b/>
                <w:color w:val="000000"/>
                <w:sz w:val="17"/>
              </w:rPr>
              <w:t>Barrels per Day </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Commercial Storage Capacity </w:t>
            </w:r>
            <w:r>
              <w:rPr>
                <w:rFonts w:ascii="Times New Roman;sans-serif" w:hAnsi="Times New Roman;sans-serif"/>
                <w:b/>
                <w:color w:val="000000"/>
                <w:sz w:val="11"/>
              </w:rPr>
              <w:t>(3)</w:t>
            </w:r>
          </w:p>
        </w:tc>
      </w:tr>
      <w:tr>
        <w:trPr/>
        <w:tc>
          <w:tcPr>
            <w:tcW w:w="1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Basin: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Gathering pipelines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Intra-basin pipelines</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Long-haul pipelines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 Basin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Texas/Eagle 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Mid-Continent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Gulf Coast</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Rocky Mountain</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Canada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18,800</w:t>
            </w:r>
            <w:r>
              <w:rPr>
                <w:color w:val="000000"/>
              </w:rPr>
              <w:t> </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8,934</w:t>
            </w:r>
            <w:r>
              <w:rPr>
                <w:color w:val="000000"/>
              </w:rPr>
              <w:t>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w:t>
            </w:r>
            <w:r>
              <w:rPr>
                <w:color w:val="000000"/>
              </w:rPr>
              <w:t> </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total mileage of pipelines in which we own less than 100%.</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Commercial storage capacity in millions of barrels. Does not include operational storage capacity used to facilitate pipeline throughput and maintain product quality segregation.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pipelines operated by a third party.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Infrastructure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pipelines are comprised of:</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gathering pipelines</w:t>
      </w:r>
      <w:r>
        <w:rPr>
          <w:color w:val="000000"/>
        </w:rPr>
        <w:t xml:space="preserve"> </w:t>
      </w:r>
      <w:r>
        <w:rPr>
          <w:rFonts w:ascii="Times New Roman;sans-serif" w:hAnsi="Times New Roman;sans-serif"/>
          <w:b w:val="false"/>
          <w:color w:val="000000"/>
          <w:sz w:val="20"/>
        </w:rPr>
        <w:t>that move crude oil from wellhead or central battery connections to regional market hubs;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intra-basin pipelines</w:t>
      </w:r>
      <w:r>
        <w:rPr>
          <w:color w:val="000000"/>
        </w:rPr>
        <w:t xml:space="preserve"> </w:t>
      </w:r>
      <w:r>
        <w:rPr>
          <w:rFonts w:ascii="Times New Roman;sans-serif" w:hAnsi="Times New Roman;sans-serif"/>
          <w:b w:val="false"/>
          <w:color w:val="000000"/>
          <w:sz w:val="20"/>
        </w:rPr>
        <w:t>that are used as a hub system allowing for a significant amount of flexibility by creating connections between regional hub locations;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long-haul pipelines</w:t>
      </w:r>
      <w:r>
        <w:rPr>
          <w:color w:val="000000"/>
        </w:rPr>
        <w:t xml:space="preserve"> </w:t>
      </w:r>
      <w:r>
        <w:rPr>
          <w:rFonts w:ascii="Times New Roman;sans-serif" w:hAnsi="Times New Roman;sans-serif"/>
          <w:b w:val="false"/>
          <w:color w:val="000000"/>
          <w:sz w:val="20"/>
        </w:rPr>
        <w:t>that move crude oil from (i) regional market hubs to major market hubs such as Cushing, Oklahoma or to export facilities, including our Corpus Christi terminal, or (ii) a refinery or other major market hubs, such as the Houston market.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most significant assets are described further below by region.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Permian Basin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Gathering Pipelines. </w:t>
      </w:r>
      <w:r>
        <w:rPr>
          <w:rFonts w:ascii="Times New Roman;sans-serif" w:hAnsi="Times New Roman;sans-serif"/>
          <w:b w:val="false"/>
          <w:color w:val="000000"/>
          <w:sz w:val="20"/>
        </w:rPr>
        <w:t>We operate over 5,300 miles of gathering pipelines in both the Midland Basin and the Delaware Basin that in aggregate represent approximately 3.8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 The Permian JV acquired an additional Delaware Basin gathering system in January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Intra-Basin Pipelines. </w:t>
      </w:r>
      <w:r>
        <w:rPr>
          <w:rFonts w:ascii="Times New Roman;sans-serif" w:hAnsi="Times New Roman;sans-serif"/>
          <w:b w:val="false"/>
          <w:color w:val="000000"/>
          <w:sz w:val="20"/>
        </w:rPr>
        <w:t xml:space="preserve">Our intra-basin pipeline system in the Permian Basin has a capacity of approximately 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interests in multiple long-haul pipeline systems that, on a combined basis, represent approximately 2.1 million 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Permian to Cushing/Mid-Continent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Basin Pipeline (Permian to Cushing).</w:t>
      </w:r>
      <w:r>
        <w:rPr>
          <w:color w:val="000000"/>
        </w:rPr>
        <w:t xml:space="preserve"> </w:t>
      </w:r>
      <w:r>
        <w:rPr>
          <w:rFonts w:ascii="Times New Roman;sans-serif" w:hAnsi="Times New Roman;sans-serif"/>
          <w:b w:val="false"/>
          <w:color w:val="000000"/>
          <w:sz w:val="20"/>
        </w:rPr>
        <w:t>We own an approximate 87% UJI in and are the operator of Basin Pipeline. 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Sunrise II Pipeline.</w:t>
      </w:r>
      <w:r>
        <w:rPr>
          <w:color w:val="000000"/>
        </w:rPr>
        <w:t xml:space="preserve"> </w:t>
      </w:r>
      <w:r>
        <w:rPr>
          <w:rFonts w:ascii="Times New Roman;sans-serif" w:hAnsi="Times New Roman;sans-serif"/>
          <w:b w:val="false"/>
          <w:color w:val="000000"/>
          <w:sz w:val="20"/>
        </w:rPr>
        <w:t>We operate the Sunrise II Pipeline and, through a UJI arrangement, own 80% of the capacity of the pipeline, which equates to approximately 400,000 barrels of capacity. Our Sunrise II Pipeline transports crude oil from Midland and Colorado City to connecting carriers at Wichita Falls.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Permian to Gulf Coast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BridgeTex Pipeline (Permian to Houston).</w:t>
      </w:r>
      <w:r>
        <w:rPr>
          <w:color w:val="000000"/>
        </w:rPr>
        <w:t xml:space="preserve"> </w:t>
      </w:r>
      <w:r>
        <w:rPr>
          <w:rFonts w:ascii="Times New Roman;sans-serif" w:hAnsi="Times New Roman;sans-serif"/>
          <w:b w:val="false"/>
          <w:color w:val="000000"/>
          <w:sz w:val="20"/>
        </w:rPr>
        <w:t>We own a 20% interest in the entity that owns the BridgeTex Pipeline. 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Cactus Pipeline (Permian to Corpus Christi).</w:t>
      </w:r>
      <w:r>
        <w:rPr>
          <w:color w:val="000000"/>
        </w:rPr>
        <w:t xml:space="preserve"> </w:t>
      </w:r>
      <w:r>
        <w:rPr>
          <w:rFonts w:ascii="Times New Roman;sans-serif" w:hAnsi="Times New Roman;sans-serif"/>
          <w:b w:val="false"/>
          <w:color w:val="000000"/>
          <w:sz w:val="20"/>
        </w:rPr>
        <w:t>We own and operate the Cactus Pipeline, which has a capacity of 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Cactus II Pipeline (Permian to Corpus Christi).</w:t>
      </w:r>
      <w:r>
        <w:rPr>
          <w:color w:val="000000"/>
        </w:rPr>
        <w:t xml:space="preserve"> </w:t>
      </w:r>
      <w:r>
        <w:rPr>
          <w:rFonts w:ascii="Times New Roman;sans-serif" w:hAnsi="Times New Roman;sans-serif"/>
          <w:b w:val="false"/>
          <w:color w:val="000000"/>
          <w:sz w:val="20"/>
        </w:rPr>
        <w:t>The Cactus II Pipeline is a Permian mainline system that extends directly to the Corpus Christi market and has a capacity of approximately 670,000 barrels per day. We operate the Cactus II Pipeline and own a 70% interest in Cactus II, the entity that owns the Cactus II Pipeline, through a joint venture with Enbridge Inc.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Wink to Webster Pipeline.</w:t>
      </w:r>
      <w:r>
        <w:rPr>
          <w:color w:val="000000"/>
        </w:rPr>
        <w:t xml:space="preserve"> </w:t>
      </w:r>
      <w:r>
        <w:rPr>
          <w:rFonts w:ascii="Times New Roman;sans-serif" w:hAnsi="Times New Roman;sans-serif"/>
          <w:b w:val="false"/>
          <w:color w:val="000000"/>
          <w:sz w:val="20"/>
        </w:rPr>
        <w:t xml:space="preserve">We own an approximate 17% interest in the entity that owns the Wink to Webster Pipeline (“W2W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Our Midland terminal has access to all of the Permian JV gathering pipelines, either through direct 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South Texas/Eagle Ford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various gathering systems in the Eagle Ford producing region that connect into our Eagle Ford joint venture pipeline system or to third-party pipelines. We acquired an additional Eagle Ford gathering system in January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a 50% interest in the entity that owns the Eagle Ford Pipeline through a joint venture with a subsidiary of Enterprise Products Partners, L.P. (“Enterprise Products”). We serve as the operator of the Eagle Ford Pipeline, which has a total capacity of approximately 660,000 barrels per day and connects Permian Basin, through a connection with our Cactus Pipeline, and Eagle Ford area production to Corpus Christi, Texas refiners and terminals. Additionally, the Eagle Ford Pipeline has connectivity to Houston, Texas via a connection with Enterprise Products’ pipeline at Lyssy, Texas. The Eagle Ford Pipeline is supported by long-term shipper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We own a 50% interest in the entity that owns the Eagle Ford Corpus Christi terminal through a joint venture with a subsidiary of Enterprise Products. The Eagle Ford Corpus Christi terminal has a dock with the capacity to export crude oil and approximately one million barrels of commercial storage capacity.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Condensate Processing. </w:t>
      </w:r>
      <w:r>
        <w:rPr>
          <w:rFonts w:ascii="Times New Roman;sans-serif" w:hAnsi="Times New Roman;sans-serif"/>
          <w:b w:val="false"/>
          <w:color w:val="000000"/>
          <w:sz w:val="20"/>
        </w:rPr>
        <w:t>We own a 120,000 barrels per day condensate processing facility located in La Salle County, Texas that stabilizes condensate that is primarily sourced from our Eagle Ford area gathering systems. The processed NGL is delivered to a third-party pipeline that delivers into Mont Belvieu, Texas.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Mid-Continent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gathering pipelines that source crude oil from Western and Central Oklahoma and Southwest Kansas for transportation and delivery into our terminal facilities at Cushing, Oklahoma.</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and operate various pipeline systems that extend from our Cushing terminal in Oklahoma to various refineries and/or crude oil hubs. Below is a description of some of our most significant pipeline systems in the Mid-Continent region.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Diamond Pipeline</w:t>
      </w:r>
      <w:r>
        <w:rPr>
          <w:color w:val="000000"/>
        </w:rPr>
        <w:t xml:space="preserve"> </w:t>
      </w:r>
      <w:r>
        <w:rPr>
          <w:rFonts w:ascii="Times New Roman;sans-serif" w:hAnsi="Times New Roman;sans-serif"/>
          <w:b w:val="false"/>
          <w:i/>
          <w:color w:val="000000"/>
          <w:sz w:val="20"/>
        </w:rPr>
        <w:t>(Cushing to Memphis).</w:t>
      </w:r>
      <w:r>
        <w:rPr>
          <w:color w:val="000000"/>
        </w:rPr>
        <w:t xml:space="preserve"> </w:t>
      </w:r>
      <w:r>
        <w:rPr>
          <w:rFonts w:ascii="Times New Roman;sans-serif" w:hAnsi="Times New Roman;sans-serif"/>
          <w:b w:val="false"/>
          <w:color w:val="000000"/>
          <w:sz w:val="20"/>
        </w:rPr>
        <w:t xml:space="preserve">We own a 50% interest in the entity that owns the Diamond Pipeline through a joint venture with Valero Energy Corporation (“Valero”). We operate the Diamond Pipeline, which extends from our Cushing Terminal to Valero’s refinery in Memphis, Tennessee. The Diamond Pipeline has a total capacity of approximately 200,000 barrels per day.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Red River Pipeline (Cushing to Longview)</w:t>
      </w:r>
      <w:r>
        <w:rPr>
          <w:rFonts w:ascii="Times New Roman;sans-serif" w:hAnsi="Times New Roman;sans-serif"/>
          <w:b w:val="false"/>
          <w:color w:val="000000"/>
          <w:sz w:val="20"/>
        </w:rPr>
        <w:t>. We own 67% of the entity that owns the Red River Pipeline through a joint venture with Delek Logistics Partners, LP.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Midway Pipeline and Cushing Connect Pipeline</w:t>
      </w:r>
      <w:r>
        <w:rPr>
          <w:rFonts w:ascii="Times New Roman;sans-serif" w:hAnsi="Times New Roman;sans-serif"/>
          <w:b w:val="false"/>
          <w:color w:val="000000"/>
          <w:sz w:val="20"/>
        </w:rPr>
        <w:t>. We own and operate the Midway pipeline and own a 50% interest in the Cushing Connect pipeline, both of which originate at our Cushing terminal and terminate at refineries in Coffeyville, Kansas and Tulsa, Oklahoma, respectively. Our partner in the Cushing Connect pipeline is the refiner customer at the terminus of the pipeline.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We are a large provider of crude oil terminalling services in Cushing, Oklahoma, which is one of the largest physical trading hubs in the United States and is the delivery point for the NYMEX light sweet crude oil futures contracts (the benchmark for U.S. crude oil). Our Cushing terminal has been designated by the NYMEX as an approved delivery location.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 Our Cushing terminal is also connected to a rail unloading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terminal in Patoka, Illinois, which has 7 million barrels of commercial storage capacity, has connectivity to major inbound and outbound pipelines at this hub, including the Capline Pipeline (discussed further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Gulf Coast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Long-haul Pipelines.</w:t>
      </w:r>
      <w:r>
        <w:rPr>
          <w:color w:val="000000"/>
        </w:rPr>
        <w:t xml:space="preserve"> </w:t>
      </w:r>
      <w:r>
        <w:rPr>
          <w:rFonts w:ascii="Times New Roman;sans-serif" w:hAnsi="Times New Roman;sans-serif"/>
          <w:b w:val="false"/>
          <w:color w:val="000000"/>
          <w:sz w:val="20"/>
        </w:rPr>
        <w:t>We own an approximate 54% interest in the entity that owns the Capline Pipeline, which extends from Patoka, Illinois to various terminals in St. James, Louisiana. The Capline Pipeline is supported by long-term shipper commitments, and a subsidiary of Marathon Petroleum Corporation serves as the operator.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Our terminal at St. James, Louisiana, which has 15 million barrels of commercial storage capacity, is a 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Rocky Mountain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pipelines that provide gathering services in the Bakken and the Powder River Basin.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Long-haul Pipelines.</w:t>
      </w:r>
      <w:r>
        <w:rPr>
          <w:color w:val="000000"/>
        </w:rPr>
        <w:t xml:space="preserve"> </w:t>
      </w:r>
      <w:r>
        <w:rPr>
          <w:rFonts w:ascii="Times New Roman;sans-serif" w:hAnsi="Times New Roman;sans-serif"/>
          <w:b w:val="false"/>
          <w:color w:val="000000"/>
          <w:sz w:val="20"/>
        </w:rPr>
        <w:t>Our pipeline systems in the Rocky Mountain region provide access to our terminal in Cushing, 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Saddlehorn Pipeline</w:t>
      </w:r>
      <w:r>
        <w:rPr>
          <w:rFonts w:ascii="Times New Roman;sans-serif" w:hAnsi="Times New Roman;sans-serif"/>
          <w:b w:val="false"/>
          <w:color w:val="000000"/>
          <w:sz w:val="20"/>
        </w:rPr>
        <w:t xml:space="preserve">. We own a 40% interest in the entity that owns the Saddlehorn Pipeline which, through a UJI arrangement, owns approximately 290,000 barrels per day of capacity in the Saddlehorn Pipeline. The pipeline extends from the Niobrara and Denver-Julesburg (“DJ”) Basin to Cushing and is operated by ONEOK. The Saddlehorn Pipeline is supported by minimum volume commitments.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White Cliffs Pipeline.</w:t>
      </w:r>
      <w:r>
        <w:rPr>
          <w:color w:val="000000"/>
        </w:rPr>
        <w:t xml:space="preserve"> </w:t>
      </w:r>
      <w:r>
        <w:rPr>
          <w:rFonts w:ascii="Times New Roman;sans-serif" w:hAnsi="Times New Roman;sans-serif"/>
          <w:b w:val="false"/>
          <w:color w:val="000000"/>
          <w:sz w:val="20"/>
        </w:rPr>
        <w:t>We own an approximate 36% interest in the entity that owns the White Cliffs Pipeline 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gathering systems that source crude oil from truck terminals and pipeline-connected facilities to deliver to the Enbridge Mainline system at our Kerrobert and Regina terminals in Saskatchewan, 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Intra-basin Pipelines. </w:t>
      </w:r>
      <w:r>
        <w:rPr>
          <w:rFonts w:ascii="Times New Roman;sans-serif" w:hAnsi="Times New Roman;sans-serif"/>
          <w:b w:val="false"/>
          <w:color w:val="000000"/>
          <w:sz w:val="20"/>
        </w:rPr>
        <w:t xml:space="preserve">We own and operate intra-basin pipelines with a capacity of approximately 290,000 barrels per day that deliver crude oil from northern and southern Alberta to the Edmonton, Alberta market hub. These pipelines provide shippers with flexibility to access the Enbridge and TransMountain long-haul pipelines along with the Imperial Oil Refinery.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Western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color w:val="000000"/>
        </w:rPr>
        <w:t xml:space="preserve"> </w:t>
      </w:r>
      <w:r>
        <w:rPr>
          <w:rFonts w:ascii="Times New Roman;sans-serif" w:hAnsi="Times New Roman;sans-serif"/>
          <w:b w:val="false"/>
          <w:color w:val="000000"/>
          <w:sz w:val="20"/>
        </w:rPr>
        <w:t>We own and operate a pipeline in the San Joaquin Valley in California that gathers locally produced crude oil, which is then delivered via our Line 63 pipeline system and/or Line 2000 pipeline for transportation to Los Angeles area refiners.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Long-haul Pipelines</w:t>
      </w:r>
      <w:r>
        <w:rPr>
          <w:rFonts w:ascii="Times New Roman;sans-serif" w:hAnsi="Times New Roman;sans-serif"/>
          <w:b w:val="false"/>
          <w:color w:val="000000"/>
          <w:sz w:val="20"/>
        </w:rPr>
        <w:t>. We own and operate Line 63 and Line 2000 pipelines in California. Line 2000 is a mainline 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Market and Business 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figure below provides an illustrative and simplified overview of the assets and activities associated with our NGL segment (within the shaded area):</w:t>
      </w:r>
    </w:p>
    <w:p>
      <w:pPr>
        <w:pStyle w:val="TextBody"/>
        <w:bidi w:val="0"/>
        <w:spacing w:before="0" w:after="0"/>
        <w:jc w:val="left"/>
        <w:rPr/>
      </w:pPr>
      <w:r>
        <w:rPr/>
        <w:drawing>
          <wp:inline distT="0" distB="0" distL="0" distR="0">
            <wp:extent cx="6515100" cy="1895475"/>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6515100" cy="1895475"/>
                    </a:xfrm>
                    <a:prstGeom prst="rect">
                      <a:avLst/>
                    </a:prstGeom>
                  </pic:spPr>
                </pic:pic>
              </a:graphicData>
            </a:graphic>
          </wp:inline>
        </w:drawing>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 Assets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highly integrated network of assets, strategically positioned across Canada and the United States, with a particular focus on serving production from the liquids-rich Western Canadian Sedimentary Basin. As of December 31, 2024, the assets utilized in our NGL segment included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four natural gas processing plants;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seven fractionation plants located throughout Canada and the United States with an aggregate useable capacity of approximately 172,000 barrels per day;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NGL storage facilities with approximately 23 million barrels of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1,775 miles of active NGL transportation pipelines;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16 NGL rail terminals and approximately 4,100 NGL rail cars;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220 trailers.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assets include the linefill associated with our commercial activities, including approximately: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2 million barrels of NGL linefill in pipelines and storage owned by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 million barrels of NGL utilized as linefill in pipelines owned by third parties or otherwise required as long-term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approximate volumes and capacities for our NGL assets and activities as of December 31, 2024 and our natural gas processing and NGL infrastructure and activities are described further below.</w:t>
      </w:r>
    </w:p>
    <w:p>
      <w:pPr>
        <w:pStyle w:val="TextBody"/>
        <w:bidi w:val="0"/>
        <w:spacing w:before="0" w:after="0"/>
        <w:ind w:left="0" w:right="0" w:firstLine="720"/>
        <w:jc w:val="left"/>
        <w:rPr/>
      </w:pPr>
      <w:r>
        <w:rPr/>
      </w:r>
    </w:p>
    <w:tbl>
      <w:tblPr>
        <w:tblW w:w="6946" w:type="dxa"/>
        <w:jc w:val="center"/>
        <w:tblInd w:w="0" w:type="dxa"/>
        <w:tblLayout w:type="fixed"/>
        <w:tblCellMar>
          <w:top w:w="28" w:type="dxa"/>
          <w:left w:w="28" w:type="dxa"/>
          <w:bottom w:w="28" w:type="dxa"/>
          <w:right w:w="28" w:type="dxa"/>
        </w:tblCellMar>
      </w:tblPr>
      <w:tblGrid>
        <w:gridCol w:w="914"/>
        <w:gridCol w:w="803"/>
        <w:gridCol w:w="804"/>
        <w:gridCol w:w="109"/>
        <w:gridCol w:w="109"/>
        <w:gridCol w:w="109"/>
        <w:gridCol w:w="331"/>
        <w:gridCol w:w="331"/>
        <w:gridCol w:w="824"/>
        <w:gridCol w:w="109"/>
        <w:gridCol w:w="109"/>
        <w:gridCol w:w="109"/>
        <w:gridCol w:w="290"/>
        <w:gridCol w:w="290"/>
        <w:gridCol w:w="291"/>
        <w:gridCol w:w="109"/>
        <w:gridCol w:w="109"/>
        <w:gridCol w:w="109"/>
        <w:gridCol w:w="274"/>
        <w:gridCol w:w="274"/>
        <w:gridCol w:w="276"/>
        <w:gridCol w:w="109"/>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Natural Gas Processing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Processing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Capacity </w:t>
            </w:r>
          </w:p>
          <w:p>
            <w:pPr>
              <w:pStyle w:val="TableContents"/>
              <w:bidi w:val="0"/>
              <w:spacing w:lineRule="auto" w:line="240" w:before="0" w:after="0"/>
              <w:jc w:val="center"/>
              <w:rPr/>
            </w:pPr>
            <w:r>
              <w:rPr>
                <w:rFonts w:ascii="Times New Roman;sans-serif" w:hAnsi="Times New Roman;sans-serif"/>
                <w:b/>
                <w:color w:val="000000"/>
                <w:sz w:val="16"/>
              </w:rPr>
              <w:t>(Bcf/d)</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Inlet</w:t>
            </w:r>
          </w:p>
          <w:p>
            <w:pPr>
              <w:pStyle w:val="TableContents"/>
              <w:bidi w:val="0"/>
              <w:spacing w:lineRule="auto" w:line="240" w:before="0" w:after="0"/>
              <w:jc w:val="center"/>
              <w:rPr/>
            </w:pPr>
            <w:r>
              <w:rPr>
                <w:rFonts w:ascii="Times New Roman;sans-serif" w:hAnsi="Times New Roman;sans-serif"/>
                <w:b/>
                <w:color w:val="000000"/>
                <w:sz w:val="16"/>
              </w:rPr>
              <w:t xml:space="preserve">Volume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(Bcf/d)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tbl>
      <w:tblPr>
        <w:tblW w:w="7459" w:type="dxa"/>
        <w:jc w:val="center"/>
        <w:tblInd w:w="0" w:type="dxa"/>
        <w:tblLayout w:type="fixed"/>
        <w:tblCellMar>
          <w:top w:w="28" w:type="dxa"/>
          <w:left w:w="28" w:type="dxa"/>
          <w:bottom w:w="28" w:type="dxa"/>
          <w:right w:w="28" w:type="dxa"/>
        </w:tblCellMar>
      </w:tblPr>
      <w:tblGrid>
        <w:gridCol w:w="821"/>
        <w:gridCol w:w="722"/>
        <w:gridCol w:w="723"/>
        <w:gridCol w:w="109"/>
        <w:gridCol w:w="109"/>
        <w:gridCol w:w="109"/>
        <w:gridCol w:w="331"/>
        <w:gridCol w:w="331"/>
        <w:gridCol w:w="824"/>
        <w:gridCol w:w="109"/>
        <w:gridCol w:w="109"/>
        <w:gridCol w:w="109"/>
        <w:gridCol w:w="413"/>
        <w:gridCol w:w="413"/>
        <w:gridCol w:w="371"/>
        <w:gridCol w:w="109"/>
        <w:gridCol w:w="109"/>
        <w:gridCol w:w="109"/>
        <w:gridCol w:w="447"/>
        <w:gridCol w:w="447"/>
        <w:gridCol w:w="635"/>
      </w:tblGrid>
      <w:tr>
        <w:trPr/>
        <w:tc>
          <w:tcPr>
            <w:tcW w:w="8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NGL Fractionation Facilities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Fractionation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Capacity</w:t>
            </w:r>
          </w:p>
          <w:p>
            <w:pPr>
              <w:pStyle w:val="TableContents"/>
              <w:bidi w:val="0"/>
              <w:spacing w:lineRule="auto" w:line="240" w:before="0" w:after="0"/>
              <w:jc w:val="center"/>
              <w:rPr/>
            </w:pPr>
            <w:r>
              <w:rPr>
                <w:rFonts w:ascii="Times New Roman;sans-serif" w:hAnsi="Times New Roman;sans-serif"/>
                <w:b/>
                <w:color w:val="000000"/>
                <w:sz w:val="16"/>
              </w:rPr>
              <w:t>(Bbls/d)</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Volume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(Bbls/d)</w:t>
            </w:r>
          </w:p>
        </w:tc>
      </w:tr>
      <w:tr>
        <w:trPr/>
        <w:tc>
          <w:tcPr>
            <w:tcW w:w="2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Fort Saskatchewan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64,100 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131,700 </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tbl>
      <w:tblPr>
        <w:tblW w:w="4915" w:type="dxa"/>
        <w:jc w:val="center"/>
        <w:tblInd w:w="0" w:type="dxa"/>
        <w:tblLayout w:type="fixed"/>
        <w:tblCellMar>
          <w:top w:w="28" w:type="dxa"/>
          <w:left w:w="28" w:type="dxa"/>
          <w:bottom w:w="28" w:type="dxa"/>
          <w:right w:w="28" w:type="dxa"/>
        </w:tblCellMar>
      </w:tblPr>
      <w:tblGrid>
        <w:gridCol w:w="647"/>
        <w:gridCol w:w="569"/>
        <w:gridCol w:w="570"/>
        <w:gridCol w:w="109"/>
        <w:gridCol w:w="109"/>
        <w:gridCol w:w="109"/>
        <w:gridCol w:w="331"/>
        <w:gridCol w:w="331"/>
        <w:gridCol w:w="824"/>
        <w:gridCol w:w="109"/>
        <w:gridCol w:w="109"/>
        <w:gridCol w:w="109"/>
        <w:gridCol w:w="289"/>
        <w:gridCol w:w="289"/>
        <w:gridCol w:w="411"/>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NGL Storage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Storage</w:t>
            </w:r>
          </w:p>
          <w:p>
            <w:pPr>
              <w:pStyle w:val="TableContents"/>
              <w:bidi w:val="0"/>
              <w:spacing w:lineRule="auto" w:line="240" w:before="0" w:after="0"/>
              <w:jc w:val="center"/>
              <w:rPr/>
            </w:pPr>
            <w:r>
              <w:rPr>
                <w:rFonts w:ascii="Times New Roman;sans-serif" w:hAnsi="Times New Roman;sans-serif"/>
                <w:b/>
                <w:color w:val="000000"/>
                <w:sz w:val="16"/>
              </w:rPr>
              <w:t>Capacity</w:t>
            </w:r>
            <w:r>
              <w:rPr>
                <w:color w:val="000000"/>
              </w:rPr>
              <w:t xml:space="preserve"> </w:t>
            </w:r>
            <w:r>
              <w:rPr>
                <w:rFonts w:ascii="Times New Roman;sans-serif" w:hAnsi="Times New Roman;sans-serif"/>
                <w:b/>
                <w:color w:val="000000"/>
                <w:sz w:val="10"/>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(MMBbls)</w:t>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Fort Saskatchewan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66" w:type="dxa"/>
        <w:jc w:val="center"/>
        <w:tblInd w:w="0" w:type="dxa"/>
        <w:tblLayout w:type="fixed"/>
        <w:tblCellMar>
          <w:top w:w="28" w:type="dxa"/>
          <w:left w:w="28" w:type="dxa"/>
          <w:bottom w:w="28" w:type="dxa"/>
          <w:right w:w="28" w:type="dxa"/>
        </w:tblCellMar>
      </w:tblPr>
      <w:tblGrid>
        <w:gridCol w:w="473"/>
        <w:gridCol w:w="415"/>
        <w:gridCol w:w="417"/>
        <w:gridCol w:w="109"/>
        <w:gridCol w:w="109"/>
        <w:gridCol w:w="109"/>
        <w:gridCol w:w="495"/>
        <w:gridCol w:w="495"/>
        <w:gridCol w:w="496"/>
        <w:gridCol w:w="109"/>
        <w:gridCol w:w="109"/>
        <w:gridCol w:w="109"/>
        <w:gridCol w:w="734"/>
        <w:gridCol w:w="734"/>
        <w:gridCol w:w="736"/>
        <w:gridCol w:w="109"/>
        <w:gridCol w:w="109"/>
        <w:gridCol w:w="109"/>
        <w:gridCol w:w="466"/>
        <w:gridCol w:w="466"/>
        <w:gridCol w:w="65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Approximate System Miles </w:t>
            </w:r>
            <w:r>
              <w:rPr>
                <w:rFonts w:ascii="Times New Roman;sans-serif" w:hAnsi="Times New Roman;sans-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Average Volumes </w:t>
            </w:r>
            <w:r>
              <w:rPr>
                <w:rFonts w:ascii="Times New Roman;sans-serif" w:hAnsi="Times New Roman;sans-serif"/>
                <w:b/>
                <w:color w:val="000000"/>
                <w:sz w:val="11"/>
              </w:rPr>
              <w:t>(2)</w:t>
            </w:r>
          </w:p>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(MBbls/d)</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NGL Pipelines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249" w:type="dxa"/>
        <w:jc w:val="center"/>
        <w:tblInd w:w="0" w:type="dxa"/>
        <w:tblLayout w:type="fixed"/>
        <w:tblCellMar>
          <w:top w:w="28" w:type="dxa"/>
          <w:left w:w="28" w:type="dxa"/>
          <w:bottom w:w="28" w:type="dxa"/>
          <w:right w:w="28" w:type="dxa"/>
        </w:tblCellMar>
      </w:tblPr>
      <w:tblGrid>
        <w:gridCol w:w="619"/>
        <w:gridCol w:w="545"/>
        <w:gridCol w:w="546"/>
        <w:gridCol w:w="109"/>
        <w:gridCol w:w="109"/>
        <w:gridCol w:w="109"/>
        <w:gridCol w:w="495"/>
        <w:gridCol w:w="495"/>
        <w:gridCol w:w="496"/>
        <w:gridCol w:w="109"/>
        <w:gridCol w:w="109"/>
        <w:gridCol w:w="109"/>
        <w:gridCol w:w="305"/>
        <w:gridCol w:w="305"/>
        <w:gridCol w:w="306"/>
        <w:gridCol w:w="109"/>
        <w:gridCol w:w="109"/>
        <w:gridCol w:w="109"/>
        <w:gridCol w:w="338"/>
        <w:gridCol w:w="338"/>
        <w:gridCol w:w="480"/>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Rack Spots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Storage Spots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NGL Rail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total capacity of the facilities, net to our ownership interest.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Average daily volumes are calculated as the total volumes for the year, net to our interest, divided by the number of days in the year.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total mileage of pipelines in which we own a less than 100% interest.</w:t>
      </w:r>
    </w:p>
    <w:p>
      <w:pPr>
        <w:pStyle w:val="TextBody"/>
        <w:bidi w:val="0"/>
        <w:spacing w:before="12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Natural Gas Processing and NGL Infrastructure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Empress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Empress plants are capable of processing up to 5.7 Bcf of natural gas per day; however, supply available to these plants is typically in the 3.5 to 4.5 Bcf per day range. These plants produce approximately 65,000 to 100,000 barrels per day of ethane, and 40,000 to 60,000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Co-Ed Pipeline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Fort Saskatchewan Complex</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44,500 barrels per day of propane, butane and condensate. The remaining throughput capacity is used to produce a propane and butane mix, which is transported via the Enbridge pipeline system to our Sarnia facility for further fractionation.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Sarnia Area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Sarnia Area assets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Impact of Commodity Price Volatility and Dynamic Market Conditions on Our Business Model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Crude oil, NGL and natural gas commodity prices have historically been very volatile. For example, in 2024, the prompt month NYMEX light, sweet futures contract (commonly referred to as “WTI”) price ranged from a low of approximately $66 per barrel to a high of approximately $87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relative contribution levels will vary from quarter-to-quarter due to seasonality, particularly with respect to our NGL merchant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Risk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merchant activities in our Crude Oil and NGL segments require significant extensions of credit by our suppliers.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ExxonMobil Corporation and its subsidiaries accounted for 30%, 26% and 20% of our revenues for the years ended December 31, 2024, 2023 and 2022, respectively. BP p.l.c. and its subsidiaries accounted for 10% of our revenues for the year ended December 31, 2023. No other customers accounted for 10% or more of our revenues during any of the three years ended December 31, 2024.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15 to our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Ongoing Activities Related to Strategic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Joint Venture and Joint Ownership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significant joint ventures as of December 31, 2024: </w:t>
      </w:r>
    </w:p>
    <w:p>
      <w:pPr>
        <w:pStyle w:val="TextBody"/>
        <w:bidi w:val="0"/>
        <w:spacing w:before="0" w:after="0"/>
        <w:ind w:left="0" w:right="0" w:firstLine="720"/>
        <w:jc w:val="left"/>
        <w:rPr/>
      </w:pPr>
      <w:r>
        <w:rPr/>
      </w:r>
    </w:p>
    <w:tbl>
      <w:tblPr>
        <w:tblW w:w="9169" w:type="dxa"/>
        <w:jc w:val="center"/>
        <w:tblInd w:w="0" w:type="dxa"/>
        <w:tblLayout w:type="fixed"/>
        <w:tblCellMar>
          <w:top w:w="28" w:type="dxa"/>
          <w:left w:w="28" w:type="dxa"/>
          <w:bottom w:w="28" w:type="dxa"/>
          <w:right w:w="28" w:type="dxa"/>
        </w:tblCellMar>
      </w:tblPr>
      <w:tblGrid>
        <w:gridCol w:w="1288"/>
        <w:gridCol w:w="1126"/>
        <w:gridCol w:w="1140"/>
        <w:gridCol w:w="109"/>
        <w:gridCol w:w="109"/>
        <w:gridCol w:w="109"/>
        <w:gridCol w:w="1159"/>
        <w:gridCol w:w="1159"/>
        <w:gridCol w:w="1162"/>
        <w:gridCol w:w="109"/>
        <w:gridCol w:w="109"/>
        <w:gridCol w:w="109"/>
        <w:gridCol w:w="369"/>
        <w:gridCol w:w="369"/>
        <w:gridCol w:w="371"/>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Entity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Joint Venture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Cactus II Pipeline LLC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Crude Oil Pipeline</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Crude Oil Pipeline</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Eagle Ford Terminals Corpus Christi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Terminal and Dock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Plains Oryx Permian Basin LLC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Pipelines and Related Assets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Red River Pipeline Company LLC </w:t>
            </w:r>
            <w:r>
              <w:rPr>
                <w:rFonts w:ascii="Times New Roman;sans-serif" w:hAnsi="Times New Roman;sans-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Saddlehorn Pipeline Company, LLC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Wink to Webster Pipeline LLC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Assets are operated by Plains.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consolidate the entity based on control, with our partner’s interest accounted for as a noncontrolling interest.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Entity owns a UJI in the crude oil pipeline.</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significant UJIs as of December 31, 2024, excluding UJIs that are indirectly owned by us through joint ventures (e.g., Wink to Webster, Saddlehorn and Red River joint ventures):</w:t>
      </w:r>
    </w:p>
    <w:tbl>
      <w:tblPr>
        <w:tblW w:w="7463" w:type="dxa"/>
        <w:jc w:val="left"/>
        <w:tblInd w:w="0" w:type="dxa"/>
        <w:tblLayout w:type="fixed"/>
        <w:tblCellMar>
          <w:top w:w="28" w:type="dxa"/>
          <w:left w:w="28" w:type="dxa"/>
          <w:bottom w:w="28" w:type="dxa"/>
          <w:right w:w="28" w:type="dxa"/>
        </w:tblCellMar>
      </w:tblPr>
      <w:tblGrid>
        <w:gridCol w:w="1232"/>
        <w:gridCol w:w="1088"/>
        <w:gridCol w:w="1099"/>
        <w:gridCol w:w="109"/>
        <w:gridCol w:w="109"/>
        <w:gridCol w:w="109"/>
        <w:gridCol w:w="744"/>
        <w:gridCol w:w="744"/>
        <w:gridCol w:w="747"/>
        <w:gridCol w:w="109"/>
        <w:gridCol w:w="109"/>
        <w:gridCol w:w="109"/>
        <w:gridCol w:w="338"/>
        <w:gridCol w:w="338"/>
        <w:gridCol w:w="479"/>
      </w:tblGrid>
      <w:tr>
        <w:trPr/>
        <w:tc>
          <w:tcPr>
            <w:tcW w:w="123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w:t>
              <w:br/>
              <w:t>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UJI</w:t>
              <w:br/>
              <w:t>Ownership</w:t>
              <w:br/>
              <w:t>Percentage</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Basin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Fort Saskatchewan NGL Storage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Kerrobert Storage and Pipeline Assets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Pipeline and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Sarnia NGL Storage and Fractionation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 to 85%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Sunrise II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Asset is operated by Plains.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Certain of these assets are operated by Plains.</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i/>
          <w:color w:val="000000"/>
          <w:sz w:val="20"/>
        </w:rPr>
        <w:t>Acquisitions and Divestitures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2024, we have completed several acquisitions for an aggregate of approximately $3.0 billion (which figure excludes the value of our Permian JV formed in October 2021), and we have completed asset sales and sales of partial interests in assets to strategic joint venture partners totaling more than $4.9 billion. In addition, in the first quarter of 2025, we closed two additional acquisitions for approximately $580 million, net to our interest. See Note 7 to our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Capital Projects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2025 capital plan consists of capital-efficient, highly contracted projects that help address industry needs.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capital for the year ending December 31, 2025 is currently projected to be approximately $500 million ($400 million net to our interest), of which over half is expected to be associated with the Permian JV. Additionally, maintenance capital for 2025 is currently projected to be approximately $260 million ($240 million net to our interest).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but not all, of the laws and regulations affecting our operations. Unless the context requires otherwise, references herein to our “facilities” includes all of the pipelines, terminals, storage and other assets owned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Health, Safety and Environmental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Pipeline Safety/Integrity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$40 million in 2024. Based on currently available information, our preliminary estimate for 2025 is that we will incur approximately $50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$17 million in 2024, and our preliminary estimate for 2025 is that we will incur approximately $15 million of such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DOT has also generally adopted American Petroleum Institute Standard 653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$35 million in 2024. For 2025, we have budgeted approximately $45 million in connection with continued compliance activities with respect to API 653 and similar Environmental Protection Agency (“EPA”) regulations for tanks not regulated by the DOT. Certain storage tanks may be taken out of service if we believe the cost of compliance will exceed the value of the storage tanks and replacement tankage may be constructed.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$100 million in 2024. Our preliminary estimate for 2025 is approximately $85 million of costs on such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Occupational Safety and Health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and the Emergency Planning and Community Right-to-Know Act require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Solid Waste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Hazardous Substances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EPA’s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Environmental Remediation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Air Emissions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Climate Change Initiatives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climate-related mitigation funds, and regulations that directly limit GHG emissions from certain sources. Additionally, certain laws, like the Inflation Reduction Act of 2022 (“IRA”), have been enacted to advance climate-related objectives and provide substantial financial support for alternative or lower GHG-emitting energy production. These proposals and related legislation and policy initiatives could increase operating costs within the oil and gas industry and accelerate the transition away from fossil fuels, which could in turn reduce demand for our products and services and adversely affect our business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following the U.S. Supreme Court (“SCOTUS”)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performance standards for reducing methane emissions from oil and gas operations through limitations on venting and flaring and the implementation of enhanced emission leak detection and repair requirements. For 2024, one of our facilities was subject to the federal GHG reporting requirements for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The EPA, under the Biden Administration, revisited federal regulations promulgated during the first Trump Administration regarding methane and promulgated final rules establishing new or more stringent standards for existing and new sources in the oil and gas sector, including the transmission and storage segments. The IRA also imposed a first-ever federal fee on excess methane emissions. Separately, the Bureau of Land Management has also finalized rules to limit venting, flaring, and methane leaks for oil and gas operations on federal lands. Whether or how the current Trump Administration or U.S. Congress may pursue changes to these regulations cannot be predicted at this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state level, California has implemented a GHG cap-and-trade program. California finished fuels providers, including Plains Marketing and Plains Midstream Canada, are required to purchase GHG emission credits for finished fuel sold in or imported into California.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Corps published a reissuance of NWP 12, but this permit is being challenged in federal court on the same grounds that were litigated in an April 2020 case surrounding a failure to conduct Endangered Species Act consultations. In May 2022, the Corps announced it was beginning a formal review of NWP 12 and may make changes to the program.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Also, there continues to be uncertainty on the federal government’s applicable jurisdictional reach under the CWA over waters of the United States (“WOTUS”), including wetlands. The EPA and the Corps have pursued multiple rulemakings under the Obama, Trump, and Biden Administrations in attempts to determine the scope of such reach. Following legal actions, implementation of the most recent rule is currently split across the country. The rule is subject to an injunction in 27 states resulting in implementation of the pre-2015 rule adjusted to take in into account jurisdictional limitations decided by SCOTUS in </w:t>
      </w:r>
      <w:r>
        <w:rPr>
          <w:rFonts w:ascii="Times New Roman;sans-serif" w:hAnsi="Times New Roman;sans-serif"/>
          <w:b w:val="false"/>
          <w:i/>
          <w:color w:val="000000"/>
          <w:sz w:val="20"/>
        </w:rPr>
        <w:t>Sackett v. EPA</w:t>
      </w:r>
      <w:r>
        <w:rPr>
          <w:rFonts w:ascii="Times New Roman;sans-serif" w:hAnsi="Times New Roman;sans-serif"/>
          <w:b w:val="false"/>
          <w:color w:val="000000"/>
          <w:sz w:val="20"/>
        </w:rPr>
        <w:t xml:space="preserve">. The other 23 states are subject to a WOTUS-defining rule published in September 2023. Further, the current Trump Administration may pursue a new rulemaking to further revise or clarify the extent of federal jurisdiction under the CWA, though the substance and timing of such action cannot be predicted. In addition, on January 8, 2025, the Corps published revisions to their Ordinary High Water Mark Manual, a key technical document used by the Corps to make jurisdictional determinations. At this time, it is difficult to judge how impactful these revisions will be. In an April 2020 decision, </w:t>
      </w:r>
      <w:r>
        <w:rPr>
          <w:rFonts w:ascii="Times New Roman;sans-serif" w:hAnsi="Times New Roman;sans-serif"/>
          <w:b w:val="false"/>
          <w:i/>
          <w:color w:val="000000"/>
          <w:sz w:val="20"/>
        </w:rPr>
        <w:t>Maui v. Hawaii Wildlife Fund</w:t>
      </w:r>
      <w:r>
        <w:rPr>
          <w:rFonts w:ascii="Times New Roman;sans-serif" w:hAnsi="Times New Roman;sans-serif"/>
          <w:b w:val="false"/>
          <w:color w:val="000000"/>
          <w:sz w:val="20"/>
        </w:rPr>
        <w:t xml:space="preserve">, SCOTUS held that, in certain cases, discharges from a point source to groundwater could fall within the scope of the CWA and require a permit. The Court rejected the EPA’s and Corps’ assertion that groundwater should be totally excluded from the CWA. In response to SCOTUS’ decision, EPA published a draft </w:t>
      </w:r>
      <w:r>
        <w:rPr>
          <w:rFonts w:ascii="Times New Roman;sans-serif" w:hAnsi="Times New Roman;sans-serif"/>
          <w:b w:val="false"/>
          <w:i/>
          <w:color w:val="000000"/>
          <w:sz w:val="20"/>
        </w:rPr>
        <w:t>Maui</w:t>
      </w:r>
      <w:r>
        <w:rPr>
          <w:color w:val="000000"/>
        </w:rPr>
        <w:t xml:space="preserve"> </w:t>
      </w:r>
      <w:r>
        <w:rPr>
          <w:rFonts w:ascii="Times New Roman;sans-serif" w:hAnsi="Times New Roman;sans-serif"/>
          <w:b w:val="false"/>
          <w:color w:val="000000"/>
          <w:sz w:val="20"/>
        </w:rPr>
        <w:t>Guidance on November 27, 2023 which was intended to clarify when certain discharges to groundwater may require a CWA permit. Preliminarily, it appears that this draft guidance requires additional clarity and considerations to better understand permitting requirements specific to groundwater discharges. To date, the guidance has not been finalized and whether or how the current Trump Administration will pursue revisions to the guidance is uncertain.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Endangered Species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Transportation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Interstate Liquids Regulation in the United States.</w:t>
      </w:r>
      <w:r>
        <w:rPr>
          <w:color w:val="000000"/>
        </w:rPr>
        <w:t xml:space="preserve">  </w:t>
      </w:r>
      <w:r>
        <w:rPr>
          <w:rFonts w:ascii="Times New Roman;sans-serif" w:hAnsi="Times New Roman;sans-serif"/>
          <w:b w:val="false"/>
          <w:color w:val="000000"/>
          <w:sz w:val="20"/>
        </w:rPr>
        <w:t>Our common carrier pipeline operations with interstate movements 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FERC reduced the oil pricing index factor for oil pipelines to use for the current five-year period. The ceiling levels computed for July 1, 2022 to June 30, 2023, as well as the ceiling levels for July 1, 2023 to June 30, 2024, and the resulting rates currently in effect for certain of our liquids pipelines, were computed to account for the appropriate index factor. Some parties sought rehearing of the January 20 order on rehearing, which was denied by FERC on May 6, 2022. Certain parties subsequently appealed the January 20 and May 6 orders to the U.S. Court of Appeals for the District of Columbia (“D.C. Circuit”). On July 26, 2024, the D.C. Circuit </w:t>
      </w:r>
      <w:r>
        <w:rPr>
          <w:rFonts w:ascii="Times New Roman;sans-serif" w:hAnsi="Times New Roman;sans-serif"/>
          <w:b w:val="false"/>
          <w:color w:val="222222"/>
          <w:sz w:val="20"/>
        </w:rPr>
        <w:t xml:space="preserve">ruled in </w:t>
      </w:r>
      <w:r>
        <w:rPr>
          <w:rFonts w:ascii="Times New Roman;sans-serif" w:hAnsi="Times New Roman;sans-serif"/>
          <w:b w:val="false"/>
          <w:i/>
          <w:color w:val="222222"/>
          <w:sz w:val="20"/>
        </w:rPr>
        <w:t>LEPA v. FERC</w:t>
      </w:r>
      <w:r>
        <w:rPr>
          <w:color w:val="222222"/>
        </w:rPr>
        <w:t xml:space="preserve"> </w:t>
      </w:r>
      <w:r>
        <w:rPr>
          <w:rFonts w:ascii="Times New Roman;sans-serif" w:hAnsi="Times New Roman;sans-serif"/>
          <w:b w:val="false"/>
          <w:color w:val="222222"/>
          <w:sz w:val="20"/>
        </w:rPr>
        <w:t xml:space="preserve">that FERC violated the Administrative Procedure Act because the January 20 order modified the index level without following notice and comment. As a result, the D.C. Circuit vacated the January 20 order and on September 17, 2024, the Commission reinstated the index level established by its original December 17 Order Establishing Index Level, directed pipelines to file an informational filing to show their recomputed ceiling levels reflecting the reinstated index level, and stated that pipelines may file to prospectively increase their indexed rates to their recomputed levels. On October 17, 2024, FERC issued a Supplemental Notice of Proposed Rulemaking (“Supplemental NOPR”) that proposes a reduction to the currently effective index by one percent. The Supplemental NOPR could result in the reimplementation through a notice-and-comment rulemaking of the same rulings that were vacated by the D.C. Circuit in </w:t>
      </w:r>
      <w:r>
        <w:rPr>
          <w:rFonts w:ascii="Times New Roman;sans-serif" w:hAnsi="Times New Roman;sans-serif"/>
          <w:b w:val="false"/>
          <w:i/>
          <w:color w:val="222222"/>
          <w:sz w:val="20"/>
        </w:rPr>
        <w:t>LEPA v. FERC</w:t>
      </w:r>
      <w:r>
        <w:rPr>
          <w:rFonts w:ascii="Times New Roman;sans-serif" w:hAnsi="Times New Roman;sans-serif"/>
          <w:b w:val="false"/>
          <w:color w:val="222222"/>
          <w:sz w:val="20"/>
        </w:rPr>
        <w:t xml:space="preserve">. </w:t>
      </w:r>
      <w:r>
        <w:rPr>
          <w:rFonts w:ascii="Times New Roman;sans-serif" w:hAnsi="Times New Roman;sans-serif"/>
          <w:b w:val="false"/>
          <w:color w:val="000000"/>
          <w:sz w:val="20"/>
        </w:rPr>
        <w:t>FERC has also retained cost-of-service ratemaking, market-based rates and settlement rates as alternatives to the indexing approach that may be used in certain specified circumstances.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Energy Policy Act of 2005 authorized FERC to impose civil penalties for violations of the ICA and FERC regulations thereunder, up to a maximum amount that is adjusted annually for inflation, which for 2025 equals $16,590 per day, per violation. Should we fail to comply with applicable statutes, rules, regulations and orders administered by FERC, we could be subject to substantial penalties and fines.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Intrastate Regulation in the United States.</w:t>
      </w:r>
      <w:r>
        <w:rPr>
          <w:color w:val="000000"/>
        </w:rPr>
        <w:t xml:space="preserve"> </w:t>
      </w:r>
      <w:r>
        <w:rPr>
          <w:rFonts w:ascii="Times New Roman;sans-serif" w:hAnsi="Times New Roman;sans-serif"/>
          <w:b w:val="false"/>
          <w:color w:val="000000"/>
          <w:sz w:val="20"/>
        </w:rPr>
        <w:t>Our intrastate liquids pipeline transportation activities are subject to various state laws and regulations, as well as orders of state regulatory bodies, including the Railroad Commission of Texas and the California Public Utility Commission (“CPUC”). The CPUC prohibits certain of our subsidiaries from acting as guarantors of our senior notes and credit facilities.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Canadian Regulation.</w:t>
      </w:r>
      <w:r>
        <w:rPr>
          <w:color w:val="000000"/>
        </w:rPr>
        <w:t xml:space="preserve">  </w:t>
      </w:r>
      <w:r>
        <w:rPr>
          <w:rFonts w:ascii="Times New Roman;sans-serif" w:hAnsi="Times New Roman;sans-serif"/>
          <w:b w:val="false"/>
          <w:color w:val="000000"/>
          <w:sz w:val="20"/>
        </w:rPr>
        <w:t>Our Canadian pipeline assets are subject to regulation by the CER and by provincial regulators. 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Trucking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Railcar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operate a number of railcar loading and unloading facilities in the United States and Canada. In connection with these operations, we own and lease a significant number of railcars. Our railcar operations are subject to the regulatory jurisdiction of the Federal Railroad Administration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Indigenous Protections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Transportation Security Administration Security Directives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cybersecurity incidents affecting the pipeline industry, the United States Department of Homeland Security’s Transportation Security Administration has issued comprehensive security directives that include various cybersecurity and reporting requirements for critical infrastructure pipeline owners and/or operators. Compliance with these security directives may have a significant impact on our operations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Cross Border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cross border activities, including the transportation and importation of crude oil and NGL between the United States and Canada, we are subject to a variety of legal requirements including export license requirements, trade tariffs, Canadian and U.S. customs and taxes, and requirements relating to toxic substances. U.S. legal requirements relating to these activities include the United States-Mexico-Canada Agreement (“USMCA”) and the Toxic Substances Control Act (“TSCA”), as well as presidential permit requirements of the U.S. Department of State. Violations of these licensing, trade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Market Anti-Manipulation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$1.49 million, subject to the CFTC’s annual inflation adjustment, or triple the monetary gain to the person for each violation.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Operational Hazards and 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or losses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18 to our Consolidated Financial Statements for a discussion regarding the Line 901 incident and our related insurance receivable.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Title to Properties and Rights-of-Way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human capital management objective is to retain, attract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engaging and inclusive; and promote efficiency and a high performance culture by investing in technology and systems and providing tools and resources that enable employees at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 ULC). As of December 31, 2024, GP LLC and PMC ULC employed approximately 4,200 people in North America, of which approximately 3,000 were employed in the U.S. and approximately 1,200 were employed in Canada. Approximately 69% of our workforce (approximately 2,900 employees) are field employees, which includes approximately 800 employees in our trucking division. Our employees are located in 24 states in the U.S. and in four provinces in Canada. Approximately 200 employees are covered by six separate collective bargaining agreements, which are open for renegotiation in 2025 through 2027.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Health and Safety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 In addition, the HSES Committee assists the Board in its evaluation and oversight of our management of HSES matters. Through the discharge of its oversight responsibilities, the HSES Committee facilitates the efforts of management to further strengthen our focus on Sustainability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Training and Leadership Development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providing a professional work environment where all employees are treated with respect and dignity and provided with opportunities for growth and development. To foster the continued development of our people, we provide a comprehensive set of training programs covering subjects such as field operations, health and safety, regulatory compliance, technical training, management and leadership skills, and professional development. We also operate a number of internal development programs at all levels of the workforce that are designed to identify and develop future leaders of the organization. The Board receives reports from senior management on a regular basis regarding the status of succession plans with respect to executive leadership of the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and benefits programs are designed to retain, attract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Summary of Tax Considerations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The following is a brief summary of certain material tax considerations of owning and disposing of common units, however, the tax consequences of the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of the unitholder’s investment in us under applicable U.S. federal, state and local law. Further, it is the responsibility of each unitholder to file all U.S. federal, state and local tax returns that may be required of the unitholder. Also see Item 1A. “Risk Factors—Tax Risks to Unitholders” and “Risk Factors—Tax Risks to Common Unitholders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Partnership Status; Cash 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taxes assessed at the entity level as a result of audit adjustments by the IRS, we generally are not liable for U.S. federal income taxes, and a common unitholder is required to report on the unitholder’s U.S.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Partnership Allocations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Limitations on Deductibility of Partnership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taxpayers other than corporations in taxable years beginning after December 31, 2020, and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Limitations on Interest Deductions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Section 754 Election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Disposition of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State, Local and Other Tax Considerations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U.S.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Ownership of Common Units by Tax-Exempt Organizations and Certain Other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U.S. federal income tax returns and to pay tax on the unitholder’s share of our taxable income and on gain realized from the sale or disposition of common units to the extent the gain is effectively connected with a U.S. trade or business of the non-U.S. unitholder.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rules applicable to publicly traded partnerships, distributions to non-U.S. persons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Prospective foreign unitholders should consult their tax advisors regarding the impact of these rules on an investment in our common units.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Audit Procedures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Publicly-traded partnerships are treated as entities separate from their owners for purposes of U.S.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if the IRS makes audit adjustments to income tax returns filed by an entity in which we are a member or partner, it may assess and collect any taxes (including penalties and interest) resulting from such audit adjustment directly from such entity.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make available, free of charge on our Internet website at </w:t>
      </w:r>
      <w:r>
        <w:rPr>
          <w:rFonts w:ascii="Times New Roman;sans-serif" w:hAnsi="Times New Roman;sans-serif"/>
          <w:b w:val="false"/>
          <w:i/>
          <w:color w:val="000000"/>
          <w:sz w:val="20"/>
        </w:rPr>
        <w:t>www.plains.com</w:t>
      </w:r>
      <w:r>
        <w:rPr>
          <w:rFonts w:ascii="Times New Roman;sans-serif" w:hAnsi="Times New Roman;sans-serif"/>
          <w:b w:val="false"/>
          <w:color w:val="000000"/>
          <w:sz w:val="20"/>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76" w:before="0" w:after="12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herein to our “facilities” includes all of the pipelines, terminals, storage and other assets owned by us. 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Summary of Risk Factors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results of operations, financial condition, cash flows and unit price can be adversely affected by many factors including but not limited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volume of crude oil, natural gas and NGL shipped, processed, purchased, stored, fractionated and/or gathered at or through the use of our pipelines and facilities, which can be negatively impacted by a variety of factors outside of our control;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competition in our industry, including recontracting and other risks associated with the general capacity overbuild of midstream energy infrastructure in some of the areas where we operate;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supply and demand for the products we handle and the services we provide, which can be caused by a variety of factors outside of our control;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natural disasters, catastrophes, terrorist attacks (including eco-terrorist attacks), process safety failures, equipment failures or other events, including pipeline or facility accidents;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information or operations technology failures, including cybersecurity attacks, data breaches and other disruptions affecting us, or our service providers;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risks arising from climate change, energy conservation measures, or initiatives that stimulate demand for alternative forms of energy;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societal and political pressures from various groups, including opposition to the development or operation of our pipelines and facilities;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increased concern by financial stakeholders with respect to our governance structure and the perceived social and environmental cost of our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overall forward market for crude oil and NGL, and certain market structures, the absence of pricing volatility and other market factors;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inability to fully implement or realize expected returns or other anticipated benefits associated with acquisitions/divestitures, joint venture and joint ownership arrangements, and other projects;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entering into new businesses in connection with our strategy to participate in emerging energy opportunities;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loss of our investment grade credit rating or a significant reduction in our ability to receive open credit;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credit risk of our customers and other counterparties we transact with in the ordinary course of business activities;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otherwise limit our access to capital;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insufficiency of, or non-compliance with, our risk policies;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insurance coverage may not fully cover our losses and we may in the future encounter increased costs related to, and lack of availability of, insurance;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trade tariffs, duties, quotas, inflation, supply disruptions or other factors affecting the commodities and materials we use in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pandemics, epidemics or other public health events;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current or future debt levels, or inability to borrow additional funds or capitalize on business opportunities;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interest rates and currency exchange rates;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recruiting and retaining our workforce;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impairment of long-term assets;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significant under-utilization of certain assets due to fixed costs incurred to obtain the right to use such assets;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cost to repair and maintain our assets;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do not own all of the land on which our pipelines and facilities are located, which could result in disruptions to our operations;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pace of development of natural gas infrastructure could have an adverse impact on expected crude oil production growth in the Permian Basin.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Laws and Regulations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adversely impacted by existing or new laws, executive orders and regulations relating to protection of the environment and wildlife, operational safety, cross-border import/export and tax matters, financial and hedging activities, climate change and related matters.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Inherent in an Investment in 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structure carries inherent risks,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 reimbursements due to our general partner may be substantial and will reduce our cash available for distribution to unitholders;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cash distributions are not guaranteed and may fluctuate with our performance and the establishment of financial reserves;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preferred units have rights, preferences and privileges that are not the same as, and are preferential to, the rights of holders of our common units;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unitholders may not be able to remove our general partner even if they wish to do so;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issue additional common units without unitholder approval, which would dilute a unitholder’s existing ownership interests;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conflicts of interest could arise among our general partner and us or our unitholders.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an Investment in Our Debt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debt securities are subject to risks including but not limited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do not have the same flexibility as other types of organizations to accumulate cash, which may limit cash available to service our debt securities or to repay them at maturity.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Tax Risks to Common Unitholders and Series B Preferred Unitholders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Units and Series B Preferred Units are subject to tax risks, which may adversely impact the value of or market for our units and may reduce our cash available for distribution or debt service, including but not limited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status as a partnership for U.S. federal income tax purposes and not being subject to a material amount of entity-level taxation;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legislative, judicial or administrative changes or differing interpretations, possibly applied on a retroactive basis, or expiration of existing provisions;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audit adjustments to our income tax returns by the IRS or state tax authorities;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IRS or Canada Revenue Agency (“CRA”) contests to the federal income tax positions or inter-country allocations we take;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unitholders may be required to pay taxes on their share of our income even if they do not receive any cash distributions from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tax-exempt entities and non-U.S. unitholders face unique tax issues from owning our units;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taxable gain or loss on the disposition of our common units could be more or less than expected;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unitholders may be subject to limitation on their ability to deduct interest expense incurred by us;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unitholders will likely be subject to state, local and non-U.S. taxes and return filing requirements in states and jurisdictions where they do not live as a result of investing in our units;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profitability depends on the volume of crude oil, natural gas and NGL shipped, processed, purchased, stored, fractionated and/or gathered at or through the use of our pipelines and facilities, which can be negatively impacted by a variety of factors outside of our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our pipelines and at our other facilities, which, depending on the level of production declines,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Also, except with respect to some of our more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our ability to secure additional supplies of crude oil.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profitability can be negatively affected by a variety of factors stemming from competition in our industry, including recontracting and other risks associated with the general capacity overbuild of midstream energy infrastructure in some of the areas where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 and make recontracting at favorable rates and volumes more challenging, including, for example, with respect to certain of our long-haul Permian pipelines.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driver of competition in some of the markets where we operate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 areas where we operate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In addition, our crude oil and NGL merchant activities utilize many of our pipelines and facilities. Competition that impacts our merchant activities could result in a reduction in the use of our transportation and facilities assets.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supply and demand for the products we handle, which can be caused by a variety of factors outside of our control, can negatively affect 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Supply and demand for crude oil and other hydrocarbon products we handle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our transportation assets to satisfy their demand by deliveries through those assets. Decreases in demand for the products we handle, whether at a global level or in areas our assets serve, can negatively affect 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the availability of certain grades of crude oil at specific locations, and thus is largely unpredictable.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or margins we earn. Also, increased supply of NGL products could reduce the value of NGL we handle and reduce the margins realized by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 which could have a material adverse effect on our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our physical facilities and hackers may attack our electronic and computer systems.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our operations, hinders our ability to fulfil our contractual obligations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 or other transactions.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Our business is highly dependent on the use of information and operations technology systems and the unavailability or ineffectiveness of such systems, whether due to cybersecurity attacks, data breaches, human error or</w:t>
      </w:r>
      <w:r>
        <w:rPr>
          <w:color w:val="000000"/>
        </w:rPr>
        <w:t xml:space="preserve"> </w:t>
      </w:r>
      <w:r>
        <w:rPr>
          <w:rFonts w:ascii="Times New Roman;sans-serif" w:hAnsi="Times New Roman;sans-serif"/>
          <w:b/>
          <w:i/>
          <w:color w:val="000000"/>
          <w:sz w:val="20"/>
        </w:rPr>
        <w:t>other disruptions affecting us, or our service providers, could materially and adversely affect our business, operations, reputation and financial results.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continuous and uninterrupted operation of the information and operations technology systems and infrastructure we use (collectively, our “IT systems”), which include a broad array of third party and cloud-based software, technologies, tools and security products, is critical to the operation of our business and essential to our ability to perform day-to-day operations. If we are unable to implement, use and maintain effective IT systems, it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have, from time to time, been subject to cyberattacks. The frequency and magnitude of cyberattacks is expected to increase and attackers are becoming more sophisticated. Infrastructure assets, including pipelines, may be specifically targeted by certain groups, such as “hacktivists,” state-sponsored groups, criminal organizations or private individuals.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breach or failure of our IT systems, whether due to cyberattacks or other malfeasance, human error, power failures or other disruptions, could result in interruptions to our operations, damage to our assets, safety incidents, damage to the environment and disclosure of sensitive information (including proprietary business information, critical operating information and data, information regarding our customers, suppliers, royalty owners and business partners, and personally identifiable information of our employees). This could in turn cause us to incur significant costs and liabilities, including ransom payments, remediation costs, legal claims, regulatory enforcement actions, violation of privacy or securities laws and regulations and the loss of contracts or the inability to fulfil our contractual obligations. Any of these events could have a material adverse effect on our operations, financial position and results of operations. In addition, we may be required to invest significant additional resources to enhance our information security and controls or to comply with evolving cybersecurity laws or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emergence of new technologies (including generative artificial intelligence) could increase any of the foregoing risks or create new risks. We or our counterparties may rely upon such technologies for our operations or security, which could make us more vulnerable to technology failures. Our competitors may more effectively implement such technologies in their businesses, and we may be unable to compete as effectively. New technologies are also subject to intentional misuse by criminals, terrorists or other bad 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and our customers’ operations are subject to various risks arising out of the threat of climate 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and our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our services or the products we handle. Government initiatives or technological advances may also create new competitive conditions that result in reduced demand for the products our customers produce and, in turn, the services we provide. The potential impact of changing demand for crude oil and natural gas services and products may have a material adverse effect on our business, financial condition, results of operations and cash flows. Additionally, the threat of climate change may negatively impact our business if it results in us restricting, delaying or canceling development activities and new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we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our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changes that have significant physical effects, such as increased frequency and severity of storms, droughts, floods and other climatic events, as well as shifts in temperature and precipitation patterns have the potential to cause physical damage to our assets or disrupt our supply chains and thus could have an adverse effect on our operations. Our ability to manage the adverse impacts of these events depends in part on the effectiveness our disaster preparedness and response and business continuity planning, which may not have considered or be prepared for every eventuality.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full impact of climate change on our business, as well as the businesses of our customers and suppliers is unknown. Any of factors discussed above, or any other unanticipated developments, could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face opposition from various groups to the development or operation of our pipelines and facilities and our business may be subject to societal and political pressures.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face opposition to the development or operation of our pipelines and facilities from environmental groups, landowners, indigenous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and our ongoing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scrutiny by financial stakeholders with respect to the perceived social and environmental cost of our industry and our governance structure, which may adversely impact our ability to raise capital from such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stakeholders’ focus and activism related to sustainability and similar matters could constrain our ability to raise capital. Any material limitations on our ability to access capital as a result of such scrutiny could limit our ability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obtain future financing on favorable terms, or at all, or could result in increased financing costs in the future. Similarly, such activism could negatively impact our unit price or the price of our debt, limiting our ability to raise capital through equity issuances or debt financing, or could negatively affect our ability to engage in, expand or pursue our business activities, and could also prevent us from engaging in certain transactions that might otherwise be considered beneficial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our services or the products we handle, reduced profits, increased legislative and judicial scrutiny, investigations and litigation, reputational damage, and negative impacts on our access to capital markets. We could also be subject to additional governmental investigations, private litigation, or activist campaigns as unitholders may attempt to effect changes to our business or governance practices.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finalized a set of climate disclosure rules that would mandate extensive disclosure of climate-related risks, including financial impacts, physical and transition risks, climate-related governance and strategy, and GHG emissions, for all U.S.-listed public companies. Several states, including California, have passed or proposed bills requiring similar, or more extensive, climate disclosure rules. These rules have been subject to legal challenges, and in April 2024 the SEC issued a voluntary stay of its rules. Although the outcome of these challenges is not yet known and the ultimate impact of these rules on our business is uncertain, compliance with the rules, if implemented,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crude oil and NGL merchant activities are influenced by the overall forward market for crude oil and NGL, and certain market structures, the absence of pricing volatility and other market factors may adversely impact our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profitability of our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our merchant activities. During periods where midstream infrastructure is over-built and/or there is a lack of volatility in the pricing structure, our results may be negatively impacted. Depending on the overall duration of these transition periods, how we have allocated our assets to particular strategies and the tenor of our crude oil purchase and sale contracts and storage agreements, these periods may have either an adverse or beneficial effect on the profitability of our merchant activities. In the past, the results of such activities have varied significantly based on market conditions and these activities may continue to experience highly variable results as a result of future changes to the markets for crude oil and NGL.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Joint ventures, joint ownership arrangements and other capital projects pose unique challenges and we may not be able to fully implement or realize synergies, expected returns or other anticipated benefits associated with such projects.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participate in a number of projects with various counterparties, and may continue to pursue new capital projects in the future. These projects can involve the expansion, modification, divestiture or combination of existing assets or the construction of new midstream energy infrastructure assets and involve numerous regulatory, environmental, commercial, economic, weather-related, political and legal uncertainties that are beyond our control, including the following: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be unable to realize our forecasted commercial, operational or administrative synergies in connection with our joint ventures and joint ownership arrangements, including the Permian JV;</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Joint ventures and other joint ownership arrangements may demand substantial internal resources and may divert resources and attention from other areas of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construct pipelines, facilities or other assets in anticipation of market demand that dissipates or market growth that never materializes;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face opposition to our planned projects from environmental groups, landowners, local groups and other advocates, including lawsuits or other actions designed to disrupt or delay our planned projects;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completion or success of our projects may depend on the completion or success of third-party facilities over which we have no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uncertainties, the anticipated benefits associated with our joint ventures, joint ownership arrangements and other capital projects may not be achieved or could be delayed. In turn, this could negatively impact our cash flow and our ability to make or increase cash distributions to our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 and divestitures involve risks that may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execute our financial strategy is in part dependent on our ability to complete strategic transactions, including acquisitions, divestitures or sales of interests to strategic partners. If we are unable to successfully complete, integrate or realize the anticipated benefits of future acquisitions or planned divestitures (due to reduced investment in the energy sector, governmental action, litigation, counterparty non-performance or other factors), it may be more difficult for us to implement our business strategies, maintain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also involve potential risks, including: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performance from the acquired businesses or assets that is below the forecasts we used in evaluating the acquisition;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significant increase in our indebtedness and working capital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inability to timely and effectively integrate the operations of recently acquired businesses or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risks associated with operating in lines of business that are distinct and separate from our historical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customer or key employee loss from the acquired businesses;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diversion of management’s attention from other business concerns.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adversely affect our ability to achieve anticipated levels of cash flows or other benefits from our acquisitions, pay distributions to our partners or meet our debt service requirements.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enter into new businesses in connection with our strategy to participate in emerging energy opportunities. If we are unable to execute on this strategy or operate these new lines of business effectively, our future growth could be limited. These new lines of business may never develop or may present risks that we cannot effectively manage.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strategy, we intend to evaluate the potential to repurpose certain under-utilized assets for an alternative use in emerging energy opportunities. This may involve entering into new lines of businesses, which present different challenges and risks. We may be unable to execute on our business plans, demand for these new services may not develop on a large or economic scale, or we may fail to operate these businesses effectively. In addition, we may not be able to compete with companies who also plan to enter into these new lines of business, and who may be larger than us and may have greater financial resources to devote to these businesses. These new businesses may also present novel issues in law, taxation, safety or environmental policy, and other areas that we may not be able to manage effectively. Management’s assessment of the risks in these new lines of business may be inexact and not identify or resolve all the problems that we would face. If we are not able to enter into these new lines of business effectively or at all, it could limit our future growth if such emerging energy businesses grow and become a more important part of the energy industry.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exposed to the credit risk of our customers and other counterparties we transact with in the ordinary course of our business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number of minimum volume commitment contracts that support our pipelines.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movements by shippers of volumes that are less than minimum volume commitments could be significant and could adversely affect our profitability and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We also rely to a significant degree on the banks that lend to us under our revolving credit facility for financial liquidity, and any failure of those banks to perform their obligations to us could significantly impair our liquidity. Furthermore, nonpayment by the counterparties to our interest rate and/or commodity derivatives could expose us to additional interest rate and/or commodity price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Tightened capital markets or other factors that increase our cost of capital or otherwise limit our access to capital could impair our ability to achieve our strategic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limitations on our access to capital or increase in the cost of that capital could significantly impair the implementation of our strategy. Our inability to maintain our targeted credit profile, including maintaining our credit ratings, could adversely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cash flows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risk policies cannot eliminate all risks and the insufficiency of, or non-compliance with our risk policies could result in significant financial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it is our policy to establish a margin for crude oil or other products we purchase by selling such products for physical delivery to third-party users, or by entering into futures or derivative contracts that require future delivery or financial settlement, as applicable.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or benchmark and sold against a different index or benchmark. We may also face disruptions to futures markets for crude oil, NGL and other petroleum products, which may impair our ability to execute our commercial or hedging strategies. Margin requirements due to spikes or crashes in commodity prices may require us to exit hedge strategies at inopportune times. We are also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and NGL, up to predefined limits and authorizations. Although this activity is monitored independently by our risk management function, it exposes us to commodity price risks within these limits.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taken steps within our organization to implement processes and procedures designed to detect unauthorized trading and non-compliance with our risk policies; however, we can provide no assurance that these steps will detect and prevent all violations of our risk policies and procedures, particularly if deception, collusion or other intentional misconduct is involved.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insurance coverage may not fully cover our losses and we may in the future encounter increased costs related to, and lack of availability of, 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 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in the past,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losses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our financial position, results of operations and cash flows. For a discussion of our Line 901 Incident insurance receivable, please read Item 7. “Management’s Discussion and Analysis of Financial Condition and Results of Operations—Critical Accounting Policies and Estimates— Line 901 Incident Insurance Receivable” and Note 18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Trade tariffs, duties, quotas, inflation, supply disruptions or other factors affecting the commodities and materials we use in our business could have a material and adverse impact on our results of operations, financial condition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commodities and materials we use in our business are imported and exported. We export crude oil and NGL from Canada into U.S. markets. To the extent these products become subject to import tariffs in the U.S., it could expose us to costs that we cannot recover from our customers. Existing and future trade tariffs, import duties and quotas could also materially increase our costs of procuring the commodities and materials we use and disrupt the markets for the products we handle, which in turn could have a material adverse effect on our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also depends on having access to significant amounts of electricity and other commodities. If we are unable to obtain commodities sufficient to operate and maintain our assets, or only able to do so at commercially unreasonable prices, it could materially and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Supply chain disruptions and inflation of prices for commodities, materials, products and shipping may make it more challenging to obtain sufficient quantities of high quality materials at acceptable prices and in a timely manner. If we are unable to source such materials, it could materially and adversely affect our ability to construct new infrastructure and operate and maintain our existing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results of operations, financial condition, cash flows and unit price can be adversely affected by pandemics, epidemics or other public health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Loss of our investment grade credit rating or the ability to receive open credit could negatively affect our borrowing costs, ability to purchase crude oil, NGL and natural gas supplies or to capitalize on market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dependent on our ability to maintain an attractive credit rating and continue to receive open credit from our suppliers and trade counterparties. Our senior unsecured debt is currently rated as “investment grade” by Standard &amp; Poor’s, Moody’s Investors Service and Fitch Ratings Inc. A downgrade by such agencies to a level below investment grade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Accordingly, loss of our investment grade credit ratings could adversely impact our cash flows, our ability to make distributions and the value of our outstanding equity and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face value of our consolidated debt outstanding was approximately $7.7 billion (excluding unamortized discounts and debt issuance costs of approximately $42 million), consisting of approximately $7.3 billion face value of long-term debt (including senior notes and finance lease obligations) and approximately $408 million of short-term borrowings. As of December 31, 2024, we had over $2.6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our current or future indebtedness could have significant effects on our operations, including, among other things: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significant portion of our cash flow will be dedicated to the payment of principal and interest on our indebtedness and may not be available for other purposes, including the payment of distributions on our units and capital expenditures;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credit rating agencies may view our debt level negatively;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covenants contained in our existing debt arrangements will require us to continue to meet financial tests that may adversely affect our flexibility to plan for and react to changes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obtain additional financing for working capital, capital expenditures, acquisitions and general partnership purposes may be limited;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be at a competitive disadvantage relative to similar companies that have less debt;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more vulnerable to adverse economic and industry conditions as a result of our significant debt level.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access capital markets to raise capital on favorable terms will be affected by our debt level, our operating and financial performance, the amount of our current maturities and debt maturing in the next several years, and by prevailing market conditions. In addition,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more expensive and restrictive bank credit, as opposed to long-term public debt securities or equity securities, or the sale of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execute our capital allocation strategies and priorities.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Increases in interest rates could adversely affect our business and the trading price of our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face value of our consolidated debt was approximately $7.7 billion (excluding unamortized discounts and debt issuance costs of approximately $42 million), substantially all of which was at fixed interest rates. Significant increases in interest rates above current levels could adversely affect our results of operations, cash flows and financial position due to, among other things:</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exposure to market risk due to the short-term nature of our commercial paper borrowings and the floating interest rates on our credit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Any potential refinancing of our indebtedness at rates higher than historical amounts;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Increasing interest costs associated with the storage of hedged crude oil and NGL inventory in our merchant activities;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Distributions payable on our Series B preferred units, which accumulate for each distribution period at a percentage of the liquidation preference equal to the applicable three-month Secured Overnight Financing Rate (SOFR), plus a credit spread adjustment of 0.26161%, plus 4.11% per annum.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trading price of our common units may be sensitive to changes in interest rates and any rise in interest rates could adversely impact such trading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currency exchange rates could adversely affect 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if the U.S. dollar appreciates against the Canadian dollar, the U.S. dollar value of our Canadian dollar denominated earnings is reduced for U.S. reporting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requires the retention and recruitment of a skilled workforce, and difficulties retaining and recruiting our workforce could result in a failure to implement our business plans.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management require the retention and recruitment of a skilled workforce, including engineers, technical personnel and other professionals. We and our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we are unable to (i) retain current employees; and/or (ii) recruit new employees of comparable knowledge and experience, our business could be negatively impacted. In addition, we could experience increased costs to retain current employees and recruit new employees.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 impairment of long-term assets could reduce our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approximately $15.4 billion of net property and equipment, $968 million of linefill, $2.8 billion of investments accounted for under the equity method of accounting and approximately $1.7 billion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on the use or availability of third-party assets for certain of our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Significant under-utilization of certain assets could significantly reduce our profitability due to fixed costs incurred to obtain the right to use such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(such as maintenance, storage or other costs). Significant under-utilization of assets we lease or otherwise secure the right to use in connection with our business could have a significant negative impact on our profitability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Many of our assets have been in service for many years and require significant expenditures to maintain them or remove them from service. As a result, our maintenance, repair or asset retirement costs may increase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pipelines, terminals, storage and processing and fractionation assets are generally long-lived assets, and many of them have been in service for many years. The age and condition of our assets could result in increased maintenance, repair or asset retirement expenditures in the future. Any significant increase in these expenditures could adversely affect our results of operations, financial position or cash flows, as well as our ability to make cash distributions to our unitholders.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own all of the land on which our pipelines and facilities are located, which could result in disruptions to our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pace of development of natural gas infrastructure could have an adverse impact on expected crude oil production growth in the Permian Basin.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areas where we operate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we purchase in connection with our operations and reduced throughput on our pipelines and at our other facilities, which, depending on the impact to production growth, could have a material adverse effect on our financial position,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involving the storage, treatment, processing, and transportation of liquid hydrocarbons, including crude oil, NGL and natural gas, are subject to stringent federal, state, and local laws and regulations governing the discharge of materials into the environment. Our operations are also subject to laws and regulations relating to protection of the environment, natural resources, operational safety, climate change and related matters. Compliance with these laws and regulations may increase our overall cost of doing business, including our capital costs to construct, maintain and upgrade equipment and facilities. Also, new or additional laws and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or remedial obligations or the incurrence of capital expenditures, the costs of which may be substantial. Any such failure could also result in the imposition of restrictions, delays or cancellations in the permitting or performance of projects, or the issuance of injunctions that may subject us to additional operational requirements and constraints, or claims of damages to property or persons.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new or additional laws or regulations. For example, certain U.S. presidential administrations have pursued regulatory agendas focused on the emission of GHGs or other pollutants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us could have a material adverse effect on our financial position, results of operations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history of making incremental additions to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increase the capacity of our existing assets or acquire additional assets we are at risk for an increase in the number and/or volume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devote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18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assets are subject to federal, state and provincial regulation. Rate regulation or a successful challenge to the rates we charge on our U.S. and Canadian pipeline systems may reduce the amount of cash we generate.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We are also subject to the Pipeline Safety Regulations of the DOT. Our intrastate pipeline transportation activities are subject to various state laws and regulations as well as orders of state regulatory bodies.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our U.S. interstate common carrier liquids pipelines subject to FERC regulation under the ICA, shippers may protest our pipeline tariff filings or file complaints against our existing rates or complaints alleging that we are engaging in discriminatory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Some of our operations cross the U.S./Canada border and are subject to cross-border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cross border activities subject us to regulatory matters, including import and export licenses, trade tariffs, Canadian and U.S. customs and tax issues and toxic substance certifications. Such regulations include the USMCA and the TSCA. Violations of these licensing, trade tariff and tax reporting requirements could result in the imposition of significant administrative, civil and criminal penalties. Furthermore, Presidential Permits that allow cross-border movements of crude oil may be revoked or terminated at any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purchases and sales of crude oil, natural gas and NGL, and hedging activities, expose us to potential regulatory risks.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Existing or future derivatives legislation and regulations could have an adverse impact on our ability to use derivative instruments to reduce the effect of commodity price, interest rate and other risks associated with our business and increase the amount of working capital required to conduct these hedging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(the “Dodd-Frank Act”) established federal oversight and regulation of derivative markets and entities, such as us, that participate in those markets. The CFTC has promulgated implementing regulations with respect to the Dodd-Frank Act.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 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statutory or regulatory provisions implementing derivatives regulations could be amended, and we cannot predict the impact on our hedging activities of any future amendments. Any such changes could have a material adverse effect on us, our financial condition and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Legislation, executive orders and regulatory initiatives relating to climate change could have a material adverse effect on our business, demand for our services,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require enhanced disclosure of such GHG emission and other climate-related information, or promote and subsidize lower GHG-emitting, alternative energy products, could result in reduced demand for crude oil and natural gas, and thus our services, as well as increase our compliance costs. Although it is not possible at this time to predict how legislation or new regulations that may be adopted to address GHG emissions and climate change could impact our business, any such future laws and regulations could have a material adverse effect on our business, demand for our services,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Legislation, executive orders and regulatory initiatives relating to hydraulic fracturing or other hydrocarbon development activities could reduce domestic production of crude oil and natural gas.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We do not perform hydraulic fracturing, but much of the production that flows on our assets was produced with the benefit of hydraulic fracturing. There have been a variety of legislative and regulatory proposals to prohibit, restrict, or more closely regulate various forms of hydraulic fracturing; for example, California’s Department of Conservation’s Geologic Energy Management Division issued a final regulatory statewide ban on hydraulic fracturing in October 2024. Other states require the disclosure of certain chemicals used in hydraulic fracturing and have conducted investigations into connections between hydraulic fracturing and induced seismicity.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our transportation, terminalling and storage services as well as our merchant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Laws and regulations pertaining to the protection of threatened and endangered species or to critical habitat, wetlands and natural resources could delay, restrict or prohibit our and our customers’ operations and cause us or our customers to incur substantial costs that may have a material adverse effect on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our operations are conducted in areas where protected species or their habitats are known to exist, and from time to time our development plans have been impacted in these areas. We may be obligated to develop and implement plans to avoid potential adverse effects to protected species and their habitats, and we may be delayed, restricted or prohibited from conducting operations in certain locations or during certain seasons, such as breeding and nesting seasons, when our operations could have an adverse effect on the species. Additionally, the designation of previously unprotected species or the re-designation of under-protected species as threatened or endangered in areas where we or our customers conduct operations could cause us to incur increased costs arising from species protection measures or could result in delays, restrictions or prohibitions on our customers’ development and production activities that could have a material adverse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Inherent in an Investment in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reimbursements due to our general partner may be substantial and will reduce our cash available for distribution to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distributions are not guaranteed and may fluctuate with our performance and the establishment of financial reserves.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Therefore, cash distributions might be made during periods when we record losses and might not be made during periods when we record profits.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preferred units have rights, preferences and privileges that are not the same as, and are preferential to, the rights of holders of our common units.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distributions on the preferred units accrue and are cumulative, at a fixed rate with respect to our Series A preferred units and at a floating rate with respect to our Series B preferred units.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Unitholders may not be able to remove our general partner even if they wish to do so.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Times New Roman;sans-serif" w:hAnsi="Times New Roman;sans-serif"/>
          <w:b w:val="false"/>
          <w:color w:val="000000"/>
          <w:sz w:val="13"/>
        </w:rPr>
        <w:t>2</w:t>
      </w:r>
      <w:r>
        <w:rPr>
          <w:rFonts w:ascii="Times New Roman;sans-serif" w:hAnsi="Times New Roman;sans-serif"/>
          <w:b w:val="false"/>
          <w:color w:val="000000"/>
          <w:sz w:val="20"/>
        </w:rPr>
        <w:t>/</w:t>
      </w:r>
      <w:r>
        <w:rPr>
          <w:rFonts w:ascii="Times New Roman;sans-serif" w:hAnsi="Times New Roman;sans-serif"/>
          <w:b w:val="false"/>
          <w:color w:val="000000"/>
          <w:sz w:val="13"/>
        </w:rPr>
        <w:t>3</w:t>
      </w:r>
      <w:r>
        <w:rPr>
          <w:rFonts w:ascii="Times New Roman;sans-serif" w:hAnsi="Times New Roman;sans-serif"/>
          <w:b w:val="false"/>
          <w:color w:val="000000"/>
          <w:sz w:val="20"/>
        </w:rPr>
        <w:t>% of our outstanding units (including units held by our general partner or its affiliates). Because AAP owns approximately 30% of our outstanding Common Unit Equivalents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provisions of our partnership agreement may discourage a person or group from attempting to remove our general partner or otherwise change our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PAGP GP Board is composed of three classes of directors, which limits our unitholders’ ability to make significant changes to the board in any given year;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limitations upon the ability of unitholders to call meetings or to acquire information about our operations, as well as other limitations upon the unitholders’ ability to influence the manner or direction of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provisions, the price at which our common units will trade may be lower because of the absence or reduction of a takeover premium in the trading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issue additional common units without unitholder approval, which would dilute a unitholder’s existing ownership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existing unitholder’s proportionate ownership interest in the Partnership will decrease;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amount of cash available for distribution on each unit may decrease;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ratio of taxable income to distributions may increase;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relative voting strength of each previously outstanding unit may be diminished;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market price of the common units may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general partner has a limited call right that may require unitholders to sell their units at an undesirable time or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Unitholders may not have limited liability if a court finds that unitholder actions constitute control of our business and unitholders may have liability to repay distributions under certain circumstances.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Conflicts of interest could arise among our general partner and us or the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conflicts may include the following: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under our partnership agreement, we reimburse the general partner for the costs of managing and for operating the partnership;</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amount of cash expenditures, borrowings and reserves in any quarter may affect available cash to pay quarterly distributions to unitholders;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general partner would not breach our partnership agreement by exercising its call rights to purchase limited partnership interests or by assigning its call rights to one of its affiliates or to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control of our general partner may be transferred to a third party without unitholder consent. A change of control may result in defaults under certain of our debt instruments and the triggering of payment obligations under compensation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an Investment in Our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leverage may limit our ability to borrow additional funds, comply with the terms of our indebtedness or capitalize on business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leverage is significant in relation to our partners’ capital. At December 31, 2024, the face value of our total outstanding long-term debt was approximately $7.3 billion, and the face value of our total outstanding short-term debt was approximately $408 million.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ability to transfer our debt securities may be limited by the absence of an organized trading market.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debt securities are not listed for trading on any securities exchange or stock market and we do not currently intend to apply for any such listing.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holding company structure in which our subsidiaries conduct our operations and own our operating assets, which may restrict our ability to receive funds from such subsidiaries and make payments on our debt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do not have the same flexibility as other types of organizations to accumulate cash, which may limit cash available to service our debt securities or to repay them at maturity.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to provide for the proper conduct of our business and the businesses of our operating partnerships (including reserves for future capital expenditures and for our anticipated future credit needs);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to comply with applicable law or any loan agreement, security agreement, mortgage, debt instrument or other agreement or obligation;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to provide funds to make payments on the preferred unitholders; or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to provide funds for distributions to our common unitholders for any one or more of the next four calendar quarters.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Risks to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tax treatment depends on our status as a partnership for U.S. federal income tax purposes and not being subject to a material amount of entity-level taxation by individual states or foreign jurisdictions. If the IRS were to treat us as a corporation for U.S. federal income tax purposes, or if we become subject to a material amount of entity-level or other form of taxation for state or foreign tax purposes, our cash available for distributions to our unitholders would be substantially reduced.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anticipated after-tax economic benefit of an investment in our units depends largely on our being treated as a partnership for U.S. federal income tax purposes. A publicly traded partnership such as us may be treated as a corporation for U.S. federal income tax purposes unless it satisfies a “qualifying income” requirement, as defined in Section 7704 of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were treated as a corporation for U.S. federal income tax purposes, we would pay U.S.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by individual states or additional federal or foreign taxes on us could substantially reduce our cash available for distribution to our unitholders.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tax treatment of publicly traded partnerships or an investment in our units could be subject to potential legislative, judicial or administrative changes or differing interpretations, possibly applied on a retroactive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 Further, while unitholders of publicly traded partnerships are, subject to certain limitations, entitled to a deduction equal to 20% of their allocable share of a publicly traded partnership’s “qualified business income,” this deduction is scheduled to expire with respect to taxable years beginning after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Non-U.S. unitholders will be subject to U.S. taxes and withholding with respect to their income and gain from owning our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 In addition to the withholding tax imposed on distributions of effectively connected income, distributions to a non-U.S. unitholder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Risks to Common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the IRS or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IRS has made no determination as to our status as a partnership for U.S.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14 for additional information regarding CRA challenge of intercompany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unitholders may be required to pay taxes on their share of our income even if they do not receive any cash distributions from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unitholders will be treated as partners to whom we will allocate taxable income, including gains and losses resulting from the sale of assets, that could be different in amount than the cash we distribute, they will be required to pay any U.S.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Taxable gain or loss on the disposition of our common units could be more or less than expected.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Unitholders may be subject to limitation on their ability to deduct interest expense incurred by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Tax-exempt entities face unique tax issues from owning our common units that may result in adverse tax consequences to them.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Additionally, all or part of any gain recognized by such tax-exempt organization upon a sale or other disposition of our units may be unrelated business taxable income and may be taxable to them. Tax-exempt entities should consult a tax advisor before investing in our common units.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treat each purchaser of our common units as having the same tax benefits without regard to the common units actually purchased. The IRS may challenge this treatment, which could adversely affect the value of our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unitholders will likely be subject to state, local and non-U.S. taxes and return filing requirements in states and jurisdictions where they do not live as a result of investing in our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and pay any taxes due in these jurisdictions. Unitholders should consult with their own tax advisors regarding the filing of such tax returns, the payment of such taxes, and the deductibility of any taxes 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adopted certain valuation methodologies in determining a unitholder’s allocations of income, gain, loss and deduction. The IRS may challenge these methodologies or the resulting allocations, which could adversely affect the value of our common units.</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there are no specific rules governing the U.S.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Taxable income from our non-U.S. businesses is not eligible for the 20% deduction for qualified publicly traded partnership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taxable years beginning after December 31, 2017 and ending on or before December 31, 2025, 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Risks to Series B Preferred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quarterly guaranteed payment distributions on February 15th, May 15th, August 15th and November 15th of each year.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expect that a substantial portion of the income we earn will be eligible for the 20% deduction for qualified publicly traded partnership income for taxable years beginning before December 31, 2025,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holders of our Series B Preferred Units are urged to consult a tax advisor with respect to the consequences of owning our Series B Preferred Units.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1B.</w:t>
      </w:r>
      <w:r>
        <w:rPr>
          <w:color w:val="000000"/>
        </w:rPr>
        <w:t xml:space="preserve">  </w:t>
      </w:r>
      <w:r>
        <w:rPr>
          <w:rFonts w:ascii="Times New Roman;sans-serif" w:hAnsi="Times New Roman;sans-serif"/>
          <w:b/>
          <w:i/>
          <w:color w:val="000000"/>
          <w:sz w:val="20"/>
        </w:rPr>
        <w:t>Unresolved Staff Comments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Description of Cybersecurity Risk Management and Strategy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assess, identify and manage material cybersecurity risks, we have endeavored to implement policies, standards and technical controls with the aim of protecting our information and operations systems (collectively,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our cybersecurity programs, our security measures cannot guarantee that a significant cyberattack will not occur. A successful attack on our IT systems or those of our vendors could have significant consequences to the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Cybersecurity Program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is led by our Vice President of Information Services, North America, who reports directly to our CFO and oversees the dedicated team responsible for executing our cybersecurity strategy, including the primary assessment and management of cybersecurity risks. Our cybersecurity leadership team also includes our Director, Technology Risk and Cybersecurity, our Senior Director, Strategic Planning, our Senior Director, North American Solution Delivery and our Senior Director, Enterprise Technology. The Board receives quarterly updates on material security incidents (if applicable), detection, monitoring, security culture scores, and other key initiatives and notable events from our cybersecurity leadership team.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leadership team is made up of highly experienced professionals with an extensive background in information security, risk management, and incident response. This background includes more than 50 years of collective experience in infrastructure, cybersecurity and telecommunications.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18 to our Consolidated Financial Statements, and is incorporated herein by reference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Units, Related Unitholder Matters and Issuer Purchases of Equity Securities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 Holders and Distributions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units are listed and traded on Nasdaq under the symbol “PAA.” As of February 14, 2025, there were 703,775,950 common units outstanding and approximately 109,000 record holders and beneficial owners (held in street name).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pStyle w:val="TextBody"/>
        <w:bidi w:val="0"/>
        <w:spacing w:before="0" w:after="0"/>
        <w:ind w:left="0" w:right="0" w:firstLine="720"/>
        <w:jc w:val="left"/>
        <w:rPr/>
      </w:pPr>
      <w:r>
        <w:rPr/>
      </w:r>
    </w:p>
    <w:tbl>
      <w:tblPr>
        <w:tblW w:w="6337" w:type="dxa"/>
        <w:jc w:val="center"/>
        <w:tblInd w:w="0" w:type="dxa"/>
        <w:tblLayout w:type="fixed"/>
        <w:tblCellMar>
          <w:top w:w="28" w:type="dxa"/>
          <w:left w:w="28" w:type="dxa"/>
          <w:bottom w:w="28" w:type="dxa"/>
          <w:right w:w="28" w:type="dxa"/>
        </w:tblCellMar>
      </w:tblPr>
      <w:tblGrid>
        <w:gridCol w:w="196"/>
        <w:gridCol w:w="172"/>
        <w:gridCol w:w="173"/>
        <w:gridCol w:w="222"/>
        <w:gridCol w:w="759"/>
        <w:gridCol w:w="114"/>
        <w:gridCol w:w="109"/>
        <w:gridCol w:w="109"/>
        <w:gridCol w:w="109"/>
        <w:gridCol w:w="255"/>
        <w:gridCol w:w="873"/>
        <w:gridCol w:w="132"/>
        <w:gridCol w:w="109"/>
        <w:gridCol w:w="109"/>
        <w:gridCol w:w="109"/>
        <w:gridCol w:w="234"/>
        <w:gridCol w:w="800"/>
        <w:gridCol w:w="121"/>
        <w:gridCol w:w="109"/>
        <w:gridCol w:w="109"/>
        <w:gridCol w:w="109"/>
        <w:gridCol w:w="253"/>
        <w:gridCol w:w="867"/>
        <w:gridCol w:w="18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units are also used as a form of compensation to our employees. See Note 17 to our Consolidated Financial Statements for additional information regarding our equity-indexed compensation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Performance Graph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total unitholder return performance of our common units with the performance of: (i) 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common units and each comparison index beginning on December 31, 2019 and that all distributions were reinvested on a quarterly basis.</w:t>
      </w:r>
    </w:p>
    <w:p>
      <w:pPr>
        <w:pStyle w:val="TextBody"/>
        <w:bidi w:val="0"/>
        <w:spacing w:before="0" w:after="0"/>
        <w:jc w:val="left"/>
        <w:rPr/>
      </w:pPr>
      <w:r>
        <w:rPr/>
      </w:r>
    </w:p>
    <w:p>
      <w:pPr>
        <w:pStyle w:val="TextBody"/>
        <w:bidi w:val="0"/>
        <w:spacing w:before="0" w:after="0"/>
        <w:jc w:val="center"/>
        <w:rPr/>
      </w:pPr>
      <w:r>
        <w:rPr/>
        <w:drawing>
          <wp:inline distT="0" distB="0" distL="0" distR="0">
            <wp:extent cx="6496050" cy="3238500"/>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6"/>
                    <a:stretch>
                      <a:fillRect/>
                    </a:stretch>
                  </pic:blipFill>
                  <pic:spPr bwMode="auto">
                    <a:xfrm>
                      <a:off x="0" y="0"/>
                      <a:ext cx="6496050" cy="3238500"/>
                    </a:xfrm>
                    <a:prstGeom prst="rect">
                      <a:avLst/>
                    </a:prstGeom>
                  </pic:spPr>
                </pic:pic>
              </a:graphicData>
            </a:graphic>
          </wp:inline>
        </w:drawing>
      </w:r>
    </w:p>
    <w:p>
      <w:pPr>
        <w:pStyle w:val="TextBody"/>
        <w:bidi w:val="0"/>
        <w:spacing w:before="0" w:after="0"/>
        <w:jc w:val="center"/>
        <w:rPr/>
      </w:pPr>
      <w:r>
        <w:rPr/>
      </w:r>
    </w:p>
    <w:tbl>
      <w:tblPr>
        <w:tblW w:w="9092" w:type="dxa"/>
        <w:jc w:val="center"/>
        <w:tblInd w:w="0" w:type="dxa"/>
        <w:tblLayout w:type="fixed"/>
        <w:tblCellMar>
          <w:top w:w="28" w:type="dxa"/>
          <w:left w:w="28" w:type="dxa"/>
          <w:bottom w:w="28" w:type="dxa"/>
          <w:right w:w="28" w:type="dxa"/>
        </w:tblCellMar>
      </w:tblPr>
      <w:tblGrid>
        <w:gridCol w:w="303"/>
        <w:gridCol w:w="267"/>
        <w:gridCol w:w="26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12/31/2024</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Cash Distribution Policy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to:</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provide for the proper conduct of our business and the business of our operating partnerships (including reserves for future capital expenditures and for our anticipated future credit needs);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comply with applicable law or any loan agreement, security agreement, mortgage, debt instrument or other agreement or obligation;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funds for future distributions to our Series A and Series B preferred unitholders or distributions to our common unitholders for any one or more of the next four calendar quarters.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available cash also includes cash on hand resulting from borrowings made after the end of the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our partnership agreement, our Series A preferred units and our Series B preferred units rank senior to all classes or series of equity securities in us with respect to distribution rights.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w:t>
      </w:r>
      <w:r>
        <w:rPr>
          <w:color w:val="000000"/>
        </w:rPr>
        <w:t xml:space="preserve">   </w:t>
      </w:r>
      <w:r>
        <w:rPr>
          <w:rFonts w:ascii="Times New Roman;sans-serif" w:hAnsi="Times New Roman;sans-serif"/>
          <w:b/>
          <w:i/>
          <w:color w:val="000000"/>
          <w:sz w:val="20"/>
        </w:rPr>
        <w:t>Management’s Discussion and Analysis of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Critical Accounting Policies and Estimates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comparative discussion of our 2023 to 2022 operating results and performance measures can be found in Item 7. “Management’s Discussion and Analysis of Financial Condition and Results of Operations—Results of Operations” included in our Annual Report on Form 10-K for the year ended December 31, 2023 filed with the SEC on February 29,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Market Overview and Outlook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2020 and the U.S. Energy Information Administration’s (“EIA”) Short-Term Energy Outlook as of January 2025:</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 xml:space="preserve">World Liquid Fuels Production and Consumption Balance </w:t>
      </w:r>
      <w:r>
        <w:rPr>
          <w:rFonts w:ascii="Times New Roman;sans-serif" w:hAnsi="Times New Roman;sans-serif"/>
          <w:b/>
          <w:color w:val="000000"/>
          <w:sz w:val="13"/>
        </w:rPr>
        <w:t>(1)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of barrels per day)</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3314700"/>
            <wp:effectExtent l="0" t="0" r="0" b="0"/>
            <wp:docPr id="7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 descr=""/>
                    <pic:cNvPicPr>
                      <a:picLocks noChangeAspect="1" noChangeArrowheads="1"/>
                    </pic:cNvPicPr>
                  </pic:nvPicPr>
                  <pic:blipFill>
                    <a:blip r:embed="rId7"/>
                    <a:stretch>
                      <a:fillRect/>
                    </a:stretch>
                  </pic:blipFill>
                  <pic:spPr bwMode="auto">
                    <a:xfrm>
                      <a:off x="0" y="0"/>
                      <a:ext cx="6515100" cy="3314700"/>
                    </a:xfrm>
                    <a:prstGeom prst="rect">
                      <a:avLst/>
                    </a:prstGeom>
                  </pic:spPr>
                </pic:pic>
              </a:graphicData>
            </a:graphic>
          </wp:inline>
        </w:drawing>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Barrels produced and consumed per quarter.</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the forecast from the EIA’s Short-Term Energy Outlook (as depicted in the chart above), we expect crude oil demand to continue to increase, driven largely by our view that hydrocarbon-based fuels are the most efficient fuels for the transportation of people and goods, and hydrocarbon-based products provide the building blocks for modern civilization such as fertilizers, plastics and cement.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Permian Basin continues to be one of the most prolific basins in the world and was the predominant driver of U.S. production growth in 2024. We expect the Permian Basin to be a key contributor to global supply for years to come, based on strong economics and the recent wave of consolidation leading to more stable activity levels over a wide range of commodity price environments.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 of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net income attributable to PAA of $772 million for the year ended December 31, 2024 compared to net income attributable to PAA of $1.230 billion for the year ended December 31,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income attributable to PAA was largely driven by higher costs in the 2024 period associated with the Line 901 incident that occurred in May 2015 (including $225 million related to the write-off of a receivable for insurance proceeds in the fourth quarter of 2024 and $120 million related to settlements in the third quarter of 2024), losses on asset sales, asset impairments and other related items (as compared to gains from such items in the 2023 period), and higher income tax expense largely associated with Canadian withholding tax. In addition, net income attributable to PAA for the 2023 period included the favorable impact of gains from the mark-to-market adjustment of the Preferred Distribution Rate Reset Option. However, our Segment Adjusted EBITDA increased in 2024 compared to 2023 due to more favorable results from our Crude Oil segment, partially offset by lower contributions from our NGL segment. See the “—Results of Operations” section below for further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unit data):</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61"/>
        <w:gridCol w:w="1356"/>
        <w:gridCol w:w="1364"/>
        <w:gridCol w:w="211"/>
        <w:gridCol w:w="721"/>
        <w:gridCol w:w="109"/>
        <w:gridCol w:w="109"/>
        <w:gridCol w:w="109"/>
        <w:gridCol w:w="109"/>
        <w:gridCol w:w="211"/>
        <w:gridCol w:w="721"/>
        <w:gridCol w:w="109"/>
        <w:gridCol w:w="109"/>
        <w:gridCol w:w="109"/>
        <w:gridCol w:w="109"/>
        <w:gridCol w:w="109"/>
        <w:gridCol w:w="109"/>
        <w:gridCol w:w="109"/>
        <w:gridCol w:w="109"/>
        <w:gridCol w:w="109"/>
        <w:gridCol w:w="211"/>
        <w:gridCol w:w="616"/>
        <w:gridCol w:w="109"/>
        <w:gridCol w:w="109"/>
        <w:gridCol w:w="109"/>
        <w:gridCol w:w="109"/>
        <w:gridCol w:w="261"/>
        <w:gridCol w:w="265"/>
        <w:gridCol w:w="271"/>
        <w:gridCol w:w="109"/>
        <w:gridCol w:w="109"/>
        <w:gridCol w:w="109"/>
        <w:gridCol w:w="156"/>
      </w:tblGrid>
      <w:tr>
        <w:trPr/>
        <w:tc>
          <w:tcPr>
            <w:tcW w:w="166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607" w:type="dxa"/>
            <w:gridSpan w:val="10"/>
            <w:tcBorders/>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asset impairments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 in unconsolidated entities,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net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income, net</w:t>
            </w:r>
            <w:r>
              <w:rPr>
                <w:color w:val="000000"/>
              </w:rPr>
              <w:t xml:space="preserve">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Interest expense, net” and “Other income, net” each include $48 million for the year ended December 31, 2024 related to interest on promissory notes by and among PAA and certain Plains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Revenues and Purchases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crude oil sales and purchases are indexed to the prompt month price of the NYMEX Light, Sweet crude oil futures contract (“NYMEX Price”) and our NGL sales are indexed to Mont Belvieu prices. The following table presents the range of the NYMEX Price over the last two years (in dollars per barrel):</w:t>
      </w:r>
    </w:p>
    <w:p>
      <w:pPr>
        <w:pStyle w:val="TextBody"/>
        <w:bidi w:val="0"/>
        <w:spacing w:before="0" w:after="0"/>
        <w:ind w:left="0" w:right="0" w:firstLine="720"/>
        <w:jc w:val="both"/>
        <w:rPr/>
      </w:pPr>
      <w:r>
        <w:rPr/>
      </w:r>
    </w:p>
    <w:tbl>
      <w:tblPr>
        <w:tblW w:w="5988" w:type="dxa"/>
        <w:jc w:val="center"/>
        <w:tblInd w:w="0" w:type="dxa"/>
        <w:tblLayout w:type="fixed"/>
        <w:tblCellMar>
          <w:top w:w="28" w:type="dxa"/>
          <w:left w:w="28" w:type="dxa"/>
          <w:bottom w:w="28" w:type="dxa"/>
          <w:right w:w="28" w:type="dxa"/>
        </w:tblCellMar>
      </w:tblPr>
      <w:tblGrid>
        <w:gridCol w:w="1043"/>
        <w:gridCol w:w="917"/>
        <w:gridCol w:w="919"/>
        <w:gridCol w:w="109"/>
        <w:gridCol w:w="109"/>
        <w:gridCol w:w="109"/>
        <w:gridCol w:w="211"/>
        <w:gridCol w:w="361"/>
        <w:gridCol w:w="109"/>
        <w:gridCol w:w="109"/>
        <w:gridCol w:w="109"/>
        <w:gridCol w:w="109"/>
        <w:gridCol w:w="211"/>
        <w:gridCol w:w="361"/>
        <w:gridCol w:w="109"/>
        <w:gridCol w:w="109"/>
        <w:gridCol w:w="109"/>
        <w:gridCol w:w="109"/>
        <w:gridCol w:w="222"/>
        <w:gridCol w:w="380"/>
        <w:gridCol w:w="16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NYMEX Price</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During the 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 and purchases increased for the year ended December 31, 2024 compared to the year ended December 31, 2023 primarily due to higher crude oil sales volumes.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year ended December 31, 2024 compared to the year ended December 31, 2023 primarily due to higher pipeline volumes and tariff escalations, as well as the impact of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net revenues (revenues less purchases and related costs) in the “—Analysis of Operating Segments” section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for the year ended December 31, 2024 compared to the year ended December 31, 2023 was primarily due to (i) higher employee-related costs, (ii) higher information systems costs due to ongoing systems integration work and (iii) higher office rent due to an operating cost abatement in the prior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Asset Impairments and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loss on asset sales and asset impairments for the year ended December 31, 2024 was primarily due to non-cash charges related to the write-down of certain of our long-lived U.S. terminal assets included in our NGL segment due to asset impairments and accelerated depreciation in the fourth quarter of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gain on asset sales and asset impairments for the year ended December 31, 2023 was primarily related to the sale of our ownership interest in the Keyera Fort Saskatchewan facility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and Note 7 to our Consolidated Financial Statements for additional information regarding these asset sales and asset impairments.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Equity Earnings in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equity earnings in unconsolidated entities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 on Investments in Unconsolidated Entities,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2024, we recognized a gain of $15 million related to our acquisition of the remaining 50% interest in Midway Pipeline LLC.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2023, we recognized a gain of $29 million related to the Permian JV’s acquisition of the remaining 43% interest in OMOG JV Holdings LLC.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Consolidated Financial Statements for additional information regarding these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Interest Expense, Net and Other Income/(Expense),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“Interest expense, net” and “Other income, net” each include interest expense and interest income associated with promissory notes payable and receivable by and among PAA and certain Plains entities, which is the primary driver of the increase in interest expense compared to 2023 and is a component of the variance in other income year-over-year. These amounts are excluded from our non-GAAP performance measures Adjusted EBITDA and Implied DCF. As such, the interest expense and interest income associated with these notes is presented on a net basis in the reconciliation of these metrics to Net Income. See the “—Non-GAAP Financial Measures”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10 to our Consolidated Financial Statements for additional information regarding our debt and related activities during the periods presented.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Interest expense, net (in millions):</w:t>
      </w:r>
    </w:p>
    <w:p>
      <w:pPr>
        <w:pStyle w:val="TextBody"/>
        <w:bidi w:val="0"/>
        <w:spacing w:before="0" w:after="0"/>
        <w:ind w:left="0" w:right="0" w:firstLine="720"/>
        <w:jc w:val="left"/>
        <w:rPr/>
      </w:pPr>
      <w:r>
        <w:rPr/>
      </w:r>
    </w:p>
    <w:tbl>
      <w:tblPr>
        <w:tblW w:w="6742" w:type="dxa"/>
        <w:jc w:val="left"/>
        <w:tblInd w:w="0" w:type="dxa"/>
        <w:tblLayout w:type="fixed"/>
        <w:tblCellMar>
          <w:top w:w="28" w:type="dxa"/>
          <w:left w:w="28" w:type="dxa"/>
          <w:bottom w:w="28" w:type="dxa"/>
          <w:right w:w="28" w:type="dxa"/>
        </w:tblCellMar>
      </w:tblPr>
      <w:tblGrid>
        <w:gridCol w:w="1586"/>
        <w:gridCol w:w="1395"/>
        <w:gridCol w:w="1399"/>
        <w:gridCol w:w="109"/>
        <w:gridCol w:w="109"/>
        <w:gridCol w:w="109"/>
        <w:gridCol w:w="220"/>
        <w:gridCol w:w="488"/>
        <w:gridCol w:w="113"/>
        <w:gridCol w:w="113"/>
        <w:gridCol w:w="113"/>
        <w:gridCol w:w="113"/>
        <w:gridCol w:w="220"/>
        <w:gridCol w:w="488"/>
        <w:gridCol w:w="167"/>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third-party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on related party promissory notes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interest expense associated with promissory notes by and among PAA and certain Plains entities, as described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income/(expense), net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52"/>
        <w:gridCol w:w="2492"/>
        <w:gridCol w:w="2500"/>
        <w:gridCol w:w="109"/>
        <w:gridCol w:w="109"/>
        <w:gridCol w:w="109"/>
        <w:gridCol w:w="233"/>
        <w:gridCol w:w="398"/>
        <w:gridCol w:w="119"/>
        <w:gridCol w:w="119"/>
        <w:gridCol w:w="119"/>
        <w:gridCol w:w="119"/>
        <w:gridCol w:w="233"/>
        <w:gridCol w:w="515"/>
        <w:gridCol w:w="179"/>
      </w:tblGrid>
      <w:tr>
        <w:trPr/>
        <w:tc>
          <w:tcPr>
            <w:tcW w:w="285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income on related party promissory notes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other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gain/(loss) on foreign currency revaluation</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Gain on mark-to-market adjustment of Preferred Distribution Rate Reset Option embedded derivative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interest income associated with promissory notes by and among PAA and certain Plains entities, as described above.</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activity during the periods presented was primarily related to the impact from the change in the United States Dollar to Canadian dollar exchange rate on the portion of our intercompany net investment that is not long-term in nature.</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See Note 12 to our Consolidated Financial Statements for additional information.</w:t>
      </w:r>
    </w:p>
    <w:p>
      <w:pPr>
        <w:pStyle w:val="TextBody"/>
        <w:bidi w:val="0"/>
        <w:spacing w:before="120" w:after="283"/>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unfavorable income tax variance for the year ended December 31, 2024 compared to the year ended December 31, 2023 was primarily due to higher income tax expense in 2024 associated with Canadian withholding tax on dividends from our Canadian entities to other Plains entities driven by timing of dividend payments, including proceeds from asset divestitures.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Noncontrolling</w:t>
      </w:r>
      <w:r>
        <w:rPr>
          <w:color w:val="000000"/>
        </w:rPr>
        <w:t xml:space="preserve"> </w:t>
      </w:r>
      <w:r>
        <w:rPr>
          <w:rFonts w:ascii="Times New Roman;sans-serif" w:hAnsi="Times New Roman;sans-serif"/>
          <w:b/>
          <w:color w:val="000000"/>
          <w:sz w:val="20"/>
        </w:rPr>
        <w:t>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amounts attributable to noncontrolling interests for the year ended December 31, 2024 compared to the year ended December 31, 2023 was due to higher net income recognized by the Permian JV and Cactus II related to higher volumes, as well as contributions from acquisitions completed by the Permian JV. See Note 7 to our Consolidated Financial Statements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Non-GAAP Financial Measures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pStyle w:val="TextBody"/>
        <w:bidi w:val="0"/>
        <w:spacing w:before="0" w:after="0"/>
        <w:ind w:left="0" w:right="0" w:firstLine="72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“—Liquidity and Capital Resources—Non-GAAP Financial Liquidity Measures” for additional information regarding Adjusted Free Cash Flow and Adjusted Free Cash Flow after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(v) gains on investments in unconsolidated entities, net and (vi) interest income on promissory notes by and among PAA and certain Plains entities, and adjusted for (vii) certain selected items impacting comparability. Adjusted EBITDA attributable to PAA excludes the portion of Adjusted EBITDA that is attributable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reconciliation of the non-GAAP financial performance measures Adjusted EBITDA, Adjusted EBITDA attributable to PAA and Implied DCF from Net Income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951"/>
        <w:gridCol w:w="1235"/>
        <w:gridCol w:w="1247"/>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507"/>
        <w:gridCol w:w="109"/>
        <w:gridCol w:w="109"/>
        <w:gridCol w:w="109"/>
        <w:gridCol w:w="109"/>
        <w:gridCol w:w="233"/>
        <w:gridCol w:w="233"/>
        <w:gridCol w:w="271"/>
        <w:gridCol w:w="109"/>
        <w:gridCol w:w="109"/>
        <w:gridCol w:w="109"/>
        <w:gridCol w:w="156"/>
      </w:tblGrid>
      <w:tr>
        <w:trPr/>
        <w:tc>
          <w:tcPr>
            <w:tcW w:w="195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47" w:type="dxa"/>
            <w:gridSpan w:val="10"/>
            <w:tcBorders/>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net of certain items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asset impairments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 in unconsolidated entities,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Segment Adjusted EBITDA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currency revaluation</w:t>
            </w:r>
            <w:r>
              <w:rPr>
                <w:color w:val="000000"/>
              </w:rPr>
              <w:t xml:space="preserve">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Selected Items Impacting Comparability - Adjusted EBITDA</w:t>
            </w:r>
            <w:r>
              <w:rPr>
                <w:color w:val="000000"/>
              </w:rPr>
              <w:t xml:space="preserve">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1"/>
        <w:gridCol w:w="1363"/>
        <w:gridCol w:w="137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466"/>
        <w:gridCol w:w="109"/>
        <w:gridCol w:w="109"/>
        <w:gridCol w:w="109"/>
        <w:gridCol w:w="109"/>
        <w:gridCol w:w="202"/>
        <w:gridCol w:w="202"/>
        <w:gridCol w:w="271"/>
        <w:gridCol w:w="109"/>
        <w:gridCol w:w="109"/>
        <w:gridCol w:w="109"/>
        <w:gridCol w:w="157"/>
      </w:tblGrid>
      <w:tr>
        <w:trPr/>
        <w:tc>
          <w:tcPr>
            <w:tcW w:w="180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486" w:type="dxa"/>
            <w:gridSpan w:val="10"/>
            <w:tcBorders/>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(6)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Interest expense, net of certain non-cash and other items</w:t>
            </w:r>
            <w:r>
              <w:rPr>
                <w:color w:val="000000"/>
              </w:rPr>
              <w:t xml:space="preserve"> </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of noncontrolling interests </w:t>
            </w:r>
            <w:r>
              <w:rPr>
                <w:rFonts w:ascii="Times New Roman;sans-serif" w:hAnsi="Times New Roman;sans-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Distributions from unconsolidated entities in excess of/(less than) adjusted equity earnings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to noncontrolling interests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Implied DCF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Preferred unit cash distributions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 Available to Common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unit cash distributions</w:t>
            </w:r>
            <w:r>
              <w:rPr>
                <w:color w:val="000000"/>
              </w:rPr>
              <w:t xml:space="preserve">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Implied DCF Excess </w:t>
            </w:r>
            <w:r>
              <w:rPr>
                <w:rFonts w:ascii="Times New Roman;sans-serif" w:hAnsi="Times New Roman;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“Interest expense, net” as reported on our Consolidated Statements of Operations, net of interest income associated with promissory notes by and among PAA and certain Plains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19 to our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The Preferred Distribution Rate Reset Option of our Series A preferred units was accounted for as an embedded derivative and recorded at fair value in our Consolidated Financial Statements. The associated gains and losses are not integral to our results and were thus classified as a selected item impacting comparability. See Note 12 to our Consolidated Financial Statements for additional information regarding the Preferred Distribution Rate Reset Option.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color w:val="000000"/>
        </w:rPr>
        <w:t>“</w:t>
      </w:r>
      <w:r>
        <w:rPr>
          <w:rFonts w:ascii="Times New Roman;sans-serif" w:hAnsi="Times New Roman;sans-serif"/>
          <w:b w:val="false"/>
          <w:color w:val="000000"/>
          <w:sz w:val="20"/>
        </w:rPr>
        <w:t>Other income/(expense), net” on our Consolidated Statements of Operations, excluding interest income associated with promissory notes by and among PAA and certain Plains entities, adjusted for selected items impacting comparability (“Adjusted other income/(expense), net”) is included in Adjusted EBITDA and excluded from Segment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See the table above for a reconciliation from Net Income to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Amount excludes certain non-cash items impacting interest expense such as amortization of debt issuance costs and terminated interest rate swaps and is net of interest income associated with promissory notes by and among PAA and certain Plains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Maintenance capital expenditures are defined as capital expenditures for the replacement and/or refurbishment of partially or fully depreciated assets in order to maintain the operating and/or earnings capacity of our existing assets.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(11)</w:t>
      </w:r>
      <w:r>
        <w:rPr>
          <w:rFonts w:ascii="Times New Roman;sans-serif" w:hAnsi="Times New Roman;sans-serif"/>
          <w:b w:val="false"/>
          <w:color w:val="000000"/>
          <w:sz w:val="20"/>
        </w:rPr>
        <w:t>Investment capital expenditures attributable to noncontrolling interests that reduce Implied DCF available to PAA common unitholders.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(12)</w:t>
      </w:r>
      <w:r>
        <w:rPr>
          <w:rFonts w:ascii="Times New Roman;sans-serif" w:hAnsi="Times New Roman;sans-serif"/>
          <w:b w:val="false"/>
          <w:color w:val="000000"/>
          <w:sz w:val="20"/>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(13)</w:t>
      </w:r>
      <w:r>
        <w:rPr>
          <w:rFonts w:ascii="Times New Roman;sans-serif" w:hAnsi="Times New Roman;sans-serif"/>
          <w:b w:val="false"/>
          <w:color w:val="000000"/>
          <w:sz w:val="20"/>
        </w:rPr>
        <w:t>Cash distributions paid during the period presented.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(14)</w:t>
      </w:r>
      <w:r>
        <w:rPr>
          <w:rFonts w:ascii="Times New Roman;sans-serif" w:hAnsi="Times New Roman;sans-serif"/>
          <w:b w:val="false"/>
          <w:color w:val="000000"/>
          <w:sz w:val="20"/>
        </w:rPr>
        <w:t xml:space="preserve">Excess DCF is retained to establish reserves for debt repayment, future distributions, common equity repurchases, capital expenditures and other partnership purposes.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operations through two operating segments: Crude Oil and NGL. Our Chief Operating Decision Maker (“CODM”) (our Chief Executive Officer) evaluates segment performance based on a variety of measures including Segment Adjusted EBITDA, segment volumes and maintenance capital investment.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 See Note 19 to our Consolidated Financial Statements for a reconciliation of Segment Adjusted EBITDA to Net income attributable to PAA.</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expenses from our Canadian based subsidiaries, which use CAD as their functional currency, are translated at the prevailing average exchange rates for the month.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Crude Oil segment: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5"/>
        <w:gridCol w:w="1324"/>
        <w:gridCol w:w="132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109"/>
        <w:gridCol w:w="211"/>
        <w:gridCol w:w="616"/>
        <w:gridCol w:w="109"/>
        <w:gridCol w:w="109"/>
        <w:gridCol w:w="109"/>
        <w:gridCol w:w="109"/>
        <w:gridCol w:w="210"/>
        <w:gridCol w:w="213"/>
        <w:gridCol w:w="271"/>
        <w:gridCol w:w="109"/>
        <w:gridCol w:w="109"/>
        <w:gridCol w:w="109"/>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03" w:type="dxa"/>
            <w:gridSpan w:val="10"/>
            <w:tcBorders/>
          </w:tcPr>
          <w:p>
            <w:pPr>
              <w:pStyle w:val="TableContents"/>
              <w:bidi w:val="0"/>
              <w:spacing w:before="0" w:after="283"/>
              <w:jc w:val="left"/>
              <w:rPr>
                <w:sz w:val="4"/>
                <w:szCs w:val="4"/>
              </w:rPr>
            </w:pPr>
            <w:r>
              <w:rPr>
                <w:sz w:val="4"/>
                <w:szCs w:val="4"/>
              </w:rPr>
            </w:r>
          </w:p>
        </w:tc>
      </w:tr>
      <w:tr>
        <w:trPr/>
        <w:tc>
          <w:tcPr>
            <w:tcW w:w="4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Purchases and related costs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Field operating costs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general and administrative expenses</w:t>
            </w:r>
            <w:r>
              <w:rPr>
                <w:color w:val="000000"/>
              </w:rPr>
              <w:t> </w:t>
            </w:r>
            <w:r>
              <w:rPr>
                <w:rFonts w:ascii="Times New Roman;sans-serif" w:hAnsi="Times New Roman;sans-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(4)</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amounts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89" w:type="dxa"/>
        <w:jc w:val="left"/>
        <w:tblInd w:w="0" w:type="dxa"/>
        <w:tblLayout w:type="fixed"/>
        <w:tblCellMar>
          <w:top w:w="28" w:type="dxa"/>
          <w:left w:w="28" w:type="dxa"/>
          <w:bottom w:w="28" w:type="dxa"/>
          <w:right w:w="28" w:type="dxa"/>
        </w:tblCellMar>
      </w:tblPr>
      <w:tblGrid>
        <w:gridCol w:w="1318"/>
        <w:gridCol w:w="1158"/>
        <w:gridCol w:w="1168"/>
        <w:gridCol w:w="109"/>
        <w:gridCol w:w="109"/>
        <w:gridCol w:w="109"/>
        <w:gridCol w:w="308"/>
        <w:gridCol w:w="308"/>
        <w:gridCol w:w="220"/>
        <w:gridCol w:w="220"/>
        <w:gridCol w:w="220"/>
        <w:gridCol w:w="220"/>
        <w:gridCol w:w="308"/>
        <w:gridCol w:w="308"/>
        <w:gridCol w:w="228"/>
        <w:gridCol w:w="109"/>
        <w:gridCol w:w="109"/>
        <w:gridCol w:w="109"/>
        <w:gridCol w:w="109"/>
        <w:gridCol w:w="109"/>
        <w:gridCol w:w="109"/>
        <w:gridCol w:w="109"/>
        <w:gridCol w:w="109"/>
        <w:gridCol w:w="240"/>
        <w:gridCol w:w="240"/>
        <w:gridCol w:w="241"/>
        <w:gridCol w:w="109"/>
        <w:gridCol w:w="109"/>
        <w:gridCol w:w="109"/>
        <w:gridCol w:w="202"/>
        <w:gridCol w:w="204"/>
        <w:gridCol w:w="271"/>
        <w:gridCol w:w="109"/>
        <w:gridCol w:w="109"/>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485" w:type="dxa"/>
            <w:gridSpan w:val="10"/>
            <w:tcBorders/>
          </w:tcPr>
          <w:p>
            <w:pPr>
              <w:pStyle w:val="TableContents"/>
              <w:bidi w:val="0"/>
              <w:spacing w:before="0" w:after="283"/>
              <w:jc w:val="left"/>
              <w:rPr>
                <w:sz w:val="4"/>
                <w:szCs w:val="4"/>
              </w:rPr>
            </w:pPr>
            <w:r>
              <w:rPr>
                <w:sz w:val="4"/>
                <w:szCs w:val="4"/>
              </w:rPr>
            </w:r>
          </w:p>
        </w:tc>
      </w:tr>
      <w:tr>
        <w:trPr/>
        <w:tc>
          <w:tcPr>
            <w:tcW w:w="36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pipeline tariff (by region)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Rocky Mountain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(6)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Crude oil lease gathering purchases</w:t>
            </w:r>
            <w:r>
              <w:rPr>
                <w:color w:val="000000"/>
              </w:rPr>
              <w:t xml:space="preserve"> </w:t>
            </w:r>
            <w:r>
              <w:rPr>
                <w:rFonts w:ascii="Times New Roman;sans-serif" w:hAnsi="Times New Roman;sans-serif"/>
                <w:b w:val="false"/>
                <w:color w:val="000000"/>
                <w:sz w:val="13"/>
              </w:rPr>
              <w:t>(5)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components of significant segment expenses.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Represents adjustments included in the performance measure utilized by our CODM in the evaluation of segment results. See Note 19 to our Consolidated Financial Statements for additional discussion of such adjustments.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Average daily volumes in thousands of barrels per day calculated as the total volumes (attributable to our interest for assets owned by unconsolidated entities or through UJIs) for the year divided by the number of days in the year. Volumes associated with acquisitions represent total volumes for the number of days we actually owned the assets divided by the number of days in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Includes volumes (attributable to our interest) from assets owned by unconsolidated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Average monthly capacity in millions of barrels per day calculated as total volumes for the year divided by the number of months in the year.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Of this amount, approximately 1,278 and 1,147 thousand barrels per day were purchased in the Permian Basin for the years ended December 31, 2024 and 2023,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Segment Adjusted EBITDA increased for the year ended December 31, 2024 compared to the year ended December 31, 2023 primarily due to higher tariff volumes on our pipelines, tariff escalations and contributions from acquisitions, partially offset by fewer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more detailed discussion of the significant factors impacting Segment Adjusted EBITDA for the year ended December 31, 2024 compared to the year ended December 31, 2023.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and Equity Earnings. </w:t>
      </w:r>
      <w:r>
        <w:rPr>
          <w:rFonts w:ascii="Times New Roman;sans-serif" w:hAnsi="Times New Roman;sans-serif"/>
          <w:b w:val="false"/>
          <w:color w:val="000000"/>
          <w:sz w:val="20"/>
        </w:rPr>
        <w:t>Our results were favorably impacted by (i) volume growth across our pipeline systems driven by increased production in the Permian Basin region, as well as increased movements from the Rocky Mountain region to Cushing, Oklahoma, (ii) the benefit of tariff escalations and (iii) contributions from acquisitions, including increases in ownership of certain pipeline systems.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results for the year ended December 31, 2024 compared to 2023 reflect fewer crude oil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For the year ended December 31, 2024 compared to the year ended December 31, 2023, we recognized higher expenses associated with (i) an increase in costs associated with settlements related to the Line 901 incident that occurred in May 2015 (which impact field operating costs, but are excluded from Segment Adjusted EBITDA, and thus are reflected as a component of “Other segment items” in the table above), (ii) an increase in estimated costs for long-term environmental remediation obligations, (iii) property taxes due to the impact of favorable adjustments in 2023 and (iv) incremental operating costs and employee-related costs associated with acquisitions, partially offset by (v) unrealized mark-to-market gains on power hedges (which impact our field operating costs but are excluded from Segment Adjusted EBITDA and thus are reflected as a component of “Other segment items” in the table above) and (vi) decreased costs resulting from lower third-party trucked volumes.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consists of capital expenditures for the replacement and/or refurbishment of partially or fully depreciated assets in order to maintain the operating and/or earnings capacity of our existing assets. The increase in maintenance capital spending for the year ended December 31, 2024 compared to the year ended December 31, 2023 was primarily due to (i) an increase in integrity management, maintenance and repairs and replacement projects and (ii) more trucking lease buyouts.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 received from a third-party straddle plant.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10018" w:type="dxa"/>
        <w:jc w:val="left"/>
        <w:tblInd w:w="0" w:type="dxa"/>
        <w:tblLayout w:type="fixed"/>
        <w:tblCellMar>
          <w:top w:w="28" w:type="dxa"/>
          <w:left w:w="28" w:type="dxa"/>
          <w:bottom w:w="28" w:type="dxa"/>
          <w:right w:w="28" w:type="dxa"/>
        </w:tblCellMar>
      </w:tblPr>
      <w:tblGrid>
        <w:gridCol w:w="1537"/>
        <w:gridCol w:w="1351"/>
        <w:gridCol w:w="1356"/>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541"/>
        <w:gridCol w:w="109"/>
        <w:gridCol w:w="109"/>
        <w:gridCol w:w="109"/>
        <w:gridCol w:w="109"/>
        <w:gridCol w:w="218"/>
        <w:gridCol w:w="218"/>
        <w:gridCol w:w="271"/>
        <w:gridCol w:w="109"/>
        <w:gridCol w:w="109"/>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15" w:type="dxa"/>
            <w:gridSpan w:val="10"/>
            <w:tcBorders/>
          </w:tcPr>
          <w:p>
            <w:pPr>
              <w:pStyle w:val="TableContents"/>
              <w:bidi w:val="0"/>
              <w:spacing w:before="0" w:after="283"/>
              <w:jc w:val="left"/>
              <w:rPr>
                <w:sz w:val="4"/>
                <w:szCs w:val="4"/>
              </w:rPr>
            </w:pPr>
            <w:r>
              <w:rPr>
                <w:sz w:val="4"/>
                <w:szCs w:val="4"/>
              </w:rPr>
            </w:r>
          </w:p>
        </w:tc>
      </w:tr>
      <w:tr>
        <w:trPr/>
        <w:tc>
          <w:tcPr>
            <w:tcW w:w="42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Purchases and related costs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Field operating costs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(4)</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75" w:type="dxa"/>
        <w:jc w:val="left"/>
        <w:tblInd w:w="0" w:type="dxa"/>
        <w:tblLayout w:type="fixed"/>
        <w:tblCellMar>
          <w:top w:w="28" w:type="dxa"/>
          <w:left w:w="28" w:type="dxa"/>
          <w:bottom w:w="28" w:type="dxa"/>
          <w:right w:w="28" w:type="dxa"/>
        </w:tblCellMar>
      </w:tblPr>
      <w:tblGrid>
        <w:gridCol w:w="1437"/>
        <w:gridCol w:w="1267"/>
        <w:gridCol w:w="1271"/>
        <w:gridCol w:w="109"/>
        <w:gridCol w:w="109"/>
        <w:gridCol w:w="109"/>
        <w:gridCol w:w="233"/>
        <w:gridCol w:w="233"/>
        <w:gridCol w:w="220"/>
        <w:gridCol w:w="220"/>
        <w:gridCol w:w="220"/>
        <w:gridCol w:w="220"/>
        <w:gridCol w:w="233"/>
        <w:gridCol w:w="233"/>
        <w:gridCol w:w="228"/>
        <w:gridCol w:w="109"/>
        <w:gridCol w:w="109"/>
        <w:gridCol w:w="109"/>
        <w:gridCol w:w="109"/>
        <w:gridCol w:w="109"/>
        <w:gridCol w:w="109"/>
        <w:gridCol w:w="109"/>
        <w:gridCol w:w="109"/>
        <w:gridCol w:w="240"/>
        <w:gridCol w:w="240"/>
        <w:gridCol w:w="241"/>
        <w:gridCol w:w="109"/>
        <w:gridCol w:w="109"/>
        <w:gridCol w:w="109"/>
        <w:gridCol w:w="180"/>
        <w:gridCol w:w="181"/>
        <w:gridCol w:w="271"/>
        <w:gridCol w:w="109"/>
        <w:gridCol w:w="109"/>
        <w:gridCol w:w="109"/>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440" w:type="dxa"/>
            <w:gridSpan w:val="10"/>
            <w:tcBorders/>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Average Volumes (in thousands of barrels per day) </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Propane and 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components of significant segment expenses.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Represents adjustments included in the performance measure utilized by our CODM in the evaluation of segment results. See Note 19 to our Consolidated Financial Statements for additional discussion of such adjustments.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Average daily volumes are calculated as total volumes (attributable to our interest for assets owned through UJIs) for the year divided by the number of days in the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for the year ended December 31, 2024 decreased compared to the year ended December 31, 2023, primarily due to the impact of lower realized frac spreads, partially offset by higher propane and butane sales volumes.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w:t>
      </w:r>
      <w:r>
        <w:rPr>
          <w:rFonts w:ascii="Times New Roman;sans-serif" w:hAnsi="Times New Roman;sans-serif"/>
          <w:b w:val="false"/>
          <w:color w:val="000000"/>
          <w:sz w:val="20"/>
        </w:rPr>
        <w:t>Net revenues include the impact of derivative activities and long-term inventory costing adjustments, which are excluded from Segment Adjusted EBITDA and thus are reflected as a component of “Other segment items” in the table above. Excluding such impacts, net revenues decreased for the year ended December 31, 2024 compared to the year ended December 31, 2023 primarily due to (i) lower realized frac spreads and (ii) lower field operating cost recoveries at our Empress straddle plants realized through our commercial agreements, partially offset by (iii) higher propane and butane sales volumes, (iv) tariff escalations and (v) market opportunities.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The decrease in field operating costs for the year ended December 31, 2024 compared to the year ended December 31, 2023 was primarily due to (i) decreased utilities-related costs largely as a result of lower prices and (ii) a decrease in unrealized mark-to-market losses on power hedges (which impact our field operating costs, but are excluded from Segment Adjusted EBITDA, and thus are reflected as a component of “Other segment items” in the table above), partially offset by (iii) higher maintenance and repairs. The decrease in utilities-related costs was partially offset by the lower benefit to net revenues of operating cost recoveries realized through commercial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Maintenance Capital</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maintenance capital spending for the year ended December 31, 2024 compared to the year ended December 31, 2023 was primarily due to timing of routine integrity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 (v) 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although we had a working capital deficit of $148 million, we had over $2.6 billion of liquidity available to meet our ongoing operating, investing and financing needs, subject to continued covenant compliance, as noted below (in millions):</w:t>
      </w:r>
    </w:p>
    <w:p>
      <w:pPr>
        <w:pStyle w:val="TextBody"/>
        <w:bidi w:val="0"/>
        <w:spacing w:before="0" w:after="0"/>
        <w:ind w:left="0" w:right="0" w:firstLine="720"/>
        <w:jc w:val="left"/>
        <w:rPr/>
      </w:pPr>
      <w:r>
        <w:rPr/>
      </w:r>
    </w:p>
    <w:tbl>
      <w:tblPr>
        <w:tblW w:w="6960" w:type="dxa"/>
        <w:jc w:val="center"/>
        <w:tblInd w:w="0" w:type="dxa"/>
        <w:tblLayout w:type="fixed"/>
        <w:tblCellMar>
          <w:top w:w="28" w:type="dxa"/>
          <w:left w:w="28" w:type="dxa"/>
          <w:bottom w:w="28" w:type="dxa"/>
          <w:right w:w="28" w:type="dxa"/>
        </w:tblCellMar>
      </w:tblPr>
      <w:tblGrid>
        <w:gridCol w:w="1959"/>
        <w:gridCol w:w="1725"/>
        <w:gridCol w:w="1730"/>
        <w:gridCol w:w="332"/>
        <w:gridCol w:w="970"/>
        <w:gridCol w:w="244"/>
      </w:tblGrid>
      <w:tr>
        <w:trPr/>
        <w:tc>
          <w:tcPr>
            <w:tcW w:w="195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unsecured revolving credit facility </w:t>
            </w:r>
            <w:r>
              <w:rPr>
                <w:rFonts w:ascii="Times New Roman;sans-serif" w:hAnsi="Times New Roman;sans-serif"/>
                <w:b w:val="false"/>
                <w:color w:val="000000"/>
                <w:sz w:val="13"/>
              </w:rPr>
              <w:t>(1) (2)</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secured hedged inventory facility </w:t>
            </w:r>
            <w:r>
              <w:rPr>
                <w:rFonts w:ascii="Times New Roman;sans-serif" w:hAnsi="Times New Roman;sans-serif"/>
                <w:b w:val="false"/>
                <w:color w:val="000000"/>
                <w:sz w:val="13"/>
              </w:rPr>
              <w:t>(1) (2)</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commercial paper program</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(3)</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availability prior to giving effect to borrowings outstanding under our commercial paper program, which reduce available capacity under the facilities.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our senior unsecured revolving credit facility and senior secured hedged inventory facility was reduced by outstanding letters of credit issued under these facilities of less than $1 million and $17 million, respectively.</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Factors—Risks Related to Our Business—Loss of our investment grade credit rating or the ability to receive open credit could negatively affect our borrowing costs, ability to purchase crude oil, NGL and natural gas supplies or to capitalize on market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Credit Agreements, Commercial Paper Program and Indentures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three primary credit arrangements, which we use to meet our short-term cash needs. These include our $1.35 billion senior unsecured revolving credit facility maturing in 2029 (excluding a commitment of $64 million, which matures in 2027), $1.35 billion senior secured hedged inventory facility maturing in 2027 (excluding a commitment of $64 million, which matures in 2026) and $2.7 billion unsecured commercial paper program that is backstopped by our revolving credit facility and our hedged inventory facility.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Liquidity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net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liquidity measures Adjusted Free Cash Flow and Adjusted Free Cash Flow after Distributions from Net Cash Provided by Operating Activities (in millions):</w:t>
      </w:r>
    </w:p>
    <w:p>
      <w:pPr>
        <w:pStyle w:val="TextBody"/>
        <w:bidi w:val="0"/>
        <w:spacing w:before="0" w:after="0"/>
        <w:ind w:left="0" w:right="0" w:firstLine="720"/>
        <w:jc w:val="left"/>
        <w:rPr/>
      </w:pPr>
      <w:r>
        <w:rPr/>
      </w:r>
    </w:p>
    <w:tbl>
      <w:tblPr>
        <w:tblW w:w="10127" w:type="dxa"/>
        <w:jc w:val="left"/>
        <w:tblInd w:w="0" w:type="dxa"/>
        <w:tblLayout w:type="fixed"/>
        <w:tblCellMar>
          <w:top w:w="28" w:type="dxa"/>
          <w:left w:w="28" w:type="dxa"/>
          <w:bottom w:w="28" w:type="dxa"/>
          <w:right w:w="28" w:type="dxa"/>
        </w:tblCellMar>
      </w:tblPr>
      <w:tblGrid>
        <w:gridCol w:w="2774"/>
        <w:gridCol w:w="2442"/>
        <w:gridCol w:w="2449"/>
        <w:gridCol w:w="211"/>
        <w:gridCol w:w="616"/>
        <w:gridCol w:w="109"/>
        <w:gridCol w:w="109"/>
        <w:gridCol w:w="109"/>
        <w:gridCol w:w="109"/>
        <w:gridCol w:w="211"/>
        <w:gridCol w:w="616"/>
        <w:gridCol w:w="109"/>
        <w:gridCol w:w="109"/>
        <w:gridCol w:w="154"/>
      </w:tblGrid>
      <w:tr>
        <w:trPr/>
        <w:tc>
          <w:tcPr>
            <w:tcW w:w="2774"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cash provided by operating activities to adjusted free cash flow:</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cash used in investing activities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paid to noncontrolling interests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Proceeds from the issuance of related party notes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Free Cash Flow after Distributions </w:t>
            </w:r>
            <w:r>
              <w:rPr>
                <w:rFonts w:ascii="Times New Roman;sans-serif" w:hAnsi="Times New Roman;sans-serif"/>
                <w:b w:val="false"/>
                <w:color w:val="000000"/>
                <w:sz w:val="13"/>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16 to our Consolidated Financial Statements for additional information on our related party notes.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Cash distributions paid during the period presented.</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Cash distributions paid to our preferred and common unitholders during the period presented.</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years ended December 31, 2024 and 2023 was approximately $2.5 billion and $2.7 billion, respectively, and primarily resulted from earnings from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pStyle w:val="TextBody"/>
        <w:bidi w:val="0"/>
        <w:spacing w:before="0" w:after="0"/>
        <w:jc w:val="left"/>
        <w:rPr/>
      </w:pPr>
      <w:r>
        <w:rPr/>
      </w:r>
    </w:p>
    <w:tbl>
      <w:tblPr>
        <w:tblW w:w="4531" w:type="dxa"/>
        <w:jc w:val="left"/>
        <w:tblInd w:w="0" w:type="dxa"/>
        <w:tblLayout w:type="fixed"/>
        <w:tblCellMar>
          <w:top w:w="28" w:type="dxa"/>
          <w:left w:w="28" w:type="dxa"/>
          <w:bottom w:w="28" w:type="dxa"/>
          <w:right w:w="28" w:type="dxa"/>
        </w:tblCellMar>
      </w:tblPr>
      <w:tblGrid>
        <w:gridCol w:w="804"/>
        <w:gridCol w:w="706"/>
        <w:gridCol w:w="709"/>
        <w:gridCol w:w="211"/>
        <w:gridCol w:w="466"/>
        <w:gridCol w:w="109"/>
        <w:gridCol w:w="109"/>
        <w:gridCol w:w="109"/>
        <w:gridCol w:w="109"/>
        <w:gridCol w:w="211"/>
        <w:gridCol w:w="616"/>
        <w:gridCol w:w="109"/>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capital </w:t>
            </w:r>
            <w:r>
              <w:rPr>
                <w:rFonts w:ascii="Times New Roman;sans-serif" w:hAnsi="Times New Roman;sans-serif"/>
                <w:b w:val="false"/>
                <w:color w:val="000000"/>
                <w:sz w:val="13"/>
              </w:rPr>
              <w:t>(2) (4)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65% interest in the Permian JV, was approximately $329 million and $242 million, respectively, for 2024, and approximately $310 million and $214 million, respectively, for 2023.</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Acquisition capital for 2024 primarily includes the acquisitions of additional ownership interests in equity method investees. Acquisition capital for 2023 primarily includes the acquisition by the Permian JV of (i) the remaining 43% interest in OMOG JV Holdings LLC and (ii) gathering assets in the Southern and Northern Delaware Basins. See Note 7 and Note 8</w:t>
      </w:r>
      <w:r>
        <w:rPr>
          <w:color w:val="000000"/>
        </w:rPr>
        <w:t xml:space="preserve"> </w:t>
      </w:r>
      <w:r>
        <w:rPr>
          <w:rFonts w:ascii="Times New Roman;sans-serif" w:hAnsi="Times New Roman;sans-serif"/>
          <w:b w:val="false"/>
          <w:color w:val="000000"/>
          <w:sz w:val="20"/>
        </w:rPr>
        <w:t>to our Consolidated Financial Statements for additional information. Acquisition capital, net to our 65% interest in the Permian JV, was approximately $243 million and $281 million for 2024 and 2023, respectively.</w:t>
      </w:r>
    </w:p>
    <w:p>
      <w:pPr>
        <w:pStyle w:val="TextBody"/>
        <w:bidi w:val="0"/>
        <w:spacing w:before="120" w:after="283"/>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we completed two additional bolt-on acquisitions for $636 million (approximately $580 million net to our interest), which included (i) a Delaware Basin crude oil gathering business and (ii) an Eagle Ford Basin gathering system. We used a portion of the net proceeds from our January 2025 senior notes offering to fund these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Investment Capital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pStyle w:val="TextBody"/>
        <w:bidi w:val="0"/>
        <w:spacing w:before="0" w:after="0"/>
        <w:jc w:val="left"/>
        <w:rPr/>
      </w:pPr>
      <w:r>
        <w:rPr/>
      </w:r>
    </w:p>
    <w:tbl>
      <w:tblPr>
        <w:tblW w:w="6165" w:type="dxa"/>
        <w:jc w:val="left"/>
        <w:tblInd w:w="0" w:type="dxa"/>
        <w:tblLayout w:type="fixed"/>
        <w:tblCellMar>
          <w:top w:w="28" w:type="dxa"/>
          <w:left w:w="28" w:type="dxa"/>
          <w:bottom w:w="28" w:type="dxa"/>
          <w:right w:w="28" w:type="dxa"/>
        </w:tblCellMar>
      </w:tblPr>
      <w:tblGrid>
        <w:gridCol w:w="1297"/>
        <w:gridCol w:w="1136"/>
        <w:gridCol w:w="1151"/>
        <w:gridCol w:w="109"/>
        <w:gridCol w:w="109"/>
        <w:gridCol w:w="109"/>
        <w:gridCol w:w="220"/>
        <w:gridCol w:w="489"/>
        <w:gridCol w:w="113"/>
        <w:gridCol w:w="113"/>
        <w:gridCol w:w="113"/>
        <w:gridCol w:w="113"/>
        <w:gridCol w:w="220"/>
        <w:gridCol w:w="489"/>
        <w:gridCol w:w="121"/>
        <w:gridCol w:w="109"/>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Complementary Permian Basin Projects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Selected Facilities/Downstream Projects</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projects associated with assets included in the Permian JV.</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projects at our St. James and Fort Saskatchewan terminals.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Projected 2025 Capital Expenditures.</w:t>
      </w:r>
      <w:r>
        <w:rPr>
          <w:color w:val="000000"/>
        </w:rPr>
        <w:t> </w:t>
      </w:r>
      <w:r>
        <w:rPr>
          <w:rFonts w:ascii="Times New Roman;sans-serif" w:hAnsi="Times New Roman;sans-serif"/>
          <w:b w:val="false"/>
          <w:color w:val="000000"/>
          <w:sz w:val="20"/>
        </w:rPr>
        <w:t>Total investment capital for the year ending December 31, 2025 is currently projected to be approximately $500 million ($400 million net to our interest). Approximately half of our projected investment capital expenditures are expected to be invested in the Permian JV assets. Additionally, maintenance capital for 2025 is currently projected to be approximately $260 million ($240 million net to our interest). We expect to fund our 2025 investment and maintenance capital expenditures primarily with retained cash flow.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historically generally been used to fund our investment capital projects and reduce debt levels. The following table summarizes the proceeds received from divestitures during the last two years (in millions):</w:t>
      </w:r>
    </w:p>
    <w:p>
      <w:pPr>
        <w:pStyle w:val="TextBody"/>
        <w:bidi w:val="0"/>
        <w:spacing w:before="0" w:after="0"/>
        <w:jc w:val="left"/>
        <w:rPr/>
      </w:pPr>
      <w:r>
        <w:rPr/>
      </w:r>
    </w:p>
    <w:tbl>
      <w:tblPr>
        <w:tblW w:w="5042" w:type="dxa"/>
        <w:jc w:val="left"/>
        <w:tblInd w:w="0" w:type="dxa"/>
        <w:tblLayout w:type="fixed"/>
        <w:tblCellMar>
          <w:top w:w="28" w:type="dxa"/>
          <w:left w:w="28" w:type="dxa"/>
          <w:bottom w:w="28" w:type="dxa"/>
          <w:right w:w="28" w:type="dxa"/>
        </w:tblCellMar>
      </w:tblPr>
      <w:tblGrid>
        <w:gridCol w:w="891"/>
        <w:gridCol w:w="782"/>
        <w:gridCol w:w="787"/>
        <w:gridCol w:w="109"/>
        <w:gridCol w:w="109"/>
        <w:gridCol w:w="109"/>
        <w:gridCol w:w="234"/>
        <w:gridCol w:w="401"/>
        <w:gridCol w:w="121"/>
        <w:gridCol w:w="121"/>
        <w:gridCol w:w="121"/>
        <w:gridCol w:w="121"/>
        <w:gridCol w:w="234"/>
        <w:gridCol w:w="518"/>
        <w:gridCol w:w="121"/>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Proceeds from divestitures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proceeds, including working capital adjustments, net of transaction costs. The proceeds from divestitures for the year ended December 31, 2023 are primarily from the sale of our 21% non-operated/UJI in the Keyera Fort Saskatchewan facility in February 2023. See Note 7 to our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Related Party Promissory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2024, promissory notes with a face value of CAD$865 million (approximately $629 million) were issued by and among us and certain Plains entities. The cash outflow associated with our investment in promissory notes issued by PAGP to us has an equal and offsetting cash inflow associated with proceeds from the issuance by our consolidated subsidiary of promissory notes to PAGP for the same face value amount, which is included as a component of financing activities.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additional promissory notes with a face value of CAD$473 million (approximately $330 million) were issued by and among us and certain Plains entities. See Note 16 to our Consolidated Financial Statements for additional information about our related party promissory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had net repayments under our commercial paper program of $40 million. The net repayments resulted primarily from cash flow from operating activities and proceeds from the issuance of $650 million, 5.70% senior notes in June 2024, which offset borrowings during the year related to funding needs for capital investments, inventory purchases, repayment of $750 million, 3.60% senior notes due November 2024,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had net borrowings under our commercial paper program of $433 million. The net borrowings resulted primarily from borrowings during the year related to funding needs for capital investments, inventory purchases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Issuances of Senior Notes.</w:t>
      </w:r>
      <w:r>
        <w:rPr>
          <w:color w:val="000000"/>
        </w:rPr>
        <w:t xml:space="preserve"> </w:t>
      </w:r>
      <w:r>
        <w:rPr>
          <w:rFonts w:ascii="Times New Roman;sans-serif" w:hAnsi="Times New Roman;sans-serif"/>
          <w:b w:val="false"/>
          <w:color w:val="000000"/>
          <w:sz w:val="20"/>
        </w:rPr>
        <w:t>We did not issue any senior unsecured notes during 2023. During 2024, we issued senior unsecured notes as summarized in the table below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1229"/>
        <w:gridCol w:w="1229"/>
        <w:gridCol w:w="1234"/>
        <w:gridCol w:w="109"/>
        <w:gridCol w:w="109"/>
        <w:gridCol w:w="109"/>
        <w:gridCol w:w="444"/>
        <w:gridCol w:w="444"/>
        <w:gridCol w:w="450"/>
        <w:gridCol w:w="109"/>
        <w:gridCol w:w="109"/>
        <w:gridCol w:w="109"/>
        <w:gridCol w:w="245"/>
        <w:gridCol w:w="543"/>
        <w:gridCol w:w="128"/>
        <w:gridCol w:w="109"/>
        <w:gridCol w:w="109"/>
        <w:gridCol w:w="109"/>
        <w:gridCol w:w="228"/>
        <w:gridCol w:w="506"/>
        <w:gridCol w:w="117"/>
        <w:gridCol w:w="109"/>
        <w:gridCol w:w="109"/>
        <w:gridCol w:w="109"/>
        <w:gridCol w:w="228"/>
        <w:gridCol w:w="506"/>
        <w:gridCol w:w="117"/>
        <w:gridCol w:w="109"/>
        <w:gridCol w:w="109"/>
        <w:gridCol w:w="163"/>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240" w:before="0" w:after="0"/>
              <w:jc w:val="center"/>
              <w:rPr/>
            </w:pPr>
            <w:r>
              <w:rPr>
                <w:rFonts w:ascii="Times New Roman;sans-serif" w:hAnsi="Times New Roman;sans-serif"/>
                <w:b/>
                <w:color w:val="000000"/>
                <w:sz w:val="16"/>
              </w:rPr>
              <w:t>Proceeds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240" w:before="0" w:after="0"/>
              <w:jc w:val="center"/>
              <w:rPr/>
            </w:pPr>
            <w:r>
              <w:rPr>
                <w:rFonts w:ascii="Times New Roman;sans-serif" w:hAnsi="Times New Roman;sans-serif"/>
                <w:b/>
                <w:color w:val="000000"/>
                <w:sz w:val="16"/>
              </w:rPr>
              <w:t>Proceeds</w:t>
            </w:r>
            <w:r>
              <w:rPr>
                <w:rFonts w:ascii="Times New Roman;sans-serif" w:hAnsi="Times New Roman;sans-serif"/>
                <w:b/>
                <w:color w:val="000000"/>
                <w:sz w:val="10"/>
              </w:rPr>
              <w:t>(2)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 Senior Notes issued at 99.953% of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Face value of notes less the applicable premium or discount (before deducting for initial purchaser discounts, commissions and offering expenses).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Face value of notes less the applicable premium or discount, initial purchaser discounts, commissions and offering expenses.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used the net proceeds from the offering, along with other cash on hand, to repay on November 1, 2024 the principal amount of our $750 million, 3.60% senior notes due November 2024. Prior to such repayment, we used a portion of the net proceeds from the offering to repay outstanding borrowings under our commercial paper program and for general partnership purposes.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we also completed the offering of $1 billion, 5.95% senior notes due June 2035 at a public offering price of 99.761%. Interest payments are due on June 15 and December 15 of each year, commencing on June 15, 2025. We used the net proceeds from this offering of approximately $988 million, after deducting the underwriting discount and offering expenses, to (i) fund the acquisitions completed during the first quarter of 2025, (ii) fund the repurchase in January 2025 of 12.7 million Series A preferred units, including accrued and unpaid distributions and (iii) repay outstanding borrowings under our credit facilities and commercial paper program, and, pending such uses, for general partnership purposes. See Note 7 and Note 11 to our Consolidated Financial Statements for additional information regarding our recently completed acquisitions and our Series A preferred units,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Repayments of Senior Notes.</w:t>
      </w:r>
      <w:r>
        <w:rPr>
          <w:color w:val="000000"/>
        </w:rPr>
        <w:t> </w:t>
      </w:r>
      <w:r>
        <w:rPr>
          <w:rFonts w:ascii="Times New Roman;sans-serif" w:hAnsi="Times New Roman;sans-serif"/>
          <w:b w:val="false"/>
          <w:color w:val="000000"/>
          <w:sz w:val="20"/>
        </w:rPr>
        <w:t xml:space="preserve">During 2024 and 2023, we repaid the following senior unsecured notes in full (in millions): </w:t>
      </w:r>
    </w:p>
    <w:p>
      <w:pPr>
        <w:pStyle w:val="TextBody"/>
        <w:bidi w:val="0"/>
        <w:spacing w:before="0" w:after="0"/>
        <w:ind w:left="0" w:right="0" w:firstLine="720"/>
        <w:jc w:val="left"/>
        <w:rPr/>
      </w:pPr>
      <w:r>
        <w:rPr/>
      </w:r>
    </w:p>
    <w:tbl>
      <w:tblPr>
        <w:tblW w:w="7817"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1498"/>
        <w:gridCol w:w="1498"/>
        <w:gridCol w:w="1518"/>
        <w:gridCol w:w="109"/>
        <w:gridCol w:w="109"/>
        <w:gridCol w:w="109"/>
        <w:gridCol w:w="469"/>
        <w:gridCol w:w="469"/>
        <w:gridCol w:w="471"/>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 million 3.60% Senior Notes due 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 million 3.85% Senior Notes due 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million 2.85% Senior Notes due 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repaid these senior notes with proceeds from our 5.70% senior notes issued in June 2024, cash on hand and borrowings under our commercial paper program.</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repaid these senior notes with cash on hand and borrowings under our commercial paper program.</w:t>
      </w:r>
    </w:p>
    <w:p>
      <w:pPr>
        <w:pStyle w:val="TextBody"/>
        <w:bidi w:val="0"/>
        <w:spacing w:before="120" w:after="283"/>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Registration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December 31, 2024. We did not conduct any offerings under our Traditional Shelf during the year 2024. We also have access to a universal shelf registration statement (“WKSI Shelf”), which provides us with the ability to offer and sell an unlimited amount of debt and equity securities, subject to market conditions and our capital needs. The offerings of $650 million, 5.70% senior notes in June 2024 and $1 billion, 5.95% senior notes in January 2025 were conducted under our WKSI Shelf.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Common Equity Repurchase Program</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Program during the years ended December 31, 2024 and 2023. The remaining available capacity under the Program as of December 31, 2024 was $198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Preferred Unit Repurchase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2025, we repurchased 12.7 million units, or 18%, of our outstanding Series A preferred units at the issue price of $26.25 per unit for a purchase price of approximately $333 million, plus accrued and unpaid distributions through January 30, 2025 of approximately $10 million. We used a portion of the net proceeds from our January 2025 senior notes offering to fund this repurchase. See Note 11 to our Consolidated Financial Statements for more information regarding our Series A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Distributions to Our Unitholders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Distributions to our Series A preferred unitholders. </w:t>
      </w:r>
      <w:r>
        <w:rPr>
          <w:rFonts w:ascii="Times New Roman;sans-serif" w:hAnsi="Times New Roman;sans-serif"/>
          <w:b w:val="false"/>
          <w:color w:val="000000"/>
          <w:sz w:val="20"/>
        </w:rPr>
        <w:t>Holders of our Series A preferred units are entitled to receive quarterly distributions, subject to customary anti-dilution adjustments, of $0.615 per unit ($2.46 per unit annualized).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Distributions to our Series B preferred unitholders.</w:t>
      </w:r>
      <w:r>
        <w:rPr>
          <w:color w:val="000000"/>
        </w:rPr>
        <w:t> </w:t>
      </w:r>
      <w:r>
        <w:rPr>
          <w:rFonts w:ascii="Times New Roman;sans-serif" w:hAnsi="Times New Roman;sans-serif"/>
          <w:b w:val="false"/>
          <w:color w:val="000000"/>
          <w:sz w:val="20"/>
        </w:rPr>
        <w:t>Holders of our Series B preferred units are entitled to receive, when, as and if declared by our general partner out of legally available funds for such purpose, cumulative cash distributions, as applicable. Distributions on the Series B preferred units accumulate based on the applicable three-month SOFR, plus a credit spread adjustment of 0.26161%, plus 4.11% per annum. The distribution rate for the quarterly distribution paid on February 18, 2025 was 8.89507% per annum ($22.73 per Series B preferred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Distributions to our common unitholders. </w:t>
      </w:r>
      <w:r>
        <w:rPr>
          <w:rFonts w:ascii="Times New Roman;sans-serif" w:hAnsi="Times New Roman;sans-serif"/>
          <w:b w:val="false"/>
          <w:color w:val="000000"/>
          <w:sz w:val="20"/>
        </w:rPr>
        <w:t xml:space="preserve">On February 14, 2025, we paid a quarterly distribution of $0.38 per common unit ($1.52 per common unit on an annualized basis). The total distribution of $267 million was paid to common unitholders of record as of January 31, 2025, with respect to the quarter ended December 31, 2024.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 to our Consolidated Financial Statements for details of distributions paid during the three years ended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Distributions to Noncontrolling Interests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noncontrolling interests represent amounts paid on interests in consolidated entities that are not owned by us. As of December 31, 2024, noncontrolling interests in our subsidiaries consisted of (i) a 35% interest in the Permian JV, (ii) a 30% interest in Cactus II and (iii) a 33% interest in Red River. See Note 11 to our Consolidated Financial Statements for details of distributions paid to noncontrolling interests during the three years ended December 31, 2024.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Related Party Promissory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promissory notes with a face value of CAD$865 million (approximately $629 million) were issued by and among us and certain Plains entities. The cash inflow associated with proceeds from the issuance by our consolidated subsidiary of promissory notes to PAGP has an equal and offsetting cash outflow associated with our investment in promissory notes issued by PAGP to us for the same face value amount, which is included as a component of 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additional promissory notes with a face value of CAD$473 million (approximately $330 million) were issued by and among us and certain Plains entities. See Note 16 to our Consolidated Financial Statements for additional information about our related party promissory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18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10 to our Consolidated Financial Statements for information regarding our debt obligations and Note 18 for information regarding our leases and other commitments.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Purchase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doing business, we purchase crude oil and NGL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our best estimate of the amount and timing of these payments as of December 31, 2024 (in millions):</w:t>
      </w:r>
    </w:p>
    <w:p>
      <w:pPr>
        <w:pStyle w:val="TextBody"/>
        <w:bidi w:val="0"/>
        <w:spacing w:before="0" w:after="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2030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December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Letters of Credit.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2024 and 2023, we had outstanding letters of credit of approximately $90 million and $205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 as defined by Item 303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Investments in Unconsolidated Entities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in entities that are not consolidated in our financial statements. None of these entities had debt outstanding as of December 31, 2024. We may elect at any time to make additional capital contributions to any of these entities. The following table sets forth selected information regarding these entities as of December 31, 2024 (unaudited, dollars in millions):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99"/>
        <w:gridCol w:w="1040"/>
        <w:gridCol w:w="1053"/>
        <w:gridCol w:w="109"/>
        <w:gridCol w:w="109"/>
        <w:gridCol w:w="109"/>
        <w:gridCol w:w="871"/>
        <w:gridCol w:w="871"/>
        <w:gridCol w:w="873"/>
        <w:gridCol w:w="109"/>
        <w:gridCol w:w="109"/>
        <w:gridCol w:w="109"/>
        <w:gridCol w:w="295"/>
        <w:gridCol w:w="295"/>
        <w:gridCol w:w="296"/>
        <w:gridCol w:w="109"/>
        <w:gridCol w:w="109"/>
        <w:gridCol w:w="109"/>
        <w:gridCol w:w="211"/>
        <w:gridCol w:w="616"/>
        <w:gridCol w:w="109"/>
        <w:gridCol w:w="109"/>
        <w:gridCol w:w="109"/>
        <w:gridCol w:w="109"/>
        <w:gridCol w:w="279"/>
        <w:gridCol w:w="477"/>
        <w:gridCol w:w="145"/>
        <w:gridCol w:w="109"/>
        <w:gridCol w:w="158"/>
      </w:tblGrid>
      <w:tr>
        <w:trPr/>
        <w:tc>
          <w:tcPr>
            <w:tcW w:w="119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Our</w:t>
              <w:br/>
              <w:t>Ownership</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br/>
              <w:t>Entity</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w:t>
              <w:br/>
              <w:t>and</w:t>
              <w:br/>
              <w:t>Restricted</w:t>
              <w:br/>
              <w:t>Cash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Terminals Corpus Christi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Crude Oil Terminal and Dock</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Saddlehorn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Wink to Webster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serve as operator of the asset.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Fair Value of Assets and Liabilities Acquired and Identification of Associated Goodwill and Intangible Assets.</w:t>
      </w:r>
      <w:r>
        <w:rPr>
          <w:color w:val="000000"/>
        </w:rPr>
        <w:t xml:space="preserve"> </w:t>
      </w:r>
      <w:r>
        <w:rPr>
          <w:rFonts w:ascii="Times New Roman;sans-serif" w:hAnsi="Times New Roman;sans-serif"/>
          <w:b w:val="false"/>
          <w:color w:val="000000"/>
          <w:sz w:val="20"/>
        </w:rPr>
        <w:t xml:space="preserve">In 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our Permian JV acquired the remaining 43% interest in OMOG JV Holdings LLC (“OMOG”) and certain gathering assets in the Southern Delaware basin from Rattler Midstream Operating LLC.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 See Note 7 to our Consolidated Financial Statements for discussion of the methods, assumptions and estimates used in the determination of the fair value of the assets and liabilities acquired and identification of associated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Fair Value of Derivatives.</w:t>
      </w:r>
      <w:r>
        <w:rPr>
          <w:color w:val="000000"/>
        </w:rPr>
        <w:t xml:space="preserve"> </w:t>
      </w:r>
      <w:r>
        <w:rPr>
          <w:rFonts w:ascii="Times New Roman;sans-serif" w:hAnsi="Times New Roman;sans-serif"/>
          <w:b w:val="false"/>
          <w:color w:val="000000"/>
          <w:sz w:val="20"/>
        </w:rPr>
        <w:t>The fair value of a derivative at a particular period end does not reflect the end results of a particular transaction, and 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Accruals and Contingent Liabilities.</w:t>
      </w:r>
      <w:r>
        <w:rPr>
          <w:color w:val="000000"/>
        </w:rPr>
        <w:t xml:space="preserve">  </w:t>
      </w:r>
      <w:r>
        <w:rPr>
          <w:rFonts w:ascii="Times New Roman;sans-serif" w:hAnsi="Times New Roman;sans-serif"/>
          <w:b w:val="false"/>
          <w:color w:val="000000"/>
          <w:sz w:val="20"/>
        </w:rPr>
        <w:t>We record accruals or liabilities for, among other things, environmental 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$13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Property and Equipment, Depreciation and Amortization Expense and Asset Retirement Obligations.</w:t>
      </w:r>
      <w:r>
        <w:rPr>
          <w:color w:val="000000"/>
        </w:rPr>
        <w:t xml:space="preserve"> </w:t>
      </w:r>
      <w:r>
        <w:rPr>
          <w:rFonts w:ascii="Times New Roman;sans-serif" w:hAnsi="Times New Roman;sans-serif"/>
          <w:b w:val="false"/>
          <w:color w:val="000000"/>
          <w:sz w:val="20"/>
        </w:rPr>
        <w:t>We compute 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$7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and Note 9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Impairment Assessments of Property and Equipment, Investments in Unconsolidated Entities and Intangible Assets. </w:t>
      </w:r>
      <w:r>
        <w:rPr>
          <w:rFonts w:ascii="Times New Roman;sans-serif" w:hAnsi="Times New Roman;sans-serif"/>
          <w:b w:val="false"/>
          <w:color w:val="000000"/>
          <w:sz w:val="20"/>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whether there is an event or circumstance that may be indicative of an impairment;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grouping of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intention of “holding”, “abandoning” or “selling” an asset;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forecast of undiscounted expected future cash flow over the asset’s estimated useful life;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an impairment exists, the fair value of the asset or asset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when we evaluate property and equipment and other long-lived assets for recoverability, it may also be necessary to review related depreciation estimates and methods.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whether there is an event or circumstance that may be indicative of a decline in value of the investment;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whether the decline in value is other than temporary;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fair value of the investment.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our outlook or use could result in impairments that may be material to our results of operations or financial condition. See “—Executive Summary— Market Overview and Outlook” and Note 6, Note 8 and Note 9 to our Consolidated Financial Statements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Inventory Valuations. </w:t>
      </w:r>
      <w:r>
        <w:rPr>
          <w:rFonts w:ascii="Times New Roman;sans-serif" w:hAnsi="Times New Roman;sans-serif"/>
          <w:b w:val="false"/>
          <w:color w:val="000000"/>
          <w:sz w:val="20"/>
        </w:rPr>
        <w:t>Inventory, including long-term inventory, primarily consists of crude oil and NGL and is valued 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2024, 2023 and 2022, we did not record any charges related to the valuation adjustment of our inventory. See Note 5 to our Consolidated Financial Statements for further discussion regarding inventory.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 Insurance Receivable. </w:t>
      </w:r>
      <w:r>
        <w:rPr>
          <w:rFonts w:ascii="Times New Roman;sans-serif" w:hAnsi="Times New Roman;sans-serif"/>
          <w:b w:val="false"/>
          <w:color w:val="000000"/>
          <w:sz w:val="20"/>
        </w:rPr>
        <w:t xml:space="preserve">In May 2015, we experienced a crude oil release from our Las Flores to Gaviota Pipeline (Line 901) in Santa Barbara County, California. As of December 31, 2024, we have estimated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and estimated costs associated with our remaining Line 901 lawsuits and claims, as well as estimates for certain legal fees and statutory interest where applicable.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which is subject to certain exclusions and deductibles, in the event of such liabilities. In November 2022, we submitted claims to several of our insurance carriers seeking reimbursement for a payment made in October of 2022 to settle a class action lawsuit stemming from the Line 901 incident. As of December 31, 2023, we had recognized a receivable of approximately $225 million, of which we had classified $175 million as a short-term asset with the remaining $50 million recognized as a long-term asset. As of December 31, 2023, we believed that our claim for reimbursement was probable of recovery despite the ongoing arbitration proceedings. However, at that time we also noted that various factors could impact the timing and amount of recovery of our insurance receivable, including future developments that adversely impacted our assessment of the strength of our coverage claims, the outcome of any dispute resolution proceedings with respect to our coverage claims (including arbitration proceedings) and the extent to which insurers may become insolvent in the future. Due to these factors, we noted that we could not provide complete assurance that actual receivable amounts recovered would not vary significantly from our estimated amounts.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binding arbitration hearing with respect to our insurance claim against insurers representing $175 million of our total $225 million reimbursement claim concluded in early October 2024, and the arbitration panel’s final and binding decision was returned in January 2025. The panel ruled that a substantial portion of our claims subject to the proceeding were not covered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applicable policy and therefore we were not entitled to reimbursement of our $175 million claim against the applicable insurers. With respect to our remaining $50 million claim against different insurance carriers, we now regard collection of those claims as being less than “probable.” As a result, we wrote off the entire $225 million receivable in the fourth quarter of 2024 and will recognize any future collections as and if they are received. See Note 18 to our Consolidated Financial Statements for further discussion regarding the Line 901 incident and our related insurance receivable.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for information regarding the effect of recent accounting pronouncements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7A.  Quantitative and Qualitative Disclosures About Market Risk</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Crude oil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Natural gas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to our Consolidated Financial Statements for further discussion regarding our hedging strategies and objectives.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December 31, 2024 that would be expected from a 10% price increase or decrease is shown in the table below (in millions):</w:t>
      </w:r>
    </w:p>
    <w:p>
      <w:pPr>
        <w:pStyle w:val="TextBody"/>
        <w:bidi w:val="0"/>
        <w:spacing w:before="0" w:after="0"/>
        <w:ind w:left="0" w:right="0" w:firstLine="720"/>
        <w:jc w:val="left"/>
        <w:rPr/>
      </w:pPr>
      <w:r>
        <w:rPr/>
      </w:r>
    </w:p>
    <w:tbl>
      <w:tblPr>
        <w:tblW w:w="5247" w:type="dxa"/>
        <w:jc w:val="center"/>
        <w:tblInd w:w="0" w:type="dxa"/>
        <w:tblLayout w:type="fixed"/>
        <w:tblCellMar>
          <w:top w:w="28" w:type="dxa"/>
          <w:left w:w="28" w:type="dxa"/>
          <w:bottom w:w="28" w:type="dxa"/>
          <w:right w:w="28" w:type="dxa"/>
        </w:tblCellMar>
      </w:tblPr>
      <w:tblGrid>
        <w:gridCol w:w="495"/>
        <w:gridCol w:w="433"/>
        <w:gridCol w:w="437"/>
        <w:gridCol w:w="268"/>
        <w:gridCol w:w="478"/>
        <w:gridCol w:w="140"/>
        <w:gridCol w:w="109"/>
        <w:gridCol w:w="109"/>
        <w:gridCol w:w="109"/>
        <w:gridCol w:w="341"/>
        <w:gridCol w:w="608"/>
        <w:gridCol w:w="177"/>
        <w:gridCol w:w="109"/>
        <w:gridCol w:w="109"/>
        <w:gridCol w:w="109"/>
        <w:gridCol w:w="353"/>
        <w:gridCol w:w="604"/>
        <w:gridCol w:w="259"/>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10%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10%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2024, approximately $393 million, was subject to interest rate resets that generally occur within one week or less. The average interest rate on variable rate debt that was outstanding during the year ended December 31, 2024 was 5.6%, based upon rates in effect during the year. The fair value of our interest rate derivatives was a net asset of $27 million as of December 31, 2024. A 10% increase in the forward SOFR curve as of December 31, 2024 would have resulted in an increase of $13 million to the fair value of our interest rate derivatives. A 10% decrease in the forward SOFR curve as of December 31, 2024 would have resulted in a decrease of $13 million to the fair value of our interest rate derivatives. See Note 12 to our Consolidated Financial Statements for a discussion of our interest rate risk hedging activities.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Units</w:t>
      </w:r>
      <w:r>
        <w:rPr>
          <w:rFonts w:ascii="Times New Roman;sans-serif" w:hAnsi="Times New Roman;sans-serif"/>
          <w:b w:val="false"/>
          <w:color w:val="000000"/>
          <w:sz w:val="20"/>
        </w:rPr>
        <w:t>. Distributions on the Series B preferred units accumulate and are payable quarterly in arrears on the 15th day of February, May, August and November. Beginning August 15, 2023, distributions on the Series B preferred units accumulate based on the applicable three-month SOFR, plus certain adjustments. Based upon the Series B preferred units outstanding at December 31, 2024 and the liquidation preference of $1,000 per unit, a change of 100 basis points in interest rates would increase or decrease the annual distributions on the Series B preferred units by approximately $8 million. See Note 11 to our Consolidated Financial Statements for additional information regarding our Series B preferred unit distributions.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8.  </w:t>
      </w:r>
      <w:r>
        <w:rPr>
          <w:rFonts w:ascii="Times New Roman;sans-serif" w:hAnsi="Times New Roman;sans-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the Consolidated Financial Statements” on page F-1.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December 31, 2024, the end of the period covered by this report, and, based on such evaluation, our Chief Executive Officer and Chief Financial Officer have concluded that our DCP is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2024. See “Management’s Report on Internal Control Over Financial Reporting” on page F-2 of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independent registered public accounting firm, PricewaterhouseCoopers LLP, assessed the effectiveness of our internal control over financial reporting, as stated in the firm’s report. See “</w:t>
      </w:r>
      <w:r>
        <w:rPr>
          <w:rFonts w:ascii="Times New Roman;sans-serif" w:hAnsi="Times New Roman;sans-serif"/>
          <w:b w:val="false"/>
          <w:color w:val="000000"/>
          <w:sz w:val="19"/>
        </w:rPr>
        <w:t>Report of Independent Registered Public Accounting Firm</w:t>
      </w:r>
      <w:r>
        <w:rPr>
          <w:color w:val="000000"/>
        </w:rPr>
        <w:t xml:space="preserve">” </w:t>
      </w:r>
      <w:r>
        <w:rPr>
          <w:rFonts w:ascii="Times New Roman;sans-serif" w:hAnsi="Times New Roman;sans-serif"/>
          <w:b w:val="false"/>
          <w:color w:val="000000"/>
          <w:sz w:val="20"/>
        </w:rPr>
        <w:t>on page F-3 of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fourth quarter of 2024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9B.</w:t>
      </w:r>
      <w:r>
        <w:rPr>
          <w:color w:val="000000"/>
        </w:rPr>
        <w:t xml:space="preserve">  </w:t>
      </w: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none of our directors or officers (as defined in Rule 16a-1(f) of the Securities Exchange Act of 1934) adopted or terminated a Rule 10b5-1 trading arrangement or non-Rule 10b5-1 trading arrangement (as such terms are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9C.</w:t>
      </w:r>
      <w:r>
        <w:rPr>
          <w:color w:val="000000"/>
        </w:rPr>
        <w:t xml:space="preserve">  </w:t>
      </w:r>
      <w:r>
        <w:rPr>
          <w:rFonts w:ascii="Times New Roman;sans-serif" w:hAnsi="Times New Roman;sans-serif"/>
          <w:b/>
          <w:i/>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and Executive Officers of Our General Partner and Corporate Governance</w:t>
      </w:r>
      <w:r>
        <w:rPr>
          <w:color w:val="000000"/>
        </w:rPr>
        <w:t xml:space="preserv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2025 Annual Meeting, which will be filed with the SEC within 120 days after the end of the fiscal year ended December 31, 2024, and is incorporated herein by reference thereto.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Directors and Executive Officers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filing this report, the following individuals were serving as our executive officers and/or directors: </w:t>
      </w:r>
    </w:p>
    <w:tbl>
      <w:tblPr>
        <w:tblW w:w="1004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2246"/>
        <w:gridCol w:w="2246"/>
        <w:gridCol w:w="3187"/>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Principal Occupation or Employment</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Willie Chiang </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Harry N. Pefanis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Director</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Chris R. Chandler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Operating Officer</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 Swanson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Jeremy L. Goebel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Commercial Officer</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Richard K. McGee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Chris Herbold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Chief Accounting Officer</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Greg L. Armstrong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Advisor to the Chief Executive Officer (former Chairman and Chief Executive Officer)</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Victor Burk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Senior Advisor, Alvarez and Marsal</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Ellen R. DeSanctis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Senior Vice President, ConocoPhillips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Kevin McCarthy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Vice Chairman, Kayne Anderson Capital Advisors, L.P.</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Gary R. Petersen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EnCap Investments L.P.</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Alexandra D. Pruner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Advisor, Perella Weinberg Partners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T. Raymond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and Chief Executive Officer, The Energy &amp; Minerals Group</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Bobby S. Shackouls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Chairman and CEO, Burlington Resources Inc.</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Lawrence M. Ziemba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Executive Vice President, Refining, Phillips 66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Executive officer (for purposes of Item 401(b) of Regulation S-K)</w:t>
      </w:r>
    </w:p>
    <w:p>
      <w:pPr>
        <w:pStyle w:val="TextBody"/>
        <w:bidi w:val="0"/>
        <w:spacing w:lineRule="auto" w:line="288" w:before="0" w:after="0"/>
        <w:ind w:left="0" w:right="0" w:hanging="81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Director</w:t>
      </w:r>
    </w:p>
    <w:p>
      <w:pPr>
        <w:pStyle w:val="TextBody"/>
        <w:bidi w:val="0"/>
        <w:spacing w:before="0" w:after="0"/>
        <w:ind w:left="0" w:right="0" w:hanging="81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 complete list of our officers, including the executive officers listed above, is available on our website at </w:t>
      </w:r>
      <w:r>
        <w:rPr>
          <w:rFonts w:ascii="Times New Roman;sans-serif" w:hAnsi="Times New Roman;sans-serif"/>
          <w:b w:val="false"/>
          <w:i/>
          <w:color w:val="000000"/>
          <w:sz w:val="20"/>
        </w:rPr>
        <w:t>www.plains.com</w:t>
      </w:r>
      <w:r>
        <w:rPr>
          <w:color w:val="000000"/>
        </w:rPr>
        <w:t xml:space="preserve"> </w:t>
      </w:r>
      <w:r>
        <w:rPr>
          <w:rFonts w:ascii="Times New Roman;sans-serif" w:hAnsi="Times New Roman;sans-serif"/>
          <w:b w:val="false"/>
          <w:color w:val="000000"/>
          <w:sz w:val="20"/>
        </w:rPr>
        <w:t>under Who We Are—Leadership.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2025 Annual Meeting, which will be filed with the SEC within 120 days after the end of the fiscal year ended December 31, 2024,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Unitholder Matters</w:t>
      </w:r>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2025 Annual Meeting, which will be filed with the SEC within 120 days after the end of the fiscal year ended December 31, 2024,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200"/>
        <w:jc w:val="left"/>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2025 Annual Meeting, which will be filed with the SEC within 120 days after the end of the fiscal year ended December 31, 2024,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2025 Annual Meeting, which will be filed with the SEC within 120 days after the end of the fiscal year ended December 31, 2024, and is incorporated herein by reference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and Financial Statement Schedules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(a) (1)    </w:t>
      </w:r>
      <w:r>
        <w:rPr>
          <w:rFonts w:ascii="Times New Roman;sans-serif" w:hAnsi="Times New Roman;sans-serif"/>
          <w:b w:val="false"/>
          <w:i/>
          <w:color w:val="000000"/>
          <w:sz w:val="20"/>
        </w:rPr>
        <w:t>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the Consolidated Financial Statements” set forth on Page F-1.</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(2)    </w:t>
      </w:r>
      <w:r>
        <w:rPr>
          <w:rFonts w:ascii="Times New Roman;sans-serif" w:hAnsi="Times New Roman;sans-serif"/>
          <w:b w:val="false"/>
          <w:i/>
          <w:color w:val="000000"/>
          <w:sz w:val="20"/>
        </w:rPr>
        <w:t>Financial Statement Schedules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either not applicable or the required information is shown in the Consolidated Financial Statements or notes thereto.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(3)    </w:t>
      </w:r>
      <w:r>
        <w:rPr>
          <w:rFonts w:ascii="Times New Roman;sans-serif" w:hAnsi="Times New Roman;sans-serif"/>
          <w:b w:val="false"/>
          <w:i/>
          <w:color w:val="000000"/>
          <w:sz w:val="20"/>
        </w:rPr>
        <w:t>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115"/>
        <w:gridCol w:w="115"/>
        <w:gridCol w:w="116"/>
        <w:gridCol w:w="109"/>
        <w:gridCol w:w="109"/>
        <w:gridCol w:w="109"/>
        <w:gridCol w:w="2498"/>
        <w:gridCol w:w="2424"/>
        <w:gridCol w:w="34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Simplification Agreement dated as of July 11, 2016, by and among PAA GP Holdings LLC, Plains GP Holdings, L.P., Plains All American GP LLC, Plains AAP, L.P., PAA GP LLC and Plains All American Pipeline, L.P. (incorporated by reference to Exhibit 2.1 to our Current Report on Form 8-K filed July 14, 2016).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our Current Report on Form 8-K filed October 12, 2017).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Amendment No. 5 dated December 1, 2019 to the Third Amended and Restated Agreement of Limited Partnership of Plains Marketing, L.P. (incorporated by reference to Exhibit 3.7 to our Annual Report on Form 10-K for the year ended December 31, 2019.)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15"/>
        <w:gridCol w:w="115"/>
        <w:gridCol w:w="116"/>
        <w:gridCol w:w="109"/>
        <w:gridCol w:w="109"/>
        <w:gridCol w:w="109"/>
        <w:gridCol w:w="2554"/>
        <w:gridCol w:w="2554"/>
        <w:gridCol w:w="361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our Current Report on Form 8-K filed January 4, 2008).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Certificate of Limited Partnership of Plains GP Holdings, L.P. (incorporated by reference to Exhibit 3.1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Second Amended and Restated Agreement of Limited Partnership of Plains GP Holdings, L.P. dated as of November 15, 2016 (incorporated by reference to Exhibit 3.2 to PAGP’s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PAGP’s Current Report on Form 8-K filed April 9,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Certificate of Formation of PAA GP Holdings LLC (incorporated by reference to Exhibit 3.3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3.21 to our Annual Report on Form 10-K for the year ended December 31,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1"/>
        <w:gridCol w:w="159"/>
        <w:gridCol w:w="163"/>
        <w:gridCol w:w="109"/>
        <w:gridCol w:w="109"/>
        <w:gridCol w:w="109"/>
        <w:gridCol w:w="115"/>
        <w:gridCol w:w="115"/>
        <w:gridCol w:w="116"/>
        <w:gridCol w:w="109"/>
        <w:gridCol w:w="109"/>
        <w:gridCol w:w="109"/>
        <w:gridCol w:w="2606"/>
        <w:gridCol w:w="2517"/>
        <w:gridCol w:w="3579"/>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79"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80"/>
                  <w:sz w:val="20"/>
                  <w:u w:val="single"/>
                </w:rPr>
                <w:t>Thirty-</w:t>
              </w:r>
            </w:hyperlink>
            <w:hyperlink r:id="rId44">
              <w:r>
                <w:rPr>
                  <w:rStyle w:val="InternetLink"/>
                  <w:rFonts w:ascii="Times New Roman;sans-serif" w:hAnsi="Times New Roman;sans-serif"/>
                  <w:b w:val="false"/>
                  <w:color w:val="000080"/>
                  <w:sz w:val="20"/>
                  <w:u w:val="single"/>
                </w:rPr>
                <w:t>Third</w:t>
              </w:r>
            </w:hyperlink>
            <w:hyperlink r:id="rId45">
              <w:r>
                <w:rPr>
                  <w:rStyle w:val="InternetLink"/>
                  <w:rFonts w:ascii="Times New Roman;sans-serif" w:hAnsi="Times New Roman;sans-serif"/>
                  <w:b w:val="false"/>
                  <w:color w:val="000080"/>
                  <w:sz w:val="20"/>
                  <w:u w:val="single"/>
                </w:rPr>
                <w:t xml:space="preserve"> Supplemental Indenture (</w:t>
              </w:r>
            </w:hyperlink>
            <w:hyperlink r:id="rId46">
              <w:r>
                <w:rPr>
                  <w:rStyle w:val="InternetLink"/>
                  <w:rFonts w:ascii="Times New Roman;sans-serif" w:hAnsi="Times New Roman;sans-serif"/>
                  <w:b w:val="false"/>
                  <w:color w:val="000080"/>
                  <w:sz w:val="20"/>
                  <w:u w:val="single"/>
                </w:rPr>
                <w:t>5.70</w:t>
              </w:r>
            </w:hyperlink>
            <w:hyperlink r:id="rId47">
              <w:r>
                <w:rPr>
                  <w:rStyle w:val="InternetLink"/>
                  <w:rFonts w:ascii="Times New Roman;sans-serif" w:hAnsi="Times New Roman;sans-serif"/>
                  <w:b w:val="false"/>
                  <w:color w:val="000080"/>
                  <w:sz w:val="20"/>
                  <w:u w:val="single"/>
                </w:rPr>
                <w:t>% Senior Notes due 203</w:t>
              </w:r>
            </w:hyperlink>
            <w:hyperlink r:id="rId48">
              <w:r>
                <w:rPr>
                  <w:rStyle w:val="InternetLink"/>
                  <w:rFonts w:ascii="Times New Roman;sans-serif" w:hAnsi="Times New Roman;sans-serif"/>
                  <w:b w:val="false"/>
                  <w:color w:val="000080"/>
                  <w:sz w:val="20"/>
                  <w:u w:val="single"/>
                </w:rPr>
                <w:t>4</w:t>
              </w:r>
            </w:hyperlink>
            <w:hyperlink r:id="rId49">
              <w:r>
                <w:rPr>
                  <w:rStyle w:val="InternetLink"/>
                  <w:rFonts w:ascii="Times New Roman;sans-serif" w:hAnsi="Times New Roman;sans-serif"/>
                  <w:b w:val="false"/>
                  <w:color w:val="000080"/>
                  <w:sz w:val="20"/>
                  <w:u w:val="single"/>
                </w:rPr>
                <w:t xml:space="preserve">) dated June </w:t>
              </w:r>
            </w:hyperlink>
            <w:hyperlink r:id="rId50">
              <w:r>
                <w:rPr>
                  <w:rStyle w:val="InternetLink"/>
                  <w:rFonts w:ascii="Times New Roman;sans-serif" w:hAnsi="Times New Roman;sans-serif"/>
                  <w:b w:val="false"/>
                  <w:color w:val="000080"/>
                  <w:sz w:val="20"/>
                  <w:u w:val="single"/>
                </w:rPr>
                <w:t>27</w:t>
              </w:r>
            </w:hyperlink>
            <w:hyperlink r:id="rId51">
              <w:r>
                <w:rPr>
                  <w:rStyle w:val="InternetLink"/>
                  <w:rFonts w:ascii="Times New Roman;sans-serif" w:hAnsi="Times New Roman;sans-serif"/>
                  <w:b w:val="false"/>
                  <w:color w:val="000080"/>
                  <w:sz w:val="20"/>
                  <w:u w:val="single"/>
                </w:rPr>
                <w:t>, 202</w:t>
              </w:r>
            </w:hyperlink>
            <w:hyperlink r:id="rId52">
              <w:r>
                <w:rPr>
                  <w:rStyle w:val="InternetLink"/>
                  <w:rFonts w:ascii="Times New Roman;sans-serif" w:hAnsi="Times New Roman;sans-serif"/>
                  <w:b w:val="false"/>
                  <w:color w:val="000080"/>
                  <w:sz w:val="20"/>
                  <w:u w:val="single"/>
                </w:rPr>
                <w:t>4</w:t>
              </w:r>
            </w:hyperlink>
            <w:hyperlink r:id="rId53">
              <w:r>
                <w:rPr>
                  <w:rStyle w:val="InternetLink"/>
                  <w:rFonts w:ascii="Times New Roman;sans-serif" w:hAnsi="Times New Roman;sans-serif"/>
                  <w:b w:val="false"/>
                  <w:color w:val="000080"/>
                  <w:sz w:val="20"/>
                  <w:u w:val="single"/>
                </w:rPr>
                <w:t xml:space="preserve">, by and among Plains All American Pipeline, L.P., PAA Finance Corp. and U.S. Bank </w:t>
              </w:r>
            </w:hyperlink>
            <w:hyperlink r:id="rId54">
              <w:r>
                <w:rPr>
                  <w:rStyle w:val="InternetLink"/>
                  <w:rFonts w:ascii="Times New Roman;sans-serif" w:hAnsi="Times New Roman;sans-serif"/>
                  <w:b w:val="false"/>
                  <w:color w:val="000080"/>
                  <w:sz w:val="20"/>
                  <w:u w:val="single"/>
                </w:rPr>
                <w:t xml:space="preserve">Trust Company, </w:t>
              </w:r>
            </w:hyperlink>
            <w:hyperlink r:id="rId55">
              <w:r>
                <w:rPr>
                  <w:rStyle w:val="InternetLink"/>
                  <w:rFonts w:ascii="Times New Roman;sans-serif" w:hAnsi="Times New Roman;sans-serif"/>
                  <w:b w:val="false"/>
                  <w:color w:val="000080"/>
                  <w:sz w:val="20"/>
                  <w:u w:val="single"/>
                </w:rPr>
                <w:t xml:space="preserve">National Association, as trustee (incorporated by reference to Exhibit 4.1 to our Current Report on Form 8-K filed June </w:t>
              </w:r>
            </w:hyperlink>
            <w:hyperlink r:id="rId56">
              <w:r>
                <w:rPr>
                  <w:rStyle w:val="InternetLink"/>
                  <w:rFonts w:ascii="Times New Roman;sans-serif" w:hAnsi="Times New Roman;sans-serif"/>
                  <w:b w:val="false"/>
                  <w:color w:val="000080"/>
                  <w:sz w:val="20"/>
                  <w:u w:val="single"/>
                </w:rPr>
                <w:t>27</w:t>
              </w:r>
            </w:hyperlink>
            <w:hyperlink r:id="rId57">
              <w:r>
                <w:rPr>
                  <w:rStyle w:val="InternetLink"/>
                  <w:rFonts w:ascii="Times New Roman;sans-serif" w:hAnsi="Times New Roman;sans-serif"/>
                  <w:b w:val="false"/>
                  <w:color w:val="000080"/>
                  <w:sz w:val="20"/>
                  <w:u w:val="single"/>
                </w:rPr>
                <w:t>, 202</w:t>
              </w:r>
            </w:hyperlink>
            <w:hyperlink r:id="rId58">
              <w:r>
                <w:rPr>
                  <w:rStyle w:val="InternetLink"/>
                  <w:rFonts w:ascii="Times New Roman;sans-serif" w:hAnsi="Times New Roman;sans-serif"/>
                  <w:b w:val="false"/>
                  <w:color w:val="000080"/>
                  <w:sz w:val="20"/>
                  <w:u w:val="single"/>
                </w:rPr>
                <w:t>4</w:t>
              </w:r>
            </w:hyperlink>
            <w:hyperlink r:id="rId59">
              <w:r>
                <w:rPr>
                  <w:rStyle w:val="InternetLink"/>
                  <w:rFonts w:ascii="Times New Roman;sans-serif" w:hAnsi="Times New Roman;sans-serif"/>
                  <w:b w:val="false"/>
                  <w:color w:val="000080"/>
                  <w:sz w:val="20"/>
                  <w:u w:val="single"/>
                </w:rPr>
                <w:t>).</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80"/>
                  <w:sz w:val="20"/>
                  <w:u w:val="single"/>
                </w:rPr>
                <w:t>Thirty-</w:t>
              </w:r>
            </w:hyperlink>
            <w:hyperlink r:id="rId61">
              <w:r>
                <w:rPr>
                  <w:rStyle w:val="InternetLink"/>
                  <w:rFonts w:ascii="Times New Roman;sans-serif" w:hAnsi="Times New Roman;sans-serif"/>
                  <w:b w:val="false"/>
                  <w:color w:val="000080"/>
                  <w:sz w:val="20"/>
                  <w:u w:val="single"/>
                </w:rPr>
                <w:t>Fourth</w:t>
              </w:r>
            </w:hyperlink>
            <w:hyperlink r:id="rId62">
              <w:r>
                <w:rPr>
                  <w:rStyle w:val="InternetLink"/>
                  <w:rFonts w:ascii="Times New Roman;sans-serif" w:hAnsi="Times New Roman;sans-serif"/>
                  <w:b w:val="false"/>
                  <w:color w:val="000080"/>
                  <w:sz w:val="20"/>
                  <w:u w:val="single"/>
                </w:rPr>
                <w:t xml:space="preserve"> Supplemental Indenture (</w:t>
              </w:r>
            </w:hyperlink>
            <w:hyperlink r:id="rId63">
              <w:r>
                <w:rPr>
                  <w:rStyle w:val="InternetLink"/>
                  <w:rFonts w:ascii="Times New Roman;sans-serif" w:hAnsi="Times New Roman;sans-serif"/>
                  <w:b w:val="false"/>
                  <w:color w:val="000080"/>
                  <w:sz w:val="20"/>
                  <w:u w:val="single"/>
                </w:rPr>
                <w:t>5.950</w:t>
              </w:r>
            </w:hyperlink>
            <w:hyperlink r:id="rId64">
              <w:r>
                <w:rPr>
                  <w:rStyle w:val="InternetLink"/>
                  <w:rFonts w:ascii="Times New Roman;sans-serif" w:hAnsi="Times New Roman;sans-serif"/>
                  <w:b w:val="false"/>
                  <w:color w:val="000080"/>
                  <w:sz w:val="20"/>
                  <w:u w:val="single"/>
                </w:rPr>
                <w:t>% Senior Notes due 20</w:t>
              </w:r>
            </w:hyperlink>
            <w:hyperlink r:id="rId65">
              <w:r>
                <w:rPr>
                  <w:rStyle w:val="InternetLink"/>
                  <w:rFonts w:ascii="Times New Roman;sans-serif" w:hAnsi="Times New Roman;sans-serif"/>
                  <w:b w:val="false"/>
                  <w:color w:val="000080"/>
                  <w:sz w:val="20"/>
                  <w:u w:val="single"/>
                </w:rPr>
                <w:t>35</w:t>
              </w:r>
            </w:hyperlink>
            <w:hyperlink r:id="rId66">
              <w:r>
                <w:rPr>
                  <w:rStyle w:val="InternetLink"/>
                  <w:rFonts w:ascii="Times New Roman;sans-serif" w:hAnsi="Times New Roman;sans-serif"/>
                  <w:b w:val="false"/>
                  <w:color w:val="000080"/>
                  <w:sz w:val="20"/>
                  <w:u w:val="single"/>
                </w:rPr>
                <w:t>) dated J</w:t>
              </w:r>
            </w:hyperlink>
            <w:hyperlink r:id="rId67">
              <w:r>
                <w:rPr>
                  <w:rStyle w:val="InternetLink"/>
                  <w:rFonts w:ascii="Times New Roman;sans-serif" w:hAnsi="Times New Roman;sans-serif"/>
                  <w:b w:val="false"/>
                  <w:color w:val="000080"/>
                  <w:sz w:val="20"/>
                  <w:u w:val="single"/>
                </w:rPr>
                <w:t>anuary 15</w:t>
              </w:r>
            </w:hyperlink>
            <w:hyperlink r:id="rId68">
              <w:r>
                <w:rPr>
                  <w:rStyle w:val="InternetLink"/>
                  <w:rFonts w:ascii="Times New Roman;sans-serif" w:hAnsi="Times New Roman;sans-serif"/>
                  <w:b w:val="false"/>
                  <w:color w:val="000080"/>
                  <w:sz w:val="20"/>
                  <w:u w:val="single"/>
                </w:rPr>
                <w:t>, 202</w:t>
              </w:r>
            </w:hyperlink>
            <w:hyperlink r:id="rId69">
              <w:r>
                <w:rPr>
                  <w:rStyle w:val="InternetLink"/>
                  <w:rFonts w:ascii="Times New Roman;sans-serif" w:hAnsi="Times New Roman;sans-serif"/>
                  <w:b w:val="false"/>
                  <w:color w:val="000080"/>
                  <w:sz w:val="20"/>
                  <w:u w:val="single"/>
                </w:rPr>
                <w:t>5</w:t>
              </w:r>
            </w:hyperlink>
            <w:hyperlink r:id="rId70">
              <w:r>
                <w:rPr>
                  <w:rStyle w:val="InternetLink"/>
                  <w:rFonts w:ascii="Times New Roman;sans-serif" w:hAnsi="Times New Roman;sans-serif"/>
                  <w:b w:val="false"/>
                  <w:color w:val="000080"/>
                  <w:sz w:val="20"/>
                  <w:u w:val="single"/>
                </w:rPr>
                <w:t xml:space="preserve">, by and among Plains All American Pipeline, L.P., PAA Finance Corp. and U.S. Bank </w:t>
              </w:r>
            </w:hyperlink>
            <w:hyperlink r:id="rId71">
              <w:r>
                <w:rPr>
                  <w:rStyle w:val="InternetLink"/>
                  <w:rFonts w:ascii="Times New Roman;sans-serif" w:hAnsi="Times New Roman;sans-serif"/>
                  <w:b w:val="false"/>
                  <w:color w:val="000080"/>
                  <w:sz w:val="20"/>
                  <w:u w:val="single"/>
                </w:rPr>
                <w:t xml:space="preserve">Trust Company, </w:t>
              </w:r>
            </w:hyperlink>
            <w:hyperlink r:id="rId72">
              <w:r>
                <w:rPr>
                  <w:rStyle w:val="InternetLink"/>
                  <w:rFonts w:ascii="Times New Roman;sans-serif" w:hAnsi="Times New Roman;sans-serif"/>
                  <w:b w:val="false"/>
                  <w:color w:val="000080"/>
                  <w:sz w:val="20"/>
                  <w:u w:val="single"/>
                </w:rPr>
                <w:t>National Association, as trustee (incorporated by reference to Exhibit 4.1 to our Current Report on Form 8-K filed J</w:t>
              </w:r>
            </w:hyperlink>
            <w:hyperlink r:id="rId73">
              <w:r>
                <w:rPr>
                  <w:rStyle w:val="InternetLink"/>
                  <w:rFonts w:ascii="Times New Roman;sans-serif" w:hAnsi="Times New Roman;sans-serif"/>
                  <w:b w:val="false"/>
                  <w:color w:val="000080"/>
                  <w:sz w:val="20"/>
                  <w:u w:val="single"/>
                </w:rPr>
                <w:t>anuary 15, 2025</w:t>
              </w:r>
            </w:hyperlink>
            <w:hyperlink r:id="rId74">
              <w:r>
                <w:rPr>
                  <w:rStyle w:val="InternetLink"/>
                  <w:rFonts w:ascii="Times New Roman;sans-serif" w:hAnsi="Times New Roman;sans-serif"/>
                  <w:b w:val="false"/>
                  <w:color w:val="000080"/>
                  <w:sz w:val="20"/>
                  <w:u w:val="single"/>
                </w:rPr>
                <w:t>).</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20"/>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417.htm">
              <w:r>
                <w:rPr>
                  <w:rStyle w:val="InternetLink"/>
                  <w:rFonts w:ascii="Times New Roman;sans-serif" w:hAnsi="Times New Roman;sans-serif"/>
                  <w:b w:val="false"/>
                  <w:color w:val="0000FF"/>
                  <w:sz w:val="20"/>
                  <w:u w:val="single"/>
                </w:rPr>
                <w:t>Description of Our Securities.</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1"/>
        <w:gridCol w:w="195"/>
        <w:gridCol w:w="198"/>
        <w:gridCol w:w="109"/>
        <w:gridCol w:w="109"/>
        <w:gridCol w:w="109"/>
        <w:gridCol w:w="115"/>
        <w:gridCol w:w="115"/>
        <w:gridCol w:w="116"/>
        <w:gridCol w:w="109"/>
        <w:gridCol w:w="109"/>
        <w:gridCol w:w="109"/>
        <w:gridCol w:w="2678"/>
        <w:gridCol w:w="2447"/>
        <w:gridCol w:w="3466"/>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25,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ans-serif" w:hAnsi="Times New Roman;sans-serif"/>
                  <w:b w:val="false"/>
                  <w:color w:val="0000FF"/>
                  <w:sz w:val="20"/>
                  <w:u w:val="single"/>
                </w:rPr>
                <w:t>Second Amendment to Credit Agreement dated as of August 19, 2024,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22, 2024).</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FF"/>
                  <w:sz w:val="20"/>
                  <w:u w:val="single"/>
                </w:rPr>
                <w:t>Fourth Amended and Restated Credit Agreement dated as of August 20, 2021,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26, 2021).</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000FF"/>
                  <w:sz w:val="20"/>
                  <w:u w:val="single"/>
                </w:rPr>
                <w:t>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25,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ans-serif" w:hAnsi="Times New Roman;sans-serif"/>
                  <w:b w:val="false"/>
                  <w:color w:val="0000FF"/>
                  <w:sz w:val="20"/>
                  <w:u w:val="single"/>
                </w:rPr>
                <w:t>Second Amendment to Fourth Amended and Restated Credit Agreement dated as of August 19, 2024,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22, 2024).</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FF"/>
                  <w:sz w:val="20"/>
                  <w:u w:val="single"/>
                </w:rPr>
                <w:t>Contribution and Assumption Agreement dated December 28, 2007, by and between Plains AAP, L.P. and PAA GP LLC (incorporated by reference to Exhibit 10.2 to our Current Report on Form 8-K filed January 4, 2008).</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FF"/>
                  <w:sz w:val="20"/>
                  <w:u w:val="single"/>
                </w:rPr>
                <w:t>Omnibus Agreement by and among PAA GP Holdings LLC, Plains GP Holdings, L.P., Plains All American GP LLC, Plains AAP, L.P., PAA GP LLC, and Plains All American Pipeline, L.P., dated November 15, 2016 (incorporated by reference to Exhibit 10.1 to our Current Report on Form 8-K filed November 21, 2016).</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ans-serif" w:hAnsi="Times New Roman;sans-serif"/>
                  <w:b w:val="false"/>
                  <w:color w:val="0000FF"/>
                  <w:sz w:val="20"/>
                  <w:u w:val="single"/>
                </w:rPr>
                <w:t>Amended and Restated Administrative Agreement by and among PAA GP Holdings LLC, Plains GP Holdings, L.P., Plains All American GP LLC, Plains AAP, L.P., PAA GP LLC, and Plains All American Pipeline, L.P., dated November 15, 2016 (incorporated by reference to Exhibit 10.2 to our Current Report on Form 8-K filed November 21, 2016).</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FF"/>
                  <w:sz w:val="20"/>
                  <w:u w:val="single"/>
                </w:rPr>
                <w:t>Amended and Restated Employment Agreement between Plains All American GP LLC and Greg L. Armstrong dated as of June 30, 2001 (incorporated by reference to Exhibit 10.1 to our Quarterly Report on Form 10-Q for the quarter ended September 30, 2001).</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ans-serif" w:hAnsi="Times New Roman;sans-serif"/>
                  <w:b w:val="false"/>
                  <w:color w:val="0000FF"/>
                  <w:sz w:val="20"/>
                  <w:u w:val="single"/>
                </w:rPr>
                <w:t>First Amendment to Amended and Restated Employment Agreement dated December 4, 2008 between Plains All American GP LLC and Greg L. Armstrong (incorporated by reference to Exhibit 10.49 to our Annual Report on Form 10-K for the year ended December 31, 2008).</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ans-serif" w:hAnsi="Times New Roman;sans-serif"/>
                  <w:b w:val="false"/>
                  <w:color w:val="0000FF"/>
                  <w:sz w:val="20"/>
                  <w:u w:val="single"/>
                </w:rPr>
                <w:t>Waiver Agreement dated as of December 23, 2010 between Plains All American GP LLC and Greg L. Armstrong (incorporated by reference to Exhibit 10.31 to our Annual Report on Form 10-K for the year ended December 31, 2010).</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20"/>
                  <w:u w:val="single"/>
                </w:rPr>
                <w:t>Waiver Agreement dated October 21, 2013 to the Amended and Restated Employment Agreement dated June 30, 2001 of Greg L. Armstrong (incorporated by reference to Exhibit 10.2 to our Current Report on Form 8-K filed October 25, 2013).</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5"/>
        <w:gridCol w:w="206"/>
        <w:gridCol w:w="208"/>
        <w:gridCol w:w="109"/>
        <w:gridCol w:w="109"/>
        <w:gridCol w:w="109"/>
        <w:gridCol w:w="115"/>
        <w:gridCol w:w="115"/>
        <w:gridCol w:w="116"/>
        <w:gridCol w:w="109"/>
        <w:gridCol w:w="109"/>
        <w:gridCol w:w="109"/>
        <w:gridCol w:w="2695"/>
        <w:gridCol w:w="2427"/>
        <w:gridCol w:w="3434"/>
      </w:tblGrid>
      <w:tr>
        <w:trPr/>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000FF"/>
                  <w:sz w:val="20"/>
                  <w:u w:val="single"/>
                </w:rPr>
                <w:t>Second Amended and Restated Employment Agreement dated effective October 1, 2018 between Plains All American GP LLC and Greg L. Armstrong (incorporated by reference to Exhibit 10.6 to our Quarterly Report on Form 10-Q for the quarter ended September 30, 2018).</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FF"/>
                  <w:sz w:val="20"/>
                  <w:u w:val="single"/>
                </w:rPr>
                <w:t>Third Amended and Restated Employment Agreement dated effective January 1, 2020 between Plains All American GP LLC and Greg L. Armstrong (incorporated by reference to Exhibit 10.31 to our Annual Report on Form 10-K for the year ended December 31, 2019.</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ans-serif" w:hAnsi="Times New Roman;sans-serif"/>
                  <w:b w:val="false"/>
                  <w:color w:val="0000FF"/>
                  <w:sz w:val="20"/>
                  <w:u w:val="single"/>
                </w:rPr>
                <w:t>Amendment No. 1 to Third Amended and Restated Employment Agreement dated effective December 31, 2021 between Plains All American GP LLC and Greg L. Armstrong (incorporated by reference to Exhibit 10.12 to our Annual Report on Form 10-K for the year ended December 31, 2021).</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ans-serif" w:hAnsi="Times New Roman;sans-serif"/>
                  <w:b w:val="false"/>
                  <w:color w:val="0000FF"/>
                  <w:sz w:val="20"/>
                  <w:u w:val="single"/>
                </w:rPr>
                <w:t>Amended and Restated Employment Agreement between Plains All American GP LLC and Harry N. Pefanis dated as of June 30, 2001 (incorporated by reference to Exhibit 10.2 to our Quarterly Report on Form 10-Q for the quarter ended September 30, 2001).</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ans-serif" w:hAnsi="Times New Roman;sans-serif"/>
                  <w:b w:val="false"/>
                  <w:color w:val="0000FF"/>
                  <w:sz w:val="20"/>
                  <w:u w:val="single"/>
                </w:rPr>
                <w:t>First Amendment to Amended and Restated Employment Agreement dated December 4, 2008 between Plains All American GP LLC and Harry N. Pefanis (incorporated by reference to Exhibit 10.50 to our Annual Report on Form 10-K for the year ended December 31, 2008).</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ans-serif" w:hAnsi="Times New Roman;sans-serif"/>
                  <w:b w:val="false"/>
                  <w:color w:val="0000FF"/>
                  <w:sz w:val="20"/>
                  <w:u w:val="single"/>
                </w:rPr>
                <w:t>Amendment No. 2 dated August 15, 2019 to Harry Pefanis Amended and Restated Employment Agreement (incorporated by reference to Exhibit 10.1 to our Quarterly Report on Form 10-Q for the quarter ended September 30, 2019).</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ans-serif" w:hAnsi="Times New Roman;sans-serif"/>
                  <w:b w:val="false"/>
                  <w:color w:val="0000FF"/>
                  <w:sz w:val="20"/>
                  <w:u w:val="single"/>
                </w:rPr>
                <w:t>Waiver Agreement dated as of December 23, 2010 between Plains All American GP LLC and Harry N. Pefanis (incorporated by reference to Exhibit 10.32 to our Annual Report on Form 10-K for the year ended December 31, 2010).</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ans-serif" w:hAnsi="Times New Roman;sans-serif"/>
                  <w:b w:val="false"/>
                  <w:color w:val="0000FF"/>
                  <w:sz w:val="20"/>
                  <w:u w:val="single"/>
                </w:rPr>
                <w:t>Waiver Agreement dated October 21, 2013 to the Amended and Restated Employment Agreement dated June 30, 2001 of Harry N. Pefanis (incorporated by reference to Exhibit 10.3 to our Current Report on Form 8-K filed October 25, 2013).</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ans-serif" w:hAnsi="Times New Roman;sans-serif"/>
                  <w:b w:val="false"/>
                  <w:color w:val="0000FF"/>
                  <w:sz w:val="20"/>
                  <w:u w:val="single"/>
                </w:rPr>
                <w:t>Employment Agreement between Plains All American GP LLC and Willie Chiang dated July 10, 2015 (incorporated by reference to Exhibit 10.53 to our Annual Report on Form 10-K for the year ended December 31, 2015).</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ans-serif" w:hAnsi="Times New Roman;sans-serif"/>
                  <w:b w:val="false"/>
                  <w:color w:val="0000FF"/>
                  <w:sz w:val="20"/>
                  <w:u w:val="single"/>
                </w:rPr>
                <w:t>Amended and Restated Employment Agreement dated effective October 1, 2018 between Plains All American GP LLC and Willie Chiang (incorporated by reference to Exhibit 10.7 to our Quarterly Report on Form 10-Q for the quarter ended September 30, 2018).</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ans-serif" w:hAnsi="Times New Roman;sans-serif"/>
                  <w:b w:val="false"/>
                  <w:color w:val="0000FF"/>
                  <w:sz w:val="20"/>
                  <w:u w:val="single"/>
                </w:rPr>
                <w:t>LTIP Grant Letter dated August 16, 2018 (Willie Chiang) incorporated by reference to Exhibit 10.8 to our Quarterly Report on Form 10-Q for the quarter ended September 30, 2018).</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"https://www.sec.gov/Archives/edgar/data/1070423/000110465921049049/tm212450-1_def14a.htm" \l "tAPPA"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Plains All American 2021 Long-Term Incentive Plan (incorporated by reference to Exhibit A to our Definitive Proxy Statement filed on April 12, 2021).</w:t>
            </w:r>
            <w:r>
              <w:rPr>
                <w:rStyle w:val="InternetLink"/>
                <w:sz w:val="20"/>
                <w:u w:val="single"/>
                <w:b w:val="false"/>
                <w:rFonts w:ascii="Times New Roman;sans-serif" w:hAnsi="Times New Roman;sans-serif"/>
                <w:color w:val="0000FF"/>
              </w:rPr>
              <w:fldChar w:fldCharType="end"/>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"https://www.sec.gov/Archives/edgar/data/1070423/000119312513390367/d597666ddef14a.htm" \l "rom597666_10"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Plains All American 2013 Long-Term Incentive Plan (incorporated by reference to Exhibit A to our Definitive Proxy Statement filed on October 3, 2013).</w:t>
            </w:r>
            <w:r>
              <w:rPr>
                <w:rStyle w:val="InternetLink"/>
                <w:sz w:val="20"/>
                <w:u w:val="single"/>
                <w:b w:val="false"/>
                <w:rFonts w:ascii="Times New Roman;sans-serif" w:hAnsi="Times New Roman;sans-serif"/>
                <w:color w:val="0000FF"/>
              </w:rPr>
              <w:fldChar w:fldCharType="end"/>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ans-serif" w:hAnsi="Times New Roman;sans-serif"/>
                  <w:b w:val="false"/>
                  <w:color w:val="0000FF"/>
                  <w:sz w:val="20"/>
                  <w:u w:val="single"/>
                </w:rPr>
                <w:t>Plains All American PNG Successor Long-Term Incentive Plan (incorporated by reference to Exhibit 4.4 to our Registration Statement on Form S-8 (333-193139) filed December 31, 2013).</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ans-serif" w:hAnsi="Times New Roman;sans-serif"/>
                  <w:b w:val="false"/>
                  <w:color w:val="0000FF"/>
                  <w:sz w:val="20"/>
                  <w:u w:val="single"/>
                </w:rPr>
                <w:t>PAA Natural Gas Storage, L.P. 2010 Long-Term Incentive Plan (incorporated by reference to Exhibit 10.2 to PNG’s Current Report on Form 8-K filed May 11, 2010).</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ans-serif" w:hAnsi="Times New Roman;sans-serif"/>
                  <w:b w:val="false"/>
                  <w:color w:val="0000FF"/>
                  <w:sz w:val="20"/>
                  <w:u w:val="single"/>
                </w:rPr>
                <w:t>Plains GP Holdings, L.P. Long Term Incentive Plan (incorporated by reference to Exhibit 10.3 to PAGP’s Current Report on Form 8-K filed October 25, 2013).</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ans-serif" w:hAnsi="Times New Roman;sans-serif"/>
                  <w:b w:val="false"/>
                  <w:color w:val="0000FF"/>
                  <w:sz w:val="20"/>
                  <w:u w:val="single"/>
                </w:rPr>
                <w:t>Form of LTIP Grant Letter dated August 15, 2019 (Officers) (incorporated by reference to Exhibit 10.2 to our Quarterly Report on Form 10-Q for the quarter ended September 30, 2019).</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ans-serif" w:hAnsi="Times New Roman;sans-serif"/>
                  <w:b w:val="false"/>
                  <w:color w:val="0000FF"/>
                  <w:sz w:val="20"/>
                  <w:u w:val="single"/>
                </w:rPr>
                <w:t>Form of LTIP Grant Letter dated August 13, 2020 (Directors) (incorporated by reference to Exhibit 10.2 to our Quarterly Report on Form 10-Q for the quarter ended September 30, 2020).</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ans-serif" w:hAnsi="Times New Roman;sans-serif"/>
                  <w:b w:val="false"/>
                  <w:color w:val="0000FF"/>
                  <w:sz w:val="20"/>
                  <w:u w:val="single"/>
                </w:rPr>
                <w:t>Form of Special Retention LTIP Grant Letter dated November 20, 2019 (incorporated by reference to Exhibit 10.53 to our Annual Report on Form 10-K for the year ended December 31, 2020).</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7"/>
        <w:gridCol w:w="235"/>
        <w:gridCol w:w="237"/>
        <w:gridCol w:w="109"/>
        <w:gridCol w:w="109"/>
        <w:gridCol w:w="109"/>
        <w:gridCol w:w="115"/>
        <w:gridCol w:w="115"/>
        <w:gridCol w:w="116"/>
        <w:gridCol w:w="109"/>
        <w:gridCol w:w="109"/>
        <w:gridCol w:w="109"/>
        <w:gridCol w:w="3049"/>
        <w:gridCol w:w="2243"/>
        <w:gridCol w:w="3174"/>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ans-serif" w:hAnsi="Times New Roman;sans-serif"/>
                  <w:b w:val="false"/>
                  <w:color w:val="0000FF"/>
                  <w:sz w:val="20"/>
                  <w:u w:val="single"/>
                </w:rPr>
                <w:t>Form of Amended and Restated Special Retention LTIP Grant Letter Dated February 24, 2022 (incorporated by reference to Exhibit 10.1 to our Quarterly Report on Form 10-Q for the quarter ended March 31, 2022).</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Times New Roman;sans-serif" w:hAnsi="Times New Roman;sans-serif"/>
                  <w:b w:val="false"/>
                  <w:color w:val="0000FF"/>
                  <w:sz w:val="20"/>
                  <w:u w:val="single"/>
                </w:rPr>
                <w:t>Form of LTIP Grant Letter dated August 19, 2021 (Named Executive Officers) (incorporated by reference to Exhibit 10.3 to our Quarterly Report on Form 10-Q for the quarter ended September 30, 2021).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ans-serif" w:hAnsi="Times New Roman;sans-serif"/>
                  <w:b w:val="false"/>
                  <w:color w:val="0000FF"/>
                  <w:sz w:val="20"/>
                  <w:u w:val="single"/>
                </w:rPr>
                <w:t>Form of LTIP Grant Letter dated August 19, 2021 (Directors) (incorporated by reference to Exhibit 10.4 to our Quarterly Report on Form 10-Q for the quarter ended September 30, 2021).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ans-serif" w:hAnsi="Times New Roman;sans-serif"/>
                  <w:b w:val="false"/>
                  <w:color w:val="0000FF"/>
                  <w:sz w:val="20"/>
                  <w:u w:val="single"/>
                </w:rPr>
                <w:t>Form of LTIP Grant Letter dated August 18, 2022 (Named Executive Officers) (incorporated by reference to Exhibit 10.4 to our Quarterly Report on Form 10-Q for the quarter ended September 30, 2022).</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2">
              <w:r>
                <w:rPr>
                  <w:rStyle w:val="InternetLink"/>
                  <w:rFonts w:ascii="Times New Roman;sans-serif" w:hAnsi="Times New Roman;sans-serif"/>
                  <w:b w:val="false"/>
                  <w:color w:val="0000FF"/>
                  <w:sz w:val="20"/>
                  <w:u w:val="single"/>
                </w:rPr>
                <w:t>Form of LTIP Grant Letter dated August 17, 2023 (Named Executive Officers) (incorporated by reference to Exhibit 10.1 to our Quarterly Report on Form 10-Q for the quarter ended September 30, 2023).</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Times New Roman;sans-serif" w:hAnsi="Times New Roman;sans-serif"/>
                  <w:b w:val="false"/>
                  <w:color w:val="0000FF"/>
                  <w:sz w:val="20"/>
                  <w:u w:val="single"/>
                </w:rPr>
                <w:t>Form of LTIP Grant Letter dated August 17, 2023 (Directors) (incorporated by reference to Exhibit 10.2 to our Quarterly Report on Form 10-Q for the quarter ended September 30, 2023).</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4">
              <w:r>
                <w:rPr>
                  <w:rStyle w:val="InternetLink"/>
                  <w:rFonts w:ascii="Times New Roman;sans-serif" w:hAnsi="Times New Roman;sans-serif"/>
                  <w:b w:val="false"/>
                  <w:color w:val="000080"/>
                  <w:sz w:val="20"/>
                  <w:u w:val="single"/>
                </w:rPr>
                <w:t>Form of LTIP Grant Letter dated August 15, 2024 (Named Executive Officers)</w:t>
              </w:r>
            </w:hyperlink>
            <w:hyperlink r:id="rId115">
              <w:r>
                <w:rPr>
                  <w:rStyle w:val="InternetLink"/>
                  <w:rFonts w:ascii="Times New Roman;sans-serif" w:hAnsi="Times New Roman;sans-serif"/>
                  <w:b w:val="false"/>
                  <w:color w:val="000080"/>
                  <w:sz w:val="20"/>
                  <w:u w:val="single"/>
                </w:rPr>
                <w:t xml:space="preserve"> </w:t>
              </w:r>
            </w:hyperlink>
            <w:hyperlink r:id="rId116">
              <w:r>
                <w:rPr>
                  <w:rStyle w:val="InternetLink"/>
                  <w:rFonts w:ascii="Times New Roman;sans-serif" w:hAnsi="Times New Roman;sans-serif"/>
                  <w:b w:val="false"/>
                  <w:color w:val="000080"/>
                  <w:sz w:val="20"/>
                  <w:u w:val="single"/>
                </w:rPr>
                <w:t>(incorporated by reference to Exhibit 10.</w:t>
              </w:r>
            </w:hyperlink>
            <w:hyperlink r:id="rId117">
              <w:r>
                <w:rPr>
                  <w:rStyle w:val="InternetLink"/>
                  <w:rFonts w:ascii="Times New Roman;sans-serif" w:hAnsi="Times New Roman;sans-serif"/>
                  <w:b w:val="false"/>
                  <w:color w:val="000080"/>
                  <w:sz w:val="20"/>
                  <w:u w:val="single"/>
                </w:rPr>
                <w:t>3</w:t>
              </w:r>
            </w:hyperlink>
            <w:hyperlink r:id="rId118">
              <w:r>
                <w:rPr>
                  <w:rStyle w:val="InternetLink"/>
                  <w:rFonts w:ascii="Times New Roman;sans-serif" w:hAnsi="Times New Roman;sans-serif"/>
                  <w:b w:val="false"/>
                  <w:color w:val="000080"/>
                  <w:sz w:val="20"/>
                  <w:u w:val="single"/>
                </w:rPr>
                <w:t xml:space="preserve"> to our Quarterly Report on Form 10-Q for the quarter ended September 30, 202</w:t>
              </w:r>
            </w:hyperlink>
            <w:hyperlink r:id="rId119">
              <w:r>
                <w:rPr>
                  <w:rStyle w:val="InternetLink"/>
                  <w:rFonts w:ascii="Times New Roman;sans-serif" w:hAnsi="Times New Roman;sans-serif"/>
                  <w:b w:val="false"/>
                  <w:color w:val="000080"/>
                  <w:sz w:val="20"/>
                  <w:u w:val="single"/>
                </w:rPr>
                <w:t>4</w:t>
              </w:r>
            </w:hyperlink>
            <w:hyperlink r:id="rId120">
              <w:r>
                <w:rPr>
                  <w:rStyle w:val="InternetLink"/>
                  <w:rFonts w:ascii="Times New Roman;sans-serif" w:hAnsi="Times New Roman;sans-serif"/>
                  <w:b w:val="false"/>
                  <w:color w:val="000080"/>
                  <w:sz w:val="20"/>
                  <w:u w:val="single"/>
                </w:rPr>
                <w:t>)</w:t>
              </w:r>
            </w:hyperlink>
            <w:hyperlink r:id="rId121">
              <w:r>
                <w:rPr>
                  <w:rStyle w:val="InternetLink"/>
                  <w:rFonts w:ascii="Times New Roman;sans-serif" w:hAnsi="Times New Roman;sans-serif"/>
                  <w:b w:val="false"/>
                  <w:color w:val="000080"/>
                  <w:sz w:val="20"/>
                  <w:u w:val="single"/>
                </w:rPr>
                <w:t>.</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2">
              <w:r>
                <w:rPr>
                  <w:rStyle w:val="InternetLink"/>
                  <w:rFonts w:ascii="Times New Roman;sans-serif" w:hAnsi="Times New Roman;sans-serif"/>
                  <w:b w:val="false"/>
                  <w:color w:val="000080"/>
                  <w:sz w:val="20"/>
                  <w:u w:val="single"/>
                </w:rPr>
                <w:t>Form of LTIP Grant Letter dated August 15, 2024 (Directors)</w:t>
              </w:r>
            </w:hyperlink>
            <w:hyperlink r:id="rId123">
              <w:r>
                <w:rPr>
                  <w:rStyle w:val="InternetLink"/>
                  <w:rFonts w:ascii="Times New Roman;sans-serif" w:hAnsi="Times New Roman;sans-serif"/>
                  <w:b w:val="false"/>
                  <w:color w:val="000080"/>
                  <w:sz w:val="20"/>
                  <w:u w:val="single"/>
                </w:rPr>
                <w:t xml:space="preserve"> </w:t>
              </w:r>
            </w:hyperlink>
            <w:hyperlink r:id="rId124">
              <w:r>
                <w:rPr>
                  <w:rStyle w:val="InternetLink"/>
                  <w:rFonts w:ascii="Times New Roman;sans-serif" w:hAnsi="Times New Roman;sans-serif"/>
                  <w:b w:val="false"/>
                  <w:color w:val="000080"/>
                  <w:sz w:val="20"/>
                  <w:u w:val="single"/>
                </w:rPr>
                <w:t>(incorporated by reference to Exhibit 10.</w:t>
              </w:r>
            </w:hyperlink>
            <w:hyperlink r:id="rId125">
              <w:r>
                <w:rPr>
                  <w:rStyle w:val="InternetLink"/>
                  <w:rFonts w:ascii="Times New Roman;sans-serif" w:hAnsi="Times New Roman;sans-serif"/>
                  <w:b w:val="false"/>
                  <w:color w:val="000080"/>
                  <w:sz w:val="20"/>
                  <w:u w:val="single"/>
                </w:rPr>
                <w:t>4</w:t>
              </w:r>
            </w:hyperlink>
            <w:hyperlink r:id="rId126">
              <w:r>
                <w:rPr>
                  <w:rStyle w:val="InternetLink"/>
                  <w:rFonts w:ascii="Times New Roman;sans-serif" w:hAnsi="Times New Roman;sans-serif"/>
                  <w:b w:val="false"/>
                  <w:color w:val="000080"/>
                  <w:sz w:val="20"/>
                  <w:u w:val="single"/>
                </w:rPr>
                <w:t xml:space="preserve"> to our Quarterly Report on Form 10-Q for the quarter ended September 30, 2024)</w:t>
              </w:r>
            </w:hyperlink>
            <w:hyperlink r:id="rId127">
              <w:r>
                <w:rPr>
                  <w:rStyle w:val="InternetLink"/>
                  <w:rFonts w:ascii="Times New Roman;sans-serif" w:hAnsi="Times New Roman;sans-serif"/>
                  <w:b w:val="false"/>
                  <w:color w:val="000080"/>
                  <w:sz w:val="20"/>
                  <w:u w:val="single"/>
                </w:rPr>
                <w:t>.</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191.htm">
              <w:r>
                <w:rPr>
                  <w:rStyle w:val="InternetLink"/>
                  <w:rFonts w:ascii="Times New Roman;sans-serif" w:hAnsi="Times New Roman;sans-serif"/>
                  <w:b w:val="false"/>
                  <w:color w:val="000080"/>
                  <w:sz w:val="20"/>
                  <w:u w:val="single"/>
                </w:rPr>
                <w:t>P</w:t>
              </w:r>
            </w:hyperlink>
            <w:hyperlink w:anchor="paa202410-kexhibit191.htm">
              <w:r>
                <w:rPr>
                  <w:rStyle w:val="InternetLink"/>
                  <w:rFonts w:ascii="Times New Roman;sans-serif" w:hAnsi="Times New Roman;sans-serif"/>
                  <w:b w:val="false"/>
                  <w:color w:val="000080"/>
                  <w:sz w:val="20"/>
                  <w:u w:val="single"/>
                </w:rPr>
                <w:t>olicy on Insider Trading</w:t>
              </w:r>
            </w:hyperlink>
            <w:hyperlink w:anchor="paa202410-kexhibit191.htm">
              <w:r>
                <w:rPr>
                  <w:rStyle w:val="InternetLink"/>
                  <w:rFonts w:ascii="Times New Roman;sans-serif" w:hAnsi="Times New Roman;sans-serif"/>
                  <w:b w:val="false"/>
                  <w:color w:val="000080"/>
                  <w:sz w:val="20"/>
                  <w:u w:val="single"/>
                </w:rPr>
                <w:t>.</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192.htm">
              <w:r>
                <w:rPr>
                  <w:rStyle w:val="InternetLink"/>
                  <w:rFonts w:ascii="Times New Roman;sans-serif" w:hAnsi="Times New Roman;sans-serif"/>
                  <w:b w:val="false"/>
                  <w:color w:val="000080"/>
                  <w:sz w:val="20"/>
                  <w:u w:val="single"/>
                </w:rPr>
                <w:t>P</w:t>
              </w:r>
            </w:hyperlink>
            <w:hyperlink w:anchor="paa202410-kexhibit192.htm">
              <w:r>
                <w:rPr>
                  <w:rStyle w:val="InternetLink"/>
                  <w:rFonts w:ascii="Times New Roman;sans-serif" w:hAnsi="Times New Roman;sans-serif"/>
                  <w:b w:val="false"/>
                  <w:color w:val="000080"/>
                  <w:sz w:val="20"/>
                  <w:u w:val="single"/>
                </w:rPr>
                <w:t>oli</w:t>
              </w:r>
            </w:hyperlink>
            <w:hyperlink w:anchor="paa202410-kexhibit192.htm">
              <w:r>
                <w:rPr>
                  <w:rStyle w:val="InternetLink"/>
                  <w:rFonts w:ascii="Times New Roman;sans-serif" w:hAnsi="Times New Roman;sans-serif"/>
                  <w:b w:val="false"/>
                  <w:color w:val="000080"/>
                  <w:sz w:val="20"/>
                  <w:u w:val="single"/>
                </w:rPr>
                <w:t>cy Regarding Special Trading Proc</w:t>
              </w:r>
            </w:hyperlink>
            <w:hyperlink w:anchor="paa202410-kexhibit192.htm">
              <w:r>
                <w:rPr>
                  <w:rStyle w:val="InternetLink"/>
                  <w:rFonts w:ascii="Times New Roman;sans-serif" w:hAnsi="Times New Roman;sans-serif"/>
                  <w:b w:val="false"/>
                  <w:color w:val="000080"/>
                  <w:sz w:val="20"/>
                  <w:u w:val="single"/>
                </w:rPr>
                <w:t>edures</w:t>
              </w:r>
            </w:hyperlink>
            <w:hyperlink w:anchor="paa202410-kexhibit192.htm">
              <w:r>
                <w:rPr>
                  <w:rStyle w:val="InternetLink"/>
                  <w:rFonts w:ascii="Times New Roman;sans-serif" w:hAnsi="Times New Roman;sans-serif"/>
                  <w:b w:val="false"/>
                  <w:color w:val="000080"/>
                  <w:sz w:val="20"/>
                  <w:u w:val="single"/>
                </w:rPr>
                <w:t>.</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211.htm">
              <w:r>
                <w:rPr>
                  <w:rStyle w:val="InternetLink"/>
                  <w:rFonts w:ascii="Times New Roman;sans-serif" w:hAnsi="Times New Roman;sans-serif"/>
                  <w:b w:val="false"/>
                  <w:color w:val="0000FF"/>
                  <w:sz w:val="20"/>
                  <w:u w:val="single"/>
                </w:rPr>
                <w:t>List of Subsidiaries of Plains All American Pipeline, L.P.</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231.htm">
              <w:r>
                <w:rPr>
                  <w:rStyle w:val="InternetLink"/>
                  <w:rFonts w:ascii="Times New Roman;sans-serif" w:hAnsi="Times New Roman;sans-serif"/>
                  <w:b w:val="false"/>
                  <w:color w:val="0000FF"/>
                  <w:sz w:val="20"/>
                  <w:u w:val="single"/>
                </w:rPr>
                <w:t>Consent of PricewaterhouseCoopers LLP.</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410-k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8">
              <w:r>
                <w:rPr>
                  <w:rStyle w:val="InternetLink"/>
                  <w:rFonts w:ascii="Times New Roman;sans-serif" w:hAnsi="Times New Roman;sans-serif"/>
                  <w:b w:val="false"/>
                  <w:color w:val="000080"/>
                  <w:sz w:val="20"/>
                  <w:u w:val="single"/>
                </w:rPr>
                <w:t>Amended and Restated Clawback Policy</w:t>
              </w:r>
            </w:hyperlink>
            <w:hyperlink r:id="rId129">
              <w:r>
                <w:rPr>
                  <w:rStyle w:val="InternetLink"/>
                  <w:rFonts w:ascii="Times New Roman;sans-serif" w:hAnsi="Times New Roman;sans-serif"/>
                  <w:b w:val="false"/>
                  <w:color w:val="000080"/>
                  <w:sz w:val="20"/>
                  <w:u w:val="single"/>
                </w:rPr>
                <w:t xml:space="preserve"> </w:t>
              </w:r>
            </w:hyperlink>
            <w:hyperlink r:id="rId130">
              <w:r>
                <w:rPr>
                  <w:rStyle w:val="InternetLink"/>
                  <w:rFonts w:ascii="Times New Roman;sans-serif" w:hAnsi="Times New Roman;sans-serif"/>
                  <w:b w:val="false"/>
                  <w:color w:val="000080"/>
                  <w:sz w:val="20"/>
                  <w:u w:val="single"/>
                </w:rPr>
                <w:t>(incorporated by reference to Exhibit 97.1 to our Annual Report on Form 10-K for the year ended December 31, 2023).</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120" w:after="283"/>
        <w:ind w:left="0" w:right="0" w:hanging="360"/>
        <w:jc w:val="left"/>
        <w:rPr/>
      </w:pPr>
      <w:r>
        <w:rPr>
          <w:color w:val="000000"/>
        </w:rPr>
        <w:t>††    </w:t>
      </w:r>
      <w:r>
        <w:rPr>
          <w:rFonts w:ascii="Times New Roman;sans-serif" w:hAnsi="Times New Roman;sans-serif"/>
          <w:b w:val="false"/>
          <w:color w:val="000000"/>
          <w:sz w:val="20"/>
        </w:rPr>
        <w:t>Furnished herewith.</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Certain schedules have been omitted pursuant to Item 601(b)(2) of Regulation S-K. A copy of any omitted schedule will be furnished supplementally to the SEC upon request.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43"/>
        <w:gridCol w:w="478"/>
        <w:gridCol w:w="480"/>
        <w:gridCol w:w="547"/>
        <w:gridCol w:w="547"/>
        <w:gridCol w:w="547"/>
        <w:gridCol w:w="2067"/>
        <w:gridCol w:w="2067"/>
        <w:gridCol w:w="2929"/>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ALL AMERICAN PIPELINE, L.P.</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AAP, L.P.,</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sole member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Chief Executive Officer of Plains All American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Plains All American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Plains All American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38"/>
        <w:gridCol w:w="454"/>
        <w:gridCol w:w="458"/>
        <w:gridCol w:w="109"/>
        <w:gridCol w:w="109"/>
        <w:gridCol w:w="109"/>
        <w:gridCol w:w="2236"/>
        <w:gridCol w:w="2236"/>
        <w:gridCol w:w="2253"/>
        <w:gridCol w:w="109"/>
        <w:gridCol w:w="109"/>
        <w:gridCol w:w="109"/>
        <w:gridCol w:w="371"/>
        <w:gridCol w:w="371"/>
        <w:gridCol w:w="534"/>
      </w:tblGrid>
      <w:tr>
        <w:trPr/>
        <w:tc>
          <w:tcPr>
            <w:tcW w:w="63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PAA GP Holdings LLC and Chief Executive Officer of Plains All American GP LLC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Harry N. Pefanis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 and President of Plains All American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Harry N. Pefanis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Plains All American GP LLC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Chief Accounting Officer of Plains All American GP LLC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 Herbold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Greg L.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 L.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Victor Burk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Victor Burk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Ellen R. DeSanctis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R. DeSanctis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Kevin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Kevin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Gary R. Petersen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Gary R. Petersen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Alexandra D. Pruner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Alexandra D. Pruner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John T. Raymond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T. Raymond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Bobby S. Shackouls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Bobby S. Shackouls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Lawrence M. Ziemba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Lawrence M. Ziemba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CONSOLIDATED FINANCIAL STATEMENTS</w:t>
      </w:r>
    </w:p>
    <w:tbl>
      <w:tblPr>
        <w:tblW w:w="10205" w:type="dxa"/>
        <w:jc w:val="center"/>
        <w:tblInd w:w="0" w:type="dxa"/>
        <w:tblLayout w:type="fixed"/>
        <w:tblCellMar>
          <w:top w:w="28" w:type="dxa"/>
          <w:left w:w="28" w:type="dxa"/>
          <w:bottom w:w="28" w:type="dxa"/>
          <w:right w:w="28" w:type="dxa"/>
        </w:tblCellMar>
      </w:tblPr>
      <w:tblGrid>
        <w:gridCol w:w="3541"/>
        <w:gridCol w:w="3062"/>
        <w:gridCol w:w="3078"/>
        <w:gridCol w:w="152"/>
        <w:gridCol w:w="152"/>
        <w:gridCol w:w="220"/>
      </w:tblGrid>
      <w:tr>
        <w:trPr/>
        <w:tc>
          <w:tcPr>
            <w:tcW w:w="3541"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60">
              <w:r>
                <w:rPr>
                  <w:rStyle w:val="InternetLink"/>
                  <w:rFonts w:ascii="Times New Roman;sans-serif" w:hAnsi="Times New Roman;sans-serif"/>
                  <w:b w:val="false"/>
                  <w:color w:val="0000FF"/>
                  <w:sz w:val="20"/>
                  <w:u w:val="single"/>
                </w:rPr>
                <w:t>Management’s Report on Internal Control Over Financial Reporting</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60">
              <w:r>
                <w:rPr>
                  <w:rStyle w:val="InternetLink"/>
                  <w:rFonts w:ascii="Times New Roman;sans-serif" w:hAnsi="Times New Roman;sans-serif"/>
                  <w:b w:val="false"/>
                  <w:color w:val="000080"/>
                  <w:sz w:val="20"/>
                  <w:u w:val="single"/>
                </w:rPr>
                <w:t>F-</w:t>
              </w:r>
            </w:hyperlink>
            <w:hyperlink w:anchor="i52e08aef656445fea87274cf3e5c1ee9_160">
              <w:r>
                <w:rPr>
                  <w:rStyle w:val="InternetLink"/>
                  <w:rFonts w:ascii="Times New Roman;sans-serif" w:hAnsi="Times New Roman;sans-serif"/>
                  <w:b w:val="false"/>
                  <w:color w:val="000080"/>
                  <w:sz w:val="20"/>
                  <w:u w:val="single"/>
                </w:rPr>
                <w:t>2</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63">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E32E1"/>
                <w:sz w:val="20"/>
                <w:u w:val="single"/>
              </w:rPr>
              <w:t>238</w:t>
            </w:r>
            <w:hyperlink w:anchor="i52e08aef656445fea87274cf3e5c1ee9_163">
              <w:r>
                <w:rPr>
                  <w:rStyle w:val="InternetLink"/>
                  <w:rFonts w:ascii="Times New Roman;sans-serif" w:hAnsi="Times New Roman;sans-serif"/>
                  <w:b w:val="false"/>
                  <w:color w:val="0000FF"/>
                  <w:sz w:val="20"/>
                  <w:u w:val="single"/>
                </w:rPr>
                <w: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63">
              <w:r>
                <w:rPr>
                  <w:rStyle w:val="InternetLink"/>
                  <w:rFonts w:ascii="Times New Roman;sans-serif" w:hAnsi="Times New Roman;sans-serif"/>
                  <w:b w:val="false"/>
                  <w:color w:val="000080"/>
                  <w:sz w:val="20"/>
                  <w:u w:val="single"/>
                </w:rPr>
                <w:t>F-</w:t>
              </w:r>
            </w:hyperlink>
            <w:hyperlink w:anchor="i52e08aef656445fea87274cf3e5c1ee9_163">
              <w:r>
                <w:rPr>
                  <w:rStyle w:val="InternetLink"/>
                  <w:rFonts w:ascii="Times New Roman;sans-serif" w:hAnsi="Times New Roman;sans-serif"/>
                  <w:b w:val="false"/>
                  <w:color w:val="000080"/>
                  <w:sz w:val="20"/>
                  <w:u w:val="single"/>
                </w:rPr>
                <w:t>3</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69">
              <w:r>
                <w:rPr>
                  <w:rStyle w:val="InternetLink"/>
                  <w:rFonts w:ascii="Times New Roman;sans-serif" w:hAnsi="Times New Roman;sans-serif"/>
                  <w:b w:val="false"/>
                  <w:color w:val="000080"/>
                  <w:sz w:val="20"/>
                  <w:u w:val="single"/>
                </w:rPr>
                <w:t>Consolidated Balance Sheets as of December 31, 202</w:t>
              </w:r>
            </w:hyperlink>
            <w:hyperlink w:anchor="i52e08aef656445fea87274cf3e5c1ee9_169">
              <w:r>
                <w:rPr>
                  <w:rStyle w:val="InternetLink"/>
                  <w:rFonts w:ascii="Times New Roman;sans-serif" w:hAnsi="Times New Roman;sans-serif"/>
                  <w:b w:val="false"/>
                  <w:color w:val="000080"/>
                  <w:sz w:val="20"/>
                  <w:u w:val="single"/>
                </w:rPr>
                <w:t>4</w:t>
              </w:r>
            </w:hyperlink>
            <w:hyperlink w:anchor="i52e08aef656445fea87274cf3e5c1ee9_169">
              <w:r>
                <w:rPr>
                  <w:rStyle w:val="InternetLink"/>
                  <w:rFonts w:ascii="Times New Roman;sans-serif" w:hAnsi="Times New Roman;sans-serif"/>
                  <w:b w:val="false"/>
                  <w:color w:val="000080"/>
                  <w:sz w:val="20"/>
                  <w:u w:val="single"/>
                </w:rPr>
                <w:t xml:space="preserve"> and 20</w:t>
              </w:r>
            </w:hyperlink>
            <w:hyperlink w:anchor="i52e08aef656445fea87274cf3e5c1ee9_169">
              <w:r>
                <w:rPr>
                  <w:rStyle w:val="InternetLink"/>
                  <w:rFonts w:ascii="Times New Roman;sans-serif" w:hAnsi="Times New Roman;sans-serif"/>
                  <w:b w:val="false"/>
                  <w:color w:val="000080"/>
                  <w:sz w:val="20"/>
                  <w:u w:val="single"/>
                </w:rPr>
                <w:t>23</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69">
              <w:r>
                <w:rPr>
                  <w:rStyle w:val="InternetLink"/>
                  <w:rFonts w:ascii="Times New Roman;sans-serif" w:hAnsi="Times New Roman;sans-serif"/>
                  <w:b w:val="false"/>
                  <w:color w:val="000080"/>
                  <w:sz w:val="20"/>
                  <w:u w:val="single"/>
                </w:rPr>
                <w:t>F-</w:t>
              </w:r>
            </w:hyperlink>
            <w:hyperlink w:anchor="i52e08aef656445fea87274cf3e5c1ee9_169">
              <w:r>
                <w:rPr>
                  <w:rStyle w:val="InternetLink"/>
                  <w:rFonts w:ascii="Times New Roman;sans-serif" w:hAnsi="Times New Roman;sans-serif"/>
                  <w:b w:val="false"/>
                  <w:color w:val="000080"/>
                  <w:sz w:val="20"/>
                  <w:u w:val="single"/>
                </w:rPr>
                <w:t>5</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72">
              <w:r>
                <w:rPr>
                  <w:rStyle w:val="InternetLink"/>
                  <w:rFonts w:ascii="Times New Roman;sans-serif" w:hAnsi="Times New Roman;sans-serif"/>
                  <w:b w:val="false"/>
                  <w:color w:val="000080"/>
                  <w:sz w:val="20"/>
                  <w:u w:val="single"/>
                </w:rPr>
                <w:t>Consolidated Statements of Operations for the years ended December 31, 202</w:t>
              </w:r>
            </w:hyperlink>
            <w:hyperlink w:anchor="i52e08aef656445fea87274cf3e5c1ee9_172">
              <w:r>
                <w:rPr>
                  <w:rStyle w:val="InternetLink"/>
                  <w:rFonts w:ascii="Times New Roman;sans-serif" w:hAnsi="Times New Roman;sans-serif"/>
                  <w:b w:val="false"/>
                  <w:color w:val="000080"/>
                  <w:sz w:val="20"/>
                  <w:u w:val="single"/>
                </w:rPr>
                <w:t>4</w:t>
              </w:r>
            </w:hyperlink>
            <w:hyperlink w:anchor="i52e08aef656445fea87274cf3e5c1ee9_172">
              <w:r>
                <w:rPr>
                  <w:rStyle w:val="InternetLink"/>
                  <w:rFonts w:ascii="Times New Roman;sans-serif" w:hAnsi="Times New Roman;sans-serif"/>
                  <w:b w:val="false"/>
                  <w:color w:val="000080"/>
                  <w:sz w:val="20"/>
                  <w:u w:val="single"/>
                </w:rPr>
                <w:t>, 202</w:t>
              </w:r>
            </w:hyperlink>
            <w:hyperlink w:anchor="i52e08aef656445fea87274cf3e5c1ee9_172">
              <w:r>
                <w:rPr>
                  <w:rStyle w:val="InternetLink"/>
                  <w:rFonts w:ascii="Times New Roman;sans-serif" w:hAnsi="Times New Roman;sans-serif"/>
                  <w:b w:val="false"/>
                  <w:color w:val="000080"/>
                  <w:sz w:val="20"/>
                  <w:u w:val="single"/>
                </w:rPr>
                <w:t>3</w:t>
              </w:r>
            </w:hyperlink>
            <w:hyperlink w:anchor="i52e08aef656445fea87274cf3e5c1ee9_172">
              <w:r>
                <w:rPr>
                  <w:rStyle w:val="InternetLink"/>
                  <w:rFonts w:ascii="Times New Roman;sans-serif" w:hAnsi="Times New Roman;sans-serif"/>
                  <w:b w:val="false"/>
                  <w:color w:val="000080"/>
                  <w:sz w:val="20"/>
                  <w:u w:val="single"/>
                </w:rPr>
                <w:t xml:space="preserve"> and 202</w:t>
              </w:r>
            </w:hyperlink>
            <w:hyperlink w:anchor="i52e08aef656445fea87274cf3e5c1ee9_172">
              <w:r>
                <w:rPr>
                  <w:rStyle w:val="InternetLink"/>
                  <w:rFonts w:ascii="Times New Roman;sans-serif" w:hAnsi="Times New Roman;sans-serif"/>
                  <w:b w:val="false"/>
                  <w:color w:val="000080"/>
                  <w:sz w:val="20"/>
                  <w:u w:val="single"/>
                </w:rPr>
                <w:t>2</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72">
              <w:r>
                <w:rPr>
                  <w:rStyle w:val="InternetLink"/>
                  <w:rFonts w:ascii="Times New Roman;sans-serif" w:hAnsi="Times New Roman;sans-serif"/>
                  <w:b w:val="false"/>
                  <w:color w:val="000080"/>
                  <w:sz w:val="20"/>
                  <w:u w:val="single"/>
                </w:rPr>
                <w:t>F-</w:t>
              </w:r>
            </w:hyperlink>
            <w:hyperlink w:anchor="i52e08aef656445fea87274cf3e5c1ee9_172">
              <w:r>
                <w:rPr>
                  <w:rStyle w:val="InternetLink"/>
                  <w:rFonts w:ascii="Times New Roman;sans-serif" w:hAnsi="Times New Roman;sans-serif"/>
                  <w:b w:val="false"/>
                  <w:color w:val="000080"/>
                  <w:sz w:val="20"/>
                  <w:u w:val="single"/>
                </w:rPr>
                <w:t>6</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e08aef656445fea87274cf3e5c1ee9_175">
              <w:r>
                <w:rPr>
                  <w:rStyle w:val="InternetLink"/>
                  <w:rFonts w:ascii="Times New Roman;sans-serif" w:hAnsi="Times New Roman;sans-serif"/>
                  <w:b w:val="false"/>
                  <w:color w:val="000080"/>
                  <w:sz w:val="20"/>
                  <w:u w:val="single"/>
                </w:rPr>
                <w:t>Consolidated Statements of Comprehensive Income for the years ended December 31, 202</w:t>
              </w:r>
            </w:hyperlink>
            <w:hyperlink w:anchor="i52e08aef656445fea87274cf3e5c1ee9_175">
              <w:r>
                <w:rPr>
                  <w:rStyle w:val="InternetLink"/>
                  <w:rFonts w:ascii="Times New Roman;sans-serif" w:hAnsi="Times New Roman;sans-serif"/>
                  <w:b w:val="false"/>
                  <w:color w:val="000080"/>
                  <w:sz w:val="20"/>
                  <w:u w:val="single"/>
                </w:rPr>
                <w:t>4</w:t>
              </w:r>
            </w:hyperlink>
            <w:hyperlink w:anchor="i52e08aef656445fea87274cf3e5c1ee9_175">
              <w:r>
                <w:rPr>
                  <w:rStyle w:val="InternetLink"/>
                  <w:rFonts w:ascii="Times New Roman;sans-serif" w:hAnsi="Times New Roman;sans-serif"/>
                  <w:b w:val="false"/>
                  <w:color w:val="000080"/>
                  <w:sz w:val="20"/>
                  <w:u w:val="single"/>
                </w:rPr>
                <w:t>, 202</w:t>
              </w:r>
            </w:hyperlink>
            <w:hyperlink w:anchor="i52e08aef656445fea87274cf3e5c1ee9_175">
              <w:r>
                <w:rPr>
                  <w:rStyle w:val="InternetLink"/>
                  <w:rFonts w:ascii="Times New Roman;sans-serif" w:hAnsi="Times New Roman;sans-serif"/>
                  <w:b w:val="false"/>
                  <w:color w:val="000080"/>
                  <w:sz w:val="20"/>
                  <w:u w:val="single"/>
                </w:rPr>
                <w:t>3</w:t>
              </w:r>
            </w:hyperlink>
            <w:hyperlink w:anchor="i52e08aef656445fea87274cf3e5c1ee9_175">
              <w:r>
                <w:rPr>
                  <w:rStyle w:val="InternetLink"/>
                  <w:rFonts w:ascii="Times New Roman;sans-serif" w:hAnsi="Times New Roman;sans-serif"/>
                  <w:b w:val="false"/>
                  <w:color w:val="000080"/>
                  <w:sz w:val="20"/>
                  <w:u w:val="single"/>
                </w:rPr>
                <w:t xml:space="preserve"> and 202</w:t>
              </w:r>
            </w:hyperlink>
            <w:hyperlink w:anchor="i52e08aef656445fea87274cf3e5c1ee9_175">
              <w:r>
                <w:rPr>
                  <w:rStyle w:val="InternetLink"/>
                  <w:rFonts w:ascii="Times New Roman;sans-serif" w:hAnsi="Times New Roman;sans-serif"/>
                  <w:b w:val="false"/>
                  <w:color w:val="000080"/>
                  <w:sz w:val="20"/>
                  <w:u w:val="single"/>
                </w:rPr>
                <w:t>2</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75">
              <w:r>
                <w:rPr>
                  <w:rStyle w:val="InternetLink"/>
                  <w:rFonts w:ascii="Times New Roman;sans-serif" w:hAnsi="Times New Roman;sans-serif"/>
                  <w:b w:val="false"/>
                  <w:color w:val="000080"/>
                  <w:sz w:val="20"/>
                  <w:u w:val="single"/>
                </w:rPr>
                <w:t>F-</w:t>
              </w:r>
            </w:hyperlink>
            <w:hyperlink w:anchor="i52e08aef656445fea87274cf3e5c1ee9_175">
              <w:r>
                <w:rPr>
                  <w:rStyle w:val="InternetLink"/>
                  <w:rFonts w:ascii="Times New Roman;sans-serif" w:hAnsi="Times New Roman;sans-serif"/>
                  <w:b w:val="false"/>
                  <w:color w:val="000080"/>
                  <w:sz w:val="20"/>
                  <w:u w:val="single"/>
                </w:rPr>
                <w:t>7</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e08aef656445fea87274cf3e5c1ee9_178">
              <w:r>
                <w:rPr>
                  <w:rStyle w:val="InternetLink"/>
                  <w:rFonts w:ascii="Times New Roman;sans-serif" w:hAnsi="Times New Roman;sans-serif"/>
                  <w:b w:val="false"/>
                  <w:color w:val="000080"/>
                  <w:sz w:val="20"/>
                  <w:u w:val="single"/>
                </w:rPr>
                <w:t>Consolidated Statements of Changes in Accumulated Other Comprehensive Income/(Loss) for the years ended December 31, 202</w:t>
              </w:r>
            </w:hyperlink>
            <w:hyperlink w:anchor="i52e08aef656445fea87274cf3e5c1ee9_178">
              <w:r>
                <w:rPr>
                  <w:rStyle w:val="InternetLink"/>
                  <w:rFonts w:ascii="Times New Roman;sans-serif" w:hAnsi="Times New Roman;sans-serif"/>
                  <w:b w:val="false"/>
                  <w:color w:val="000080"/>
                  <w:sz w:val="20"/>
                  <w:u w:val="single"/>
                </w:rPr>
                <w:t>4</w:t>
              </w:r>
            </w:hyperlink>
            <w:hyperlink w:anchor="i52e08aef656445fea87274cf3e5c1ee9_178">
              <w:r>
                <w:rPr>
                  <w:rStyle w:val="InternetLink"/>
                  <w:rFonts w:ascii="Times New Roman;sans-serif" w:hAnsi="Times New Roman;sans-serif"/>
                  <w:b w:val="false"/>
                  <w:color w:val="000080"/>
                  <w:sz w:val="20"/>
                  <w:u w:val="single"/>
                </w:rPr>
                <w:t>, 202</w:t>
              </w:r>
            </w:hyperlink>
            <w:hyperlink w:anchor="i52e08aef656445fea87274cf3e5c1ee9_178">
              <w:r>
                <w:rPr>
                  <w:rStyle w:val="InternetLink"/>
                  <w:rFonts w:ascii="Times New Roman;sans-serif" w:hAnsi="Times New Roman;sans-serif"/>
                  <w:b w:val="false"/>
                  <w:color w:val="000080"/>
                  <w:sz w:val="20"/>
                  <w:u w:val="single"/>
                </w:rPr>
                <w:t>3</w:t>
              </w:r>
            </w:hyperlink>
            <w:hyperlink w:anchor="i52e08aef656445fea87274cf3e5c1ee9_178">
              <w:r>
                <w:rPr>
                  <w:rStyle w:val="InternetLink"/>
                  <w:rFonts w:ascii="Times New Roman;sans-serif" w:hAnsi="Times New Roman;sans-serif"/>
                  <w:b w:val="false"/>
                  <w:color w:val="000080"/>
                  <w:sz w:val="20"/>
                  <w:u w:val="single"/>
                </w:rPr>
                <w:t xml:space="preserve"> and 202</w:t>
              </w:r>
            </w:hyperlink>
            <w:hyperlink w:anchor="i52e08aef656445fea87274cf3e5c1ee9_178">
              <w:r>
                <w:rPr>
                  <w:rStyle w:val="InternetLink"/>
                  <w:rFonts w:ascii="Times New Roman;sans-serif" w:hAnsi="Times New Roman;sans-serif"/>
                  <w:b w:val="false"/>
                  <w:color w:val="000080"/>
                  <w:sz w:val="20"/>
                  <w:u w:val="single"/>
                </w:rPr>
                <w:t>2</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78">
              <w:r>
                <w:rPr>
                  <w:rStyle w:val="InternetLink"/>
                  <w:rFonts w:ascii="Times New Roman;sans-serif" w:hAnsi="Times New Roman;sans-serif"/>
                  <w:b w:val="false"/>
                  <w:color w:val="000080"/>
                  <w:sz w:val="20"/>
                  <w:u w:val="single"/>
                </w:rPr>
                <w:t>F-</w:t>
              </w:r>
            </w:hyperlink>
            <w:hyperlink w:anchor="i52e08aef656445fea87274cf3e5c1ee9_178">
              <w:r>
                <w:rPr>
                  <w:rStyle w:val="InternetLink"/>
                  <w:rFonts w:ascii="Times New Roman;sans-serif" w:hAnsi="Times New Roman;sans-serif"/>
                  <w:b w:val="false"/>
                  <w:color w:val="000080"/>
                  <w:sz w:val="20"/>
                  <w:u w:val="single"/>
                </w:rPr>
                <w:t>7</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81">
              <w:r>
                <w:rPr>
                  <w:rStyle w:val="InternetLink"/>
                  <w:rFonts w:ascii="Times New Roman;sans-serif" w:hAnsi="Times New Roman;sans-serif"/>
                  <w:b w:val="false"/>
                  <w:color w:val="000080"/>
                  <w:sz w:val="20"/>
                  <w:u w:val="single"/>
                </w:rPr>
                <w:t>Consolidated Statements of Cash Flows for the years ended December 31, 202</w:t>
              </w:r>
            </w:hyperlink>
            <w:hyperlink w:anchor="i52e08aef656445fea87274cf3e5c1ee9_181">
              <w:r>
                <w:rPr>
                  <w:rStyle w:val="InternetLink"/>
                  <w:rFonts w:ascii="Times New Roman;sans-serif" w:hAnsi="Times New Roman;sans-serif"/>
                  <w:b w:val="false"/>
                  <w:color w:val="000080"/>
                  <w:sz w:val="20"/>
                  <w:u w:val="single"/>
                </w:rPr>
                <w:t>4</w:t>
              </w:r>
            </w:hyperlink>
            <w:hyperlink w:anchor="i52e08aef656445fea87274cf3e5c1ee9_181">
              <w:r>
                <w:rPr>
                  <w:rStyle w:val="InternetLink"/>
                  <w:rFonts w:ascii="Times New Roman;sans-serif" w:hAnsi="Times New Roman;sans-serif"/>
                  <w:b w:val="false"/>
                  <w:color w:val="000080"/>
                  <w:sz w:val="20"/>
                  <w:u w:val="single"/>
                </w:rPr>
                <w:t>, 202</w:t>
              </w:r>
            </w:hyperlink>
            <w:hyperlink w:anchor="i52e08aef656445fea87274cf3e5c1ee9_181">
              <w:r>
                <w:rPr>
                  <w:rStyle w:val="InternetLink"/>
                  <w:rFonts w:ascii="Times New Roman;sans-serif" w:hAnsi="Times New Roman;sans-serif"/>
                  <w:b w:val="false"/>
                  <w:color w:val="000080"/>
                  <w:sz w:val="20"/>
                  <w:u w:val="single"/>
                </w:rPr>
                <w:t>3</w:t>
              </w:r>
            </w:hyperlink>
            <w:hyperlink w:anchor="i52e08aef656445fea87274cf3e5c1ee9_181">
              <w:r>
                <w:rPr>
                  <w:rStyle w:val="InternetLink"/>
                  <w:rFonts w:ascii="Times New Roman;sans-serif" w:hAnsi="Times New Roman;sans-serif"/>
                  <w:b w:val="false"/>
                  <w:color w:val="000080"/>
                  <w:sz w:val="20"/>
                  <w:u w:val="single"/>
                </w:rPr>
                <w:t xml:space="preserve"> and 20</w:t>
              </w:r>
            </w:hyperlink>
            <w:hyperlink w:anchor="i52e08aef656445fea87274cf3e5c1ee9_181">
              <w:r>
                <w:rPr>
                  <w:rStyle w:val="InternetLink"/>
                  <w:rFonts w:ascii="Times New Roman;sans-serif" w:hAnsi="Times New Roman;sans-serif"/>
                  <w:b w:val="false"/>
                  <w:color w:val="000080"/>
                  <w:sz w:val="20"/>
                  <w:u w:val="single"/>
                </w:rPr>
                <w:t>2</w:t>
              </w:r>
            </w:hyperlink>
            <w:hyperlink w:anchor="i52e08aef656445fea87274cf3e5c1ee9_181">
              <w:r>
                <w:rPr>
                  <w:rStyle w:val="InternetLink"/>
                  <w:rFonts w:ascii="Times New Roman;sans-serif" w:hAnsi="Times New Roman;sans-serif"/>
                  <w:b w:val="false"/>
                  <w:color w:val="000080"/>
                  <w:sz w:val="20"/>
                  <w:u w:val="single"/>
                </w:rPr>
                <w:t>2</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81">
              <w:r>
                <w:rPr>
                  <w:rStyle w:val="InternetLink"/>
                  <w:rFonts w:ascii="Times New Roman;sans-serif" w:hAnsi="Times New Roman;sans-serif"/>
                  <w:b w:val="false"/>
                  <w:color w:val="000080"/>
                  <w:sz w:val="20"/>
                  <w:u w:val="single"/>
                </w:rPr>
                <w:t>F-</w:t>
              </w:r>
            </w:hyperlink>
            <w:hyperlink w:anchor="i52e08aef656445fea87274cf3e5c1ee9_181">
              <w:r>
                <w:rPr>
                  <w:rStyle w:val="InternetLink"/>
                  <w:rFonts w:ascii="Times New Roman;sans-serif" w:hAnsi="Times New Roman;sans-serif"/>
                  <w:b w:val="false"/>
                  <w:color w:val="000080"/>
                  <w:sz w:val="20"/>
                  <w:u w:val="single"/>
                </w:rPr>
                <w:t>8</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84">
              <w:r>
                <w:rPr>
                  <w:rStyle w:val="InternetLink"/>
                  <w:rFonts w:ascii="Times New Roman;sans-serif" w:hAnsi="Times New Roman;sans-serif"/>
                  <w:b w:val="false"/>
                  <w:color w:val="000080"/>
                  <w:sz w:val="20"/>
                  <w:u w:val="single"/>
                </w:rPr>
                <w:t>Consolidated Statements of Changes in Partners’ Capital for the years ended December 31, 202</w:t>
              </w:r>
            </w:hyperlink>
            <w:hyperlink w:anchor="i52e08aef656445fea87274cf3e5c1ee9_184">
              <w:r>
                <w:rPr>
                  <w:rStyle w:val="InternetLink"/>
                  <w:rFonts w:ascii="Times New Roman;sans-serif" w:hAnsi="Times New Roman;sans-serif"/>
                  <w:b w:val="false"/>
                  <w:color w:val="000080"/>
                  <w:sz w:val="20"/>
                  <w:u w:val="single"/>
                </w:rPr>
                <w:t>4</w:t>
              </w:r>
            </w:hyperlink>
            <w:hyperlink w:anchor="i52e08aef656445fea87274cf3e5c1ee9_184">
              <w:r>
                <w:rPr>
                  <w:rStyle w:val="InternetLink"/>
                  <w:rFonts w:ascii="Times New Roman;sans-serif" w:hAnsi="Times New Roman;sans-serif"/>
                  <w:b w:val="false"/>
                  <w:color w:val="000080"/>
                  <w:sz w:val="20"/>
                  <w:u w:val="single"/>
                </w:rPr>
                <w:t>, 202</w:t>
              </w:r>
            </w:hyperlink>
            <w:hyperlink w:anchor="i52e08aef656445fea87274cf3e5c1ee9_184">
              <w:r>
                <w:rPr>
                  <w:rStyle w:val="InternetLink"/>
                  <w:rFonts w:ascii="Times New Roman;sans-serif" w:hAnsi="Times New Roman;sans-serif"/>
                  <w:b w:val="false"/>
                  <w:color w:val="000080"/>
                  <w:sz w:val="20"/>
                  <w:u w:val="single"/>
                </w:rPr>
                <w:t>3</w:t>
              </w:r>
            </w:hyperlink>
            <w:hyperlink w:anchor="i52e08aef656445fea87274cf3e5c1ee9_184">
              <w:r>
                <w:rPr>
                  <w:rStyle w:val="InternetLink"/>
                  <w:rFonts w:ascii="Times New Roman;sans-serif" w:hAnsi="Times New Roman;sans-serif"/>
                  <w:b w:val="false"/>
                  <w:color w:val="000080"/>
                  <w:sz w:val="20"/>
                  <w:u w:val="single"/>
                </w:rPr>
                <w:t xml:space="preserve"> and 202</w:t>
              </w:r>
            </w:hyperlink>
            <w:hyperlink w:anchor="i52e08aef656445fea87274cf3e5c1ee9_184">
              <w:r>
                <w:rPr>
                  <w:rStyle w:val="InternetLink"/>
                  <w:rFonts w:ascii="Times New Roman;sans-serif" w:hAnsi="Times New Roman;sans-serif"/>
                  <w:b w:val="false"/>
                  <w:color w:val="000080"/>
                  <w:sz w:val="20"/>
                  <w:u w:val="single"/>
                </w:rPr>
                <w:t>2</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84">
              <w:r>
                <w:rPr>
                  <w:rStyle w:val="InternetLink"/>
                  <w:rFonts w:ascii="Times New Roman;sans-serif" w:hAnsi="Times New Roman;sans-serif"/>
                  <w:b w:val="false"/>
                  <w:color w:val="000080"/>
                  <w:sz w:val="20"/>
                  <w:u w:val="single"/>
                </w:rPr>
                <w:t>F-</w:t>
              </w:r>
            </w:hyperlink>
            <w:hyperlink w:anchor="i52e08aef656445fea87274cf3e5c1ee9_184">
              <w:r>
                <w:rPr>
                  <w:rStyle w:val="InternetLink"/>
                  <w:rFonts w:ascii="Times New Roman;sans-serif" w:hAnsi="Times New Roman;sans-serif"/>
                  <w:b w:val="false"/>
                  <w:color w:val="000080"/>
                  <w:sz w:val="20"/>
                  <w:u w:val="single"/>
                </w:rPr>
                <w:t>9</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87">
              <w:r>
                <w:rPr>
                  <w:rStyle w:val="InternetLink"/>
                  <w:rFonts w:ascii="Times New Roman;sans-serif" w:hAnsi="Times New Roman;sans-serif"/>
                  <w:b w:val="false"/>
                  <w:color w:val="0000FF"/>
                  <w:sz w:val="20"/>
                  <w:u w:val="single"/>
                </w:rPr>
                <w:t>Notes to the Consolidated Financial Statements: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87">
              <w:r>
                <w:rPr>
                  <w:rStyle w:val="InternetLink"/>
                  <w:rFonts w:ascii="Times New Roman;sans-serif" w:hAnsi="Times New Roman;sans-serif"/>
                  <w:b w:val="false"/>
                  <w:color w:val="000080"/>
                  <w:sz w:val="20"/>
                  <w:u w:val="single"/>
                </w:rPr>
                <w:t>F-</w:t>
              </w:r>
            </w:hyperlink>
            <w:hyperlink w:anchor="i52e08aef656445fea87274cf3e5c1ee9_187">
              <w:r>
                <w:rPr>
                  <w:rStyle w:val="InternetLink"/>
                  <w:rFonts w:ascii="Times New Roman;sans-serif" w:hAnsi="Times New Roman;sans-serif"/>
                  <w:b w:val="false"/>
                  <w:color w:val="000080"/>
                  <w:sz w:val="20"/>
                  <w:u w:val="single"/>
                </w:rPr>
                <w:t>10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90">
              <w:r>
                <w:rPr>
                  <w:rStyle w:val="InternetLink"/>
                  <w:rFonts w:ascii="Times New Roman;sans-serif" w:hAnsi="Times New Roman;sans-serif"/>
                  <w:b w:val="false"/>
                  <w:color w:val="0000FF"/>
                  <w:sz w:val="20"/>
                  <w:u w:val="single"/>
                </w:rPr>
                <w:t>1. Organization and Basis of Consolidation and Presentation</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90">
              <w:r>
                <w:rPr>
                  <w:rStyle w:val="InternetLink"/>
                  <w:rFonts w:ascii="Times New Roman;sans-serif" w:hAnsi="Times New Roman;sans-serif"/>
                  <w:b w:val="false"/>
                  <w:color w:val="000080"/>
                  <w:sz w:val="20"/>
                  <w:u w:val="single"/>
                </w:rPr>
                <w:t>F-</w:t>
              </w:r>
            </w:hyperlink>
            <w:hyperlink w:anchor="i52e08aef656445fea87274cf3e5c1ee9_190">
              <w:r>
                <w:rPr>
                  <w:rStyle w:val="InternetLink"/>
                  <w:rFonts w:ascii="Times New Roman;sans-serif" w:hAnsi="Times New Roman;sans-serif"/>
                  <w:b w:val="false"/>
                  <w:color w:val="000080"/>
                  <w:sz w:val="20"/>
                  <w:u w:val="single"/>
                </w:rPr>
                <w:t>10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93">
              <w:r>
                <w:rPr>
                  <w:rStyle w:val="InternetLink"/>
                  <w:rFonts w:ascii="Times New Roman;sans-serif" w:hAnsi="Times New Roman;sans-serif"/>
                  <w:b w:val="false"/>
                  <w:color w:val="0000FF"/>
                  <w:sz w:val="20"/>
                  <w:u w:val="single"/>
                </w:rPr>
                <w:t>2. Summary of Significant Accounting Policies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93">
              <w:r>
                <w:rPr>
                  <w:rStyle w:val="InternetLink"/>
                  <w:rFonts w:ascii="Times New Roman;sans-serif" w:hAnsi="Times New Roman;sans-serif"/>
                  <w:b w:val="false"/>
                  <w:color w:val="000080"/>
                  <w:sz w:val="20"/>
                  <w:u w:val="single"/>
                </w:rPr>
                <w:t>F-</w:t>
              </w:r>
            </w:hyperlink>
            <w:hyperlink w:anchor="i52e08aef656445fea87274cf3e5c1ee9_193">
              <w:r>
                <w:rPr>
                  <w:rStyle w:val="InternetLink"/>
                  <w:rFonts w:ascii="Times New Roman;sans-serif" w:hAnsi="Times New Roman;sans-serif"/>
                  <w:b w:val="false"/>
                  <w:color w:val="000080"/>
                  <w:sz w:val="20"/>
                  <w:u w:val="single"/>
                </w:rPr>
                <w:t>12</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196">
              <w:r>
                <w:rPr>
                  <w:rStyle w:val="InternetLink"/>
                  <w:rFonts w:ascii="Times New Roman;sans-serif" w:hAnsi="Times New Roman;sans-serif"/>
                  <w:b w:val="false"/>
                  <w:color w:val="0000FF"/>
                  <w:sz w:val="20"/>
                  <w:u w:val="single"/>
                </w:rPr>
                <w:t>3. Revenues and Accounts Receivable</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196">
              <w:r>
                <w:rPr>
                  <w:rStyle w:val="InternetLink"/>
                  <w:rFonts w:ascii="Times New Roman;sans-serif" w:hAnsi="Times New Roman;sans-serif"/>
                  <w:b w:val="false"/>
                  <w:color w:val="000080"/>
                  <w:sz w:val="20"/>
                  <w:u w:val="single"/>
                </w:rPr>
                <w:t>F-</w:t>
              </w:r>
            </w:hyperlink>
            <w:hyperlink w:anchor="i52e08aef656445fea87274cf3e5c1ee9_196">
              <w:r>
                <w:rPr>
                  <w:rStyle w:val="InternetLink"/>
                  <w:rFonts w:ascii="Times New Roman;sans-serif" w:hAnsi="Times New Roman;sans-serif"/>
                  <w:b w:val="false"/>
                  <w:color w:val="000080"/>
                  <w:sz w:val="20"/>
                  <w:u w:val="single"/>
                </w:rPr>
                <w:t>15</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02">
              <w:r>
                <w:rPr>
                  <w:rStyle w:val="InternetLink"/>
                  <w:rFonts w:ascii="Times New Roman;sans-serif" w:hAnsi="Times New Roman;sans-serif"/>
                  <w:b w:val="false"/>
                  <w:color w:val="0000FF"/>
                  <w:sz w:val="20"/>
                  <w:u w:val="single"/>
                </w:rPr>
                <w:t>4. Net Income Per Common Unit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02">
              <w:r>
                <w:rPr>
                  <w:rStyle w:val="InternetLink"/>
                  <w:rFonts w:ascii="Times New Roman;sans-serif" w:hAnsi="Times New Roman;sans-serif"/>
                  <w:b w:val="false"/>
                  <w:color w:val="000080"/>
                  <w:sz w:val="20"/>
                  <w:u w:val="single"/>
                </w:rPr>
                <w:t>F-</w:t>
              </w:r>
            </w:hyperlink>
            <w:hyperlink w:anchor="i52e08aef656445fea87274cf3e5c1ee9_202">
              <w:r>
                <w:rPr>
                  <w:rStyle w:val="InternetLink"/>
                  <w:rFonts w:ascii="Times New Roman;sans-serif" w:hAnsi="Times New Roman;sans-serif"/>
                  <w:b w:val="false"/>
                  <w:color w:val="000080"/>
                  <w:sz w:val="20"/>
                  <w:u w:val="single"/>
                </w:rPr>
                <w:t>19</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05">
              <w:r>
                <w:rPr>
                  <w:rStyle w:val="InternetLink"/>
                  <w:rFonts w:ascii="Times New Roman;sans-serif" w:hAnsi="Times New Roman;sans-serif"/>
                  <w:b w:val="false"/>
                  <w:color w:val="0000FF"/>
                  <w:sz w:val="20"/>
                  <w:u w:val="single"/>
                </w:rPr>
                <w:t>5. Inventory, Linefill and Long-term Inventory</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05">
              <w:r>
                <w:rPr>
                  <w:rStyle w:val="InternetLink"/>
                  <w:rFonts w:ascii="Times New Roman;sans-serif" w:hAnsi="Times New Roman;sans-serif"/>
                  <w:b w:val="false"/>
                  <w:color w:val="000080"/>
                  <w:sz w:val="20"/>
                  <w:u w:val="single"/>
                </w:rPr>
                <w:t>F-</w:t>
              </w:r>
            </w:hyperlink>
            <w:hyperlink w:anchor="i52e08aef656445fea87274cf3e5c1ee9_205">
              <w:r>
                <w:rPr>
                  <w:rStyle w:val="InternetLink"/>
                  <w:rFonts w:ascii="Times New Roman;sans-serif" w:hAnsi="Times New Roman;sans-serif"/>
                  <w:b w:val="false"/>
                  <w:color w:val="000080"/>
                  <w:sz w:val="20"/>
                  <w:u w:val="single"/>
                </w:rPr>
                <w:t>20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08">
              <w:r>
                <w:rPr>
                  <w:rStyle w:val="InternetLink"/>
                  <w:rFonts w:ascii="Times New Roman;sans-serif" w:hAnsi="Times New Roman;sans-serif"/>
                  <w:b w:val="false"/>
                  <w:color w:val="0000FF"/>
                  <w:sz w:val="20"/>
                  <w:u w:val="single"/>
                </w:rPr>
                <w:t>6. Property and Equipment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08">
              <w:r>
                <w:rPr>
                  <w:rStyle w:val="InternetLink"/>
                  <w:rFonts w:ascii="Times New Roman;sans-serif" w:hAnsi="Times New Roman;sans-serif"/>
                  <w:b w:val="false"/>
                  <w:color w:val="000080"/>
                  <w:sz w:val="20"/>
                  <w:u w:val="single"/>
                </w:rPr>
                <w:t>F-</w:t>
              </w:r>
            </w:hyperlink>
            <w:hyperlink w:anchor="i52e08aef656445fea87274cf3e5c1ee9_208">
              <w:r>
                <w:rPr>
                  <w:rStyle w:val="InternetLink"/>
                  <w:rFonts w:ascii="Times New Roman;sans-serif" w:hAnsi="Times New Roman;sans-serif"/>
                  <w:b w:val="false"/>
                  <w:color w:val="000080"/>
                  <w:sz w:val="20"/>
                  <w:u w:val="single"/>
                </w:rPr>
                <w:t>21</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11">
              <w:r>
                <w:rPr>
                  <w:rStyle w:val="InternetLink"/>
                  <w:rFonts w:ascii="Times New Roman;sans-serif" w:hAnsi="Times New Roman;sans-serif"/>
                  <w:b w:val="false"/>
                  <w:color w:val="0000FF"/>
                  <w:sz w:val="20"/>
                  <w:u w:val="single"/>
                </w:rPr>
                <w:t>7. Acquisitions, Divestitures and Other Transactions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11">
              <w:r>
                <w:rPr>
                  <w:rStyle w:val="InternetLink"/>
                  <w:rFonts w:ascii="Times New Roman;sans-serif" w:hAnsi="Times New Roman;sans-serif"/>
                  <w:b w:val="false"/>
                  <w:color w:val="000080"/>
                  <w:sz w:val="20"/>
                  <w:u w:val="single"/>
                </w:rPr>
                <w:t>F-</w:t>
              </w:r>
            </w:hyperlink>
            <w:hyperlink w:anchor="i52e08aef656445fea87274cf3e5c1ee9_211">
              <w:r>
                <w:rPr>
                  <w:rStyle w:val="InternetLink"/>
                  <w:rFonts w:ascii="Times New Roman;sans-serif" w:hAnsi="Times New Roman;sans-serif"/>
                  <w:b w:val="false"/>
                  <w:color w:val="000080"/>
                  <w:sz w:val="20"/>
                  <w:u w:val="single"/>
                </w:rPr>
                <w:t>23</w:t>
              </w:r>
            </w:hyperlink>
          </w:p>
        </w:tc>
      </w:tr>
      <w:tr>
        <w:trPr/>
        <w:tc>
          <w:tcPr>
            <w:tcW w:w="9681"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14">
              <w:r>
                <w:rPr>
                  <w:rStyle w:val="InternetLink"/>
                  <w:rFonts w:ascii="Times New Roman;sans-serif" w:hAnsi="Times New Roman;sans-serif"/>
                  <w:b w:val="false"/>
                  <w:color w:val="0000FF"/>
                  <w:sz w:val="20"/>
                  <w:u w:val="single"/>
                </w:rPr>
                <w:t>8. Investments in Unconsolidated Entities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14">
              <w:r>
                <w:rPr>
                  <w:rStyle w:val="InternetLink"/>
                  <w:rFonts w:ascii="Times New Roman;sans-serif" w:hAnsi="Times New Roman;sans-serif"/>
                  <w:b w:val="false"/>
                  <w:color w:val="000080"/>
                  <w:sz w:val="20"/>
                  <w:u w:val="single"/>
                </w:rPr>
                <w:t>F-</w:t>
              </w:r>
            </w:hyperlink>
            <w:hyperlink w:anchor="i52e08aef656445fea87274cf3e5c1ee9_214">
              <w:r>
                <w:rPr>
                  <w:rStyle w:val="InternetLink"/>
                  <w:rFonts w:ascii="Times New Roman;sans-serif" w:hAnsi="Times New Roman;sans-serif"/>
                  <w:b w:val="false"/>
                  <w:color w:val="000080"/>
                  <w:sz w:val="20"/>
                  <w:u w:val="single"/>
                </w:rPr>
                <w:t>27</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17">
              <w:r>
                <w:rPr>
                  <w:rStyle w:val="InternetLink"/>
                  <w:rFonts w:ascii="Times New Roman;sans-serif" w:hAnsi="Times New Roman;sans-serif"/>
                  <w:b w:val="false"/>
                  <w:color w:val="0000FF"/>
                  <w:sz w:val="20"/>
                  <w:u w:val="single"/>
                </w:rPr>
                <w:t>9. Intangible Assets, Net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17">
              <w:r>
                <w:rPr>
                  <w:rStyle w:val="InternetLink"/>
                  <w:rFonts w:ascii="Times New Roman;sans-serif" w:hAnsi="Times New Roman;sans-serif"/>
                  <w:b w:val="false"/>
                  <w:color w:val="000080"/>
                  <w:sz w:val="20"/>
                  <w:u w:val="single"/>
                </w:rPr>
                <w:t>F-</w:t>
              </w:r>
            </w:hyperlink>
            <w:hyperlink w:anchor="i52e08aef656445fea87274cf3e5c1ee9_217">
              <w:r>
                <w:rPr>
                  <w:rStyle w:val="InternetLink"/>
                  <w:rFonts w:ascii="Times New Roman;sans-serif" w:hAnsi="Times New Roman;sans-serif"/>
                  <w:b w:val="false"/>
                  <w:color w:val="000080"/>
                  <w:sz w:val="20"/>
                  <w:u w:val="single"/>
                </w:rPr>
                <w:t>29</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20">
              <w:r>
                <w:rPr>
                  <w:rStyle w:val="InternetLink"/>
                  <w:rFonts w:ascii="Times New Roman;sans-serif" w:hAnsi="Times New Roman;sans-serif"/>
                  <w:b w:val="false"/>
                  <w:color w:val="0000FF"/>
                  <w:sz w:val="20"/>
                  <w:u w:val="single"/>
                </w:rPr>
                <w:t>10. Debt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20">
              <w:r>
                <w:rPr>
                  <w:rStyle w:val="InternetLink"/>
                  <w:rFonts w:ascii="Times New Roman;sans-serif" w:hAnsi="Times New Roman;sans-serif"/>
                  <w:b w:val="false"/>
                  <w:color w:val="000080"/>
                  <w:sz w:val="20"/>
                  <w:u w:val="single"/>
                </w:rPr>
                <w:t>F-</w:t>
              </w:r>
            </w:hyperlink>
            <w:hyperlink w:anchor="i52e08aef656445fea87274cf3e5c1ee9_220">
              <w:r>
                <w:rPr>
                  <w:rStyle w:val="InternetLink"/>
                  <w:rFonts w:ascii="Times New Roman;sans-serif" w:hAnsi="Times New Roman;sans-serif"/>
                  <w:b w:val="false"/>
                  <w:color w:val="000080"/>
                  <w:sz w:val="20"/>
                  <w:u w:val="single"/>
                </w:rPr>
                <w:t>30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23">
              <w:r>
                <w:rPr>
                  <w:rStyle w:val="InternetLink"/>
                  <w:rFonts w:ascii="Times New Roman;sans-serif" w:hAnsi="Times New Roman;sans-serif"/>
                  <w:b w:val="false"/>
                  <w:color w:val="0000FF"/>
                  <w:sz w:val="20"/>
                  <w:u w:val="single"/>
                </w:rPr>
                <w:t>11. Partners’ Capital and Distributions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23">
              <w:r>
                <w:rPr>
                  <w:rStyle w:val="InternetLink"/>
                  <w:rFonts w:ascii="Times New Roman;sans-serif" w:hAnsi="Times New Roman;sans-serif"/>
                  <w:b w:val="false"/>
                  <w:color w:val="000080"/>
                  <w:sz w:val="20"/>
                  <w:u w:val="single"/>
                </w:rPr>
                <w:t>F-</w:t>
              </w:r>
            </w:hyperlink>
            <w:hyperlink w:anchor="i52e08aef656445fea87274cf3e5c1ee9_223">
              <w:r>
                <w:rPr>
                  <w:rStyle w:val="InternetLink"/>
                  <w:rFonts w:ascii="Times New Roman;sans-serif" w:hAnsi="Times New Roman;sans-serif"/>
                  <w:b w:val="false"/>
                  <w:color w:val="000080"/>
                  <w:sz w:val="20"/>
                  <w:u w:val="single"/>
                </w:rPr>
                <w:t>33</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26">
              <w:r>
                <w:rPr>
                  <w:rStyle w:val="InternetLink"/>
                  <w:rFonts w:ascii="Times New Roman;sans-serif" w:hAnsi="Times New Roman;sans-serif"/>
                  <w:b w:val="false"/>
                  <w:color w:val="0000FF"/>
                  <w:sz w:val="20"/>
                  <w:u w:val="single"/>
                </w:rPr>
                <w:t>12. Derivatives and Risk Management Activities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26">
              <w:r>
                <w:rPr>
                  <w:rStyle w:val="InternetLink"/>
                  <w:rFonts w:ascii="Times New Roman;sans-serif" w:hAnsi="Times New Roman;sans-serif"/>
                  <w:b w:val="false"/>
                  <w:color w:val="000080"/>
                  <w:sz w:val="20"/>
                  <w:u w:val="single"/>
                </w:rPr>
                <w:t>F-</w:t>
              </w:r>
            </w:hyperlink>
            <w:hyperlink w:anchor="i52e08aef656445fea87274cf3e5c1ee9_226">
              <w:r>
                <w:rPr>
                  <w:rStyle w:val="InternetLink"/>
                  <w:rFonts w:ascii="Times New Roman;sans-serif" w:hAnsi="Times New Roman;sans-serif"/>
                  <w:b w:val="false"/>
                  <w:color w:val="000080"/>
                  <w:sz w:val="20"/>
                  <w:u w:val="single"/>
                </w:rPr>
                <w:t>37</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29">
              <w:r>
                <w:rPr>
                  <w:rStyle w:val="InternetLink"/>
                  <w:rFonts w:ascii="Times New Roman;sans-serif" w:hAnsi="Times New Roman;sans-serif"/>
                  <w:b w:val="false"/>
                  <w:color w:val="0000FF"/>
                  <w:sz w:val="20"/>
                  <w:u w:val="single"/>
                </w:rPr>
                <w:t>13. Leases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29">
              <w:r>
                <w:rPr>
                  <w:rStyle w:val="InternetLink"/>
                  <w:rFonts w:ascii="Times New Roman;sans-serif" w:hAnsi="Times New Roman;sans-serif"/>
                  <w:b w:val="false"/>
                  <w:color w:val="000080"/>
                  <w:sz w:val="20"/>
                  <w:u w:val="single"/>
                </w:rPr>
                <w:t>F-</w:t>
              </w:r>
            </w:hyperlink>
            <w:hyperlink w:anchor="i52e08aef656445fea87274cf3e5c1ee9_229">
              <w:r>
                <w:rPr>
                  <w:rStyle w:val="InternetLink"/>
                  <w:rFonts w:ascii="Times New Roman;sans-serif" w:hAnsi="Times New Roman;sans-serif"/>
                  <w:b w:val="false"/>
                  <w:color w:val="000080"/>
                  <w:sz w:val="20"/>
                  <w:u w:val="single"/>
                </w:rPr>
                <w:t>42</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32">
              <w:r>
                <w:rPr>
                  <w:rStyle w:val="InternetLink"/>
                  <w:rFonts w:ascii="Times New Roman;sans-serif" w:hAnsi="Times New Roman;sans-serif"/>
                  <w:b w:val="false"/>
                  <w:color w:val="0000FF"/>
                  <w:sz w:val="20"/>
                  <w:u w:val="single"/>
                </w:rPr>
                <w:t>14. Income Taxes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32">
              <w:r>
                <w:rPr>
                  <w:rStyle w:val="InternetLink"/>
                  <w:rFonts w:ascii="Times New Roman;sans-serif" w:hAnsi="Times New Roman;sans-serif"/>
                  <w:b w:val="false"/>
                  <w:color w:val="000080"/>
                  <w:sz w:val="20"/>
                  <w:u w:val="single"/>
                </w:rPr>
                <w:t>F-</w:t>
              </w:r>
            </w:hyperlink>
            <w:hyperlink w:anchor="i52e08aef656445fea87274cf3e5c1ee9_232">
              <w:r>
                <w:rPr>
                  <w:rStyle w:val="InternetLink"/>
                  <w:rFonts w:ascii="Times New Roman;sans-serif" w:hAnsi="Times New Roman;sans-serif"/>
                  <w:b w:val="false"/>
                  <w:color w:val="000080"/>
                  <w:sz w:val="20"/>
                  <w:u w:val="single"/>
                </w:rPr>
                <w:t>45</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35">
              <w:r>
                <w:rPr>
                  <w:rStyle w:val="InternetLink"/>
                  <w:rFonts w:ascii="Times New Roman;sans-serif" w:hAnsi="Times New Roman;sans-serif"/>
                  <w:b w:val="false"/>
                  <w:color w:val="0000FF"/>
                  <w:sz w:val="20"/>
                  <w:u w:val="single"/>
                </w:rPr>
                <w:t>15. Major Customers and Concentration of Credit Risk</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35">
              <w:r>
                <w:rPr>
                  <w:rStyle w:val="InternetLink"/>
                  <w:rFonts w:ascii="Times New Roman;sans-serif" w:hAnsi="Times New Roman;sans-serif"/>
                  <w:b w:val="false"/>
                  <w:color w:val="000080"/>
                  <w:sz w:val="20"/>
                  <w:u w:val="single"/>
                </w:rPr>
                <w:t>F-</w:t>
              </w:r>
            </w:hyperlink>
            <w:hyperlink w:anchor="i52e08aef656445fea87274cf3e5c1ee9_235">
              <w:r>
                <w:rPr>
                  <w:rStyle w:val="InternetLink"/>
                  <w:rFonts w:ascii="Times New Roman;sans-serif" w:hAnsi="Times New Roman;sans-serif"/>
                  <w:b w:val="false"/>
                  <w:color w:val="000080"/>
                  <w:sz w:val="20"/>
                  <w:u w:val="single"/>
                </w:rPr>
                <w:t>47</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38">
              <w:r>
                <w:rPr>
                  <w:rStyle w:val="InternetLink"/>
                  <w:rFonts w:ascii="Times New Roman;sans-serif" w:hAnsi="Times New Roman;sans-serif"/>
                  <w:b w:val="false"/>
                  <w:color w:val="0000FF"/>
                  <w:sz w:val="20"/>
                  <w:u w:val="single"/>
                </w:rPr>
                <w:t>16. Related Party Transactions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38">
              <w:r>
                <w:rPr>
                  <w:rStyle w:val="InternetLink"/>
                  <w:rFonts w:ascii="Times New Roman;sans-serif" w:hAnsi="Times New Roman;sans-serif"/>
                  <w:b w:val="false"/>
                  <w:color w:val="000080"/>
                  <w:sz w:val="20"/>
                  <w:u w:val="single"/>
                </w:rPr>
                <w:t>F-</w:t>
              </w:r>
            </w:hyperlink>
            <w:hyperlink w:anchor="i52e08aef656445fea87274cf3e5c1ee9_238">
              <w:r>
                <w:rPr>
                  <w:rStyle w:val="InternetLink"/>
                  <w:rFonts w:ascii="Times New Roman;sans-serif" w:hAnsi="Times New Roman;sans-serif"/>
                  <w:b w:val="false"/>
                  <w:color w:val="000080"/>
                  <w:sz w:val="20"/>
                  <w:u w:val="single"/>
                </w:rPr>
                <w:t>48</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41">
              <w:r>
                <w:rPr>
                  <w:rStyle w:val="InternetLink"/>
                  <w:rFonts w:ascii="Times New Roman;sans-serif" w:hAnsi="Times New Roman;sans-serif"/>
                  <w:b w:val="false"/>
                  <w:color w:val="0000FF"/>
                  <w:sz w:val="20"/>
                  <w:u w:val="single"/>
                </w:rPr>
                <w:t>17. Equity-Indexed Compensation Plans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41">
              <w:r>
                <w:rPr>
                  <w:rStyle w:val="InternetLink"/>
                  <w:rFonts w:ascii="Times New Roman;sans-serif" w:hAnsi="Times New Roman;sans-serif"/>
                  <w:b w:val="false"/>
                  <w:color w:val="000080"/>
                  <w:sz w:val="20"/>
                  <w:u w:val="single"/>
                </w:rPr>
                <w:t>F-</w:t>
              </w:r>
            </w:hyperlink>
            <w:hyperlink w:anchor="i52e08aef656445fea87274cf3e5c1ee9_241">
              <w:r>
                <w:rPr>
                  <w:rStyle w:val="InternetLink"/>
                  <w:rFonts w:ascii="Times New Roman;sans-serif" w:hAnsi="Times New Roman;sans-serif"/>
                  <w:b w:val="false"/>
                  <w:color w:val="000080"/>
                  <w:sz w:val="20"/>
                  <w:u w:val="single"/>
                </w:rPr>
                <w:t>50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44">
              <w:r>
                <w:rPr>
                  <w:rStyle w:val="InternetLink"/>
                  <w:rFonts w:ascii="Times New Roman;sans-serif" w:hAnsi="Times New Roman;sans-serif"/>
                  <w:b w:val="false"/>
                  <w:color w:val="0000FF"/>
                  <w:sz w:val="20"/>
                  <w:u w:val="single"/>
                </w:rPr>
                <w:t>18. Commitments and Contingencies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44">
              <w:r>
                <w:rPr>
                  <w:rStyle w:val="InternetLink"/>
                  <w:rFonts w:ascii="Times New Roman;sans-serif" w:hAnsi="Times New Roman;sans-serif"/>
                  <w:b w:val="false"/>
                  <w:color w:val="000080"/>
                  <w:sz w:val="20"/>
                  <w:u w:val="single"/>
                </w:rPr>
                <w:t>F-</w:t>
              </w:r>
            </w:hyperlink>
            <w:hyperlink w:anchor="i52e08aef656445fea87274cf3e5c1ee9_244">
              <w:r>
                <w:rPr>
                  <w:rStyle w:val="InternetLink"/>
                  <w:rFonts w:ascii="Times New Roman;sans-serif" w:hAnsi="Times New Roman;sans-serif"/>
                  <w:b w:val="false"/>
                  <w:color w:val="000080"/>
                  <w:sz w:val="20"/>
                  <w:u w:val="single"/>
                </w:rPr>
                <w:t>51</w:t>
              </w:r>
            </w:hyperlink>
          </w:p>
        </w:tc>
      </w:tr>
      <w:tr>
        <w:trPr/>
        <w:tc>
          <w:tcPr>
            <w:tcW w:w="9681"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e08aef656445fea87274cf3e5c1ee9_247">
              <w:r>
                <w:rPr>
                  <w:rStyle w:val="InternetLink"/>
                  <w:rFonts w:ascii="Times New Roman;sans-serif" w:hAnsi="Times New Roman;sans-serif"/>
                  <w:b w:val="false"/>
                  <w:color w:val="0000FF"/>
                  <w:sz w:val="20"/>
                  <w:u w:val="single"/>
                </w:rPr>
                <w:t>19. Segment Information</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e08aef656445fea87274cf3e5c1ee9_247">
              <w:r>
                <w:rPr>
                  <w:rStyle w:val="InternetLink"/>
                  <w:rFonts w:ascii="Times New Roman;sans-serif" w:hAnsi="Times New Roman;sans-serif"/>
                  <w:b w:val="false"/>
                  <w:color w:val="000080"/>
                  <w:sz w:val="20"/>
                  <w:u w:val="single"/>
                </w:rPr>
                <w:t>F-</w:t>
              </w:r>
            </w:hyperlink>
            <w:hyperlink w:anchor="i52e08aef656445fea87274cf3e5c1ee9_247">
              <w:r>
                <w:rPr>
                  <w:rStyle w:val="InternetLink"/>
                  <w:rFonts w:ascii="Times New Roman;sans-serif" w:hAnsi="Times New Roman;sans-serif"/>
                  <w:b w:val="false"/>
                  <w:color w:val="000080"/>
                  <w:sz w:val="20"/>
                  <w:u w:val="single"/>
                </w:rPr>
                <w:t>55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Partnership’s internal control over financial reporting as of December 31, 2024 has been audited by PricewaterhouseCoopers LLP, an independent registered public accounting firm, as stated in their report which appears on Page F-3.</w:t>
      </w:r>
    </w:p>
    <w:p>
      <w:pPr>
        <w:pStyle w:val="TextBody"/>
        <w:bidi w:val="0"/>
        <w:spacing w:lineRule="auto" w:line="288" w:before="0" w:after="0"/>
        <w:jc w:val="center"/>
        <w:rPr>
          <w:color w:val="000000"/>
        </w:rPr>
      </w:pPr>
      <w:r>
        <w:rPr>
          <w:color w:val="000000"/>
        </w:rPr>
        <w:t> </w:t>
      </w:r>
    </w:p>
    <w:tbl>
      <w:tblPr>
        <w:tblW w:w="8683" w:type="dxa"/>
        <w:jc w:val="center"/>
        <w:tblInd w:w="0" w:type="dxa"/>
        <w:tblLayout w:type="fixed"/>
        <w:tblCellMar>
          <w:top w:w="28" w:type="dxa"/>
          <w:left w:w="28" w:type="dxa"/>
          <w:bottom w:w="28" w:type="dxa"/>
          <w:right w:w="28" w:type="dxa"/>
        </w:tblCellMar>
      </w:tblPr>
      <w:tblGrid>
        <w:gridCol w:w="580"/>
        <w:gridCol w:w="511"/>
        <w:gridCol w:w="513"/>
        <w:gridCol w:w="2070"/>
        <w:gridCol w:w="2070"/>
        <w:gridCol w:w="293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of Plains All American GP LLC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 of Plains All American GP LLC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of PAA GP Holdings LLC and Unitholders of Plains All American Pipeline, 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accompanying consolidated balance sheets of Plains All American Pipeline, L.P. and its subsidiaries (the “Partnership”) as of December 31, 2024 and 2023, and the related consolidated statements of operations, of comprehensive income, of changes in accumulated other comprehensive income (loss), of changes in partners’ capital and of cash flows for each of the three years in the period ended December 31, 2024, including the related notes (collectively referred to as the “consolidated financial statements”). We also have audited the Partnership’s internal control over financial reporting as of December 31, 2024,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 Also in our opinion, the Partnership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w:t>
      </w:r>
      <w:r>
        <w:rPr>
          <w:color w:val="FF0000"/>
        </w:rPr>
        <w:t xml:space="preserve"> </w:t>
      </w:r>
      <w:r>
        <w:rPr>
          <w:rFonts w:ascii="Times New Roman;sans-serif" w:hAnsi="Times New Roman;sans-serif"/>
          <w:b w:val="false"/>
          <w:color w:val="000000"/>
          <w:sz w:val="20"/>
        </w:rPr>
        <w:t>consolidated financial statements and (ii) involved our especially challenging, subjective, or complex judgments. The communication of critical audit matters does not alter in any way our opinion on the consolidated</w:t>
      </w:r>
      <w:r>
        <w:rPr>
          <w:color w:val="FF0000"/>
        </w:rPr>
        <w:t xml:space="preserve"> </w:t>
      </w:r>
      <w:r>
        <w:rPr>
          <w:rFonts w:ascii="Times New Roman;sans-serif" w:hAnsi="Times New Roman;sans-serif"/>
          <w:b w:val="false"/>
          <w:color w:val="000000"/>
          <w:sz w:val="20"/>
        </w:rPr>
        <w:t>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 Crude Oil Sales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described in Note</w:t>
      </w:r>
      <w:r>
        <w:rPr>
          <w:color w:val="FF0000"/>
        </w:rPr>
        <w:t xml:space="preserve"> </w:t>
      </w:r>
      <w:r>
        <w:rPr>
          <w:rFonts w:ascii="Times New Roman;sans-serif" w:hAnsi="Times New Roman;sans-serif"/>
          <w:b w:val="false"/>
          <w:color w:val="000000"/>
          <w:sz w:val="20"/>
        </w:rPr>
        <w:t>3</w:t>
      </w:r>
      <w:r>
        <w:rPr>
          <w:color w:val="FF0000"/>
        </w:rPr>
        <w:t xml:space="preserve"> </w:t>
      </w:r>
      <w:r>
        <w:rPr>
          <w:rFonts w:ascii="Times New Roman;sans-serif" w:hAnsi="Times New Roman;sans-serif"/>
          <w:b w:val="false"/>
          <w:color w:val="000000"/>
          <w:sz w:val="20"/>
        </w:rPr>
        <w:t>to the consolidated financial statements, revenue from sales of crude oil are recognized at the time title to the product sold transfers to the purchaser, which occurs upon delivery of the product to the purchaser or its designee. The consideration received under these contracts is variable based on commodity prices. The Partnership recognized crude oil sales of $47,036 million for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 for our determination that performing procedures relating to revenue recognition for crude oil sales is a critical audit matter is a high degree of auditor effort in performing procedures related to the Partnership’s revenue recognition.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crude oil sales. These procedures also</w:t>
      </w:r>
      <w:r>
        <w:rPr>
          <w:color w:val="FF0000"/>
        </w:rPr>
        <w:t xml:space="preserve"> </w:t>
      </w:r>
      <w:r>
        <w:rPr>
          <w:rFonts w:ascii="Times New Roman;sans-serif" w:hAnsi="Times New Roman;sans-serif"/>
          <w:b w:val="false"/>
          <w:color w:val="000000"/>
          <w:sz w:val="20"/>
        </w:rPr>
        <w:t>included, among others (i) testing revenue recognized for a sample of crude oil sales revenue transactions by obtaining and inspecting source documents, such as contracts, settlement statements, invoices, and payment receipts and (ii) confirming a sample of outstanding customer invoice balances as of December 31, 2024, and for confirmations not returned, obtaining and inspecting source documents, such as contracts, settlement statements, invoices, and subsequent payment receipts.</w:t>
      </w:r>
    </w:p>
    <w:p>
      <w:pPr>
        <w:pStyle w:val="TextBody"/>
        <w:bidi w:val="0"/>
        <w:spacing w:before="0" w:after="0"/>
        <w:jc w:val="left"/>
        <w:rPr/>
      </w:pPr>
      <w:r>
        <w:rPr/>
      </w:r>
    </w:p>
    <w:tbl>
      <w:tblPr>
        <w:tblW w:w="4649" w:type="dxa"/>
        <w:jc w:val="left"/>
        <w:tblInd w:w="0" w:type="dxa"/>
        <w:tblLayout w:type="fixed"/>
        <w:tblCellMar>
          <w:top w:w="28" w:type="dxa"/>
          <w:left w:w="28" w:type="dxa"/>
          <w:bottom w:w="28" w:type="dxa"/>
          <w:right w:w="28" w:type="dxa"/>
        </w:tblCellMar>
      </w:tblPr>
      <w:tblGrid>
        <w:gridCol w:w="1483"/>
        <w:gridCol w:w="1301"/>
        <w:gridCol w:w="1865"/>
      </w:tblGrid>
      <w:tr>
        <w:trPr/>
        <w:tc>
          <w:tcPr>
            <w:tcW w:w="148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Partnership’s auditor since 1998.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unit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45"/>
        <w:gridCol w:w="2178"/>
        <w:gridCol w:w="2199"/>
        <w:gridCol w:w="294"/>
        <w:gridCol w:w="1007"/>
        <w:gridCol w:w="152"/>
        <w:gridCol w:w="109"/>
        <w:gridCol w:w="109"/>
        <w:gridCol w:w="109"/>
        <w:gridCol w:w="291"/>
        <w:gridCol w:w="996"/>
        <w:gridCol w:w="216"/>
      </w:tblGrid>
      <w:tr>
        <w:trPr/>
        <w:tc>
          <w:tcPr>
            <w:tcW w:w="254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right-of-use assets,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PARTNERS’ CAPITAL</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LIABILITIES</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18)</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unitholders (71,090,468 and 71,090,468 units outstanding, respectively)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 unitholders (800,000 and 800,000 units outstanding, respectively)</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unitholders (703,770,300 and 701,008,749 units outstanding, respectively)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 excluding noncontrolling interests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unit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12"/>
        <w:gridCol w:w="2030"/>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2"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asset impairments and other, net (Note 6, Note 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 in unconsolidated entities, net (Note 7,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$9, $10 and $5,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UNIT (NOTE 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unitholders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8741" w:type="dxa"/>
        <w:jc w:val="center"/>
        <w:tblInd w:w="0" w:type="dxa"/>
        <w:tblLayout w:type="fixed"/>
        <w:tblCellMar>
          <w:top w:w="28" w:type="dxa"/>
          <w:left w:w="28" w:type="dxa"/>
          <w:bottom w:w="28" w:type="dxa"/>
          <w:right w:w="28" w:type="dxa"/>
        </w:tblCellMar>
      </w:tblPr>
      <w:tblGrid>
        <w:gridCol w:w="1894"/>
        <w:gridCol w:w="1662"/>
        <w:gridCol w:w="1678"/>
        <w:gridCol w:w="211"/>
        <w:gridCol w:w="616"/>
        <w:gridCol w:w="109"/>
        <w:gridCol w:w="109"/>
        <w:gridCol w:w="109"/>
        <w:gridCol w:w="109"/>
        <w:gridCol w:w="211"/>
        <w:gridCol w:w="616"/>
        <w:gridCol w:w="109"/>
        <w:gridCol w:w="109"/>
        <w:gridCol w:w="109"/>
        <w:gridCol w:w="109"/>
        <w:gridCol w:w="211"/>
        <w:gridCol w:w="61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ACCUMULATED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7539"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11"/>
        <w:gridCol w:w="691"/>
        <w:gridCol w:w="109"/>
        <w:gridCol w:w="109"/>
        <w:gridCol w:w="109"/>
        <w:gridCol w:w="109"/>
        <w:gridCol w:w="211"/>
        <w:gridCol w:w="406"/>
        <w:gridCol w:w="109"/>
        <w:gridCol w:w="109"/>
        <w:gridCol w:w="109"/>
        <w:gridCol w:w="109"/>
        <w:gridCol w:w="211"/>
        <w:gridCol w:w="69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Activity</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Activity</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997" w:type="dxa"/>
        <w:jc w:val="left"/>
        <w:tblInd w:w="0" w:type="dxa"/>
        <w:tblLayout w:type="fixed"/>
        <w:tblCellMar>
          <w:top w:w="28" w:type="dxa"/>
          <w:left w:w="28" w:type="dxa"/>
          <w:bottom w:w="28" w:type="dxa"/>
          <w:right w:w="28" w:type="dxa"/>
        </w:tblCellMar>
      </w:tblPr>
      <w:tblGrid>
        <w:gridCol w:w="2068"/>
        <w:gridCol w:w="1819"/>
        <w:gridCol w:w="1828"/>
        <w:gridCol w:w="196"/>
        <w:gridCol w:w="556"/>
        <w:gridCol w:w="109"/>
        <w:gridCol w:w="109"/>
        <w:gridCol w:w="109"/>
        <w:gridCol w:w="109"/>
        <w:gridCol w:w="196"/>
        <w:gridCol w:w="556"/>
        <w:gridCol w:w="109"/>
        <w:gridCol w:w="109"/>
        <w:gridCol w:w="109"/>
        <w:gridCol w:w="109"/>
        <w:gridCol w:w="196"/>
        <w:gridCol w:w="556"/>
        <w:gridCol w:w="154"/>
      </w:tblGrid>
      <w:tr>
        <w:trPr/>
        <w:tc>
          <w:tcPr>
            <w:tcW w:w="206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Reconciliation of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(Gains)/losses on asset sales, asset impairments and other, net (Note 6,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Equity-indexed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 expense/(benefit)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Gains on sales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(Gain)/loss on foreign currency revaluation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Settlement of terminated interest rate hedging instruments (Note 12)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of Preferred Distribution Rate Reset Option (Note 12)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earnings in unconsolidated entities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on earnings from unconsolidated entities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investments in unconsolidated entities, net (Note 7, Note 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assets and liabilities, net of acquisitions: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 accounts receivable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 accounts payable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in connection with acquisitions, net of cash acquired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in unconsolidated entities (Note 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to property, equipment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purchases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sales of assets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received from sales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in related party notes (Note 16)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borrowings/(repayments) under commercial paper program (Note 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the issuance of senior notes (Note 10)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Repayments of senior notes (Note 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the issuance of related party notes (Note 16)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 of common units (Note 11)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paid to Series A preferred unitholders (Note 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paid to Series B preferred unitholders (Note 11)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paid to common unitholders (Note 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paid to noncontrolling interests (Note 11)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 from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translation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increase/(decrease) in cash and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and restricted cash,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net of amounts capitalized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net of amounts refunded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7"/>
        <w:gridCol w:w="452"/>
        <w:gridCol w:w="455"/>
        <w:gridCol w:w="211"/>
        <w:gridCol w:w="616"/>
        <w:gridCol w:w="109"/>
        <w:gridCol w:w="109"/>
        <w:gridCol w:w="109"/>
        <w:gridCol w:w="109"/>
        <w:gridCol w:w="211"/>
        <w:gridCol w:w="466"/>
        <w:gridCol w:w="109"/>
        <w:gridCol w:w="109"/>
        <w:gridCol w:w="109"/>
        <w:gridCol w:w="109"/>
        <w:gridCol w:w="240"/>
        <w:gridCol w:w="703"/>
        <w:gridCol w:w="125"/>
        <w:gridCol w:w="109"/>
        <w:gridCol w:w="109"/>
        <w:gridCol w:w="109"/>
        <w:gridCol w:w="340"/>
        <w:gridCol w:w="1166"/>
        <w:gridCol w:w="178"/>
        <w:gridCol w:w="109"/>
        <w:gridCol w:w="109"/>
        <w:gridCol w:w="109"/>
        <w:gridCol w:w="270"/>
        <w:gridCol w:w="790"/>
        <w:gridCol w:w="141"/>
        <w:gridCol w:w="109"/>
        <w:gridCol w:w="109"/>
        <w:gridCol w:w="109"/>
        <w:gridCol w:w="211"/>
        <w:gridCol w:w="721"/>
        <w:gridCol w:w="159"/>
      </w:tblGrid>
      <w:tr>
        <w:trPr/>
        <w:tc>
          <w:tcPr>
            <w:tcW w:w="89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Series 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 (Note 11)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Contributions from noncontrolling interests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Cactus II Pipeline LLC transaction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 See Note 19 for further discussion of our operating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non-economic general partner interest is held by PAA GP LLC (“PAA GP”), a Delaware limited liability company, whose sole member is Plains AAP, L.P. (“AAP”), a Delaware limited partnership. In addition to its ownership of PAA GP, as of December 31, 2024, AAP also owned a limited partner interest in us through its ownership of approximately 232.9 million of our common units (approximately 30% of our total outstanding common units and Series A preferred units combined). Plains All American GP LLC (“GP LLC”), a Delaware limited liability company, is AAP’s general partner. Plains GP Holdings, L.P. (“PAGP”) is the sole and managing member of GP LLC, and, at December 31, 2024, owned an approximate 85% limited partner interest in AAP. PAA GP Holdings LLC (“PAGP GP”) is the general partner of PAGP.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to the “PAGP Entities” include PAGP GP, PAGP, GP LLC, AAP and PAA GP. References to our “general partner,” as the context requires, include any or all of the PAGP Entities. References to the “Plains Entities” include us, our subsidiaries and the PAGP Entities.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may be used in the following notes and shall have the meanings indicated below:</w:t>
      </w:r>
    </w:p>
    <w:p>
      <w:pPr>
        <w:pStyle w:val="TextBody"/>
        <w:bidi w:val="0"/>
        <w:spacing w:before="0" w:after="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MLP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limited partnership</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OECD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Organisation for Economic Co-operation and Development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and related notes present and discuss our consolidated financial position as of December 31, 2024 and 2023, and the consolidated results of our operations, cash flows, changes in partners’ capital, comprehensive income and changes in accumulated other comprehensive income/(loss) for the years ended December 31, 2024, 2023 and 2022. All significant intercompany balances and transactions have been eliminated in consolidation, and certain reclassifications have been made to information from previous years to conform to the current presentation.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Purchases and Related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Field Operating Costs and 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Transactions/Translation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2024, 2023 and 2022, the revaluation of foreign currency transactions and monetary assets and liabilities resulted in the recognition of a net gain of $17 million, a net loss of $8 million and a net loss of $41 million, respectively, in our Consolidated Statements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our policy, unless they may be covered by funds on deposit, outstanding checks are classified as trade accounts payable rather than negative cash. As of December 31, 2024 and 2023, trade accounts payable included $27 million and $26 million, respectively, of outstanding checks that were reclassified from cash and cash equivalents. </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Noncontrolling Interests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11 for additional discussion regarding our noncontrolling interests.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2024, 2023 and 2022 (in millions):</w:t>
      </w:r>
    </w:p>
    <w:p>
      <w:pPr>
        <w:pStyle w:val="TextBody"/>
        <w:bidi w:val="0"/>
        <w:spacing w:before="0" w:after="0"/>
        <w:jc w:val="left"/>
        <w:rPr/>
      </w:pPr>
      <w:r>
        <w:rPr/>
      </w:r>
    </w:p>
    <w:tbl>
      <w:tblPr>
        <w:tblW w:w="5907" w:type="dxa"/>
        <w:jc w:val="center"/>
        <w:tblInd w:w="0" w:type="dxa"/>
        <w:tblLayout w:type="fixed"/>
        <w:tblCellMar>
          <w:top w:w="28" w:type="dxa"/>
          <w:left w:w="28" w:type="dxa"/>
          <w:bottom w:w="28" w:type="dxa"/>
          <w:right w:w="28" w:type="dxa"/>
        </w:tblCellMar>
      </w:tblPr>
      <w:tblGrid>
        <w:gridCol w:w="1033"/>
        <w:gridCol w:w="906"/>
        <w:gridCol w:w="911"/>
        <w:gridCol w:w="211"/>
        <w:gridCol w:w="466"/>
        <w:gridCol w:w="109"/>
        <w:gridCol w:w="109"/>
        <w:gridCol w:w="109"/>
        <w:gridCol w:w="109"/>
        <w:gridCol w:w="211"/>
        <w:gridCol w:w="466"/>
        <w:gridCol w:w="109"/>
        <w:gridCol w:w="109"/>
        <w:gridCol w:w="109"/>
        <w:gridCol w:w="109"/>
        <w:gridCol w:w="211"/>
        <w:gridCol w:w="46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Liabilities settled </w:t>
            </w:r>
            <w:r>
              <w:rPr>
                <w:rFonts w:ascii="Times New Roman;sans-serif" w:hAnsi="Times New Roman;sans-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63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2022 amount primarily relates to the transfer of liabilities to the third party purchaser associated with the sale of Line 901 and the Sisquoc to Pentland portion of Line 903 pipeline. See Note 7 and Note 18 for additional information.</w:t>
      </w:r>
    </w:p>
    <w:p>
      <w:pPr>
        <w:pStyle w:val="TextBody"/>
        <w:bidi w:val="0"/>
        <w:spacing w:before="60" w:after="283"/>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12 for further discussion.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Significant 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respective footnotes for our accounting policies regarding (i) revenues and accounts receivable, (ii) net income per common unit, (iii) inventory, linefill and long-term inventory, (iv) property and equipment, (v) acquisitions, (vi) investments in unconsolidated entities, (vii) intangible assets, (viii) income allocation for partners’ capital presentation purposes, (ix) derivatives and risk management activities, (x) leases, (xi) income taxes, (xii) equity-indexed compensation and (xiii) legal and environmental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Disclosure Rules and Other Legislation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which requires, among other things, disclosure of specified information about certain costs and expenses in the notes to the financial statements. The guidance is effective prospectively for annual periods beginning after December 15, 2026 and interim periods beginning after December 15, 2027 with retrospective application and early adoption permitted. We intend to provide the required disclosures beginning with our annual report for the year ended December 31, 2027.</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among other things, disaggregated information about effective tax rate reconciliation and income taxes paid (net of refunds received) on an annual basis. The guidance is effective prospectively for annual periods beginning after December 15, 2024 with retrospective or early adoption permitted. We intend to provide the required disclosures prospectively beginning with our annual report for the year ended December 31,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which requires disaggregated disclosure of significant segment expenses and other amounts included 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adopted this guidance beginning with our annual report for the year ended December 31, 2024. See Note 19 for updated segment disclosures. Other than such disclosure updates, our adoption did not have a material impact on our financial position,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August 2023, the FASB issued ASU 2023-05, </w:t>
      </w:r>
      <w:r>
        <w:rPr>
          <w:rFonts w:ascii="Times New Roman;sans-serif" w:hAnsi="Times New Roman;sans-serif"/>
          <w:b w:val="false"/>
          <w:i/>
          <w:color w:val="000000"/>
          <w:sz w:val="20"/>
        </w:rPr>
        <w:t>Business Combinations—Joint Venture Formations (Subtopic 805-60): Recognition and Initial Measurement</w:t>
      </w:r>
      <w:r>
        <w:rPr>
          <w:rFonts w:ascii="Times New Roman;sans-serif" w:hAnsi="Times New Roman;sans-serif"/>
          <w:b w:val="false"/>
          <w:color w:val="000000"/>
          <w:sz w:val="20"/>
        </w:rPr>
        <w:t>, which requires a newly-formed joint venture to apply a new basis of accounting 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will adopt this guidance for joint venture formations on or after January 1, 2025.</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SEC Climate Disclosure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In April 2024, the SEC stayed the climate disclosure rules pending resolution of legal challenges. We are monitoring the status of the stay and the outcome of the legal challenge for the applicability of the climate disclosure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Tax Reform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disaggregate our revenues by segment and type of activity. These categories depict how the nature, amount, timing and uncertainty of revenues and cash flows are affected by economic factors.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Revenues from Contracts with Customers.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9161" w:type="dxa"/>
        <w:jc w:val="center"/>
        <w:tblInd w:w="0" w:type="dxa"/>
        <w:tblLayout w:type="fixed"/>
        <w:tblCellMar>
          <w:top w:w="28" w:type="dxa"/>
          <w:left w:w="28" w:type="dxa"/>
          <w:bottom w:w="28" w:type="dxa"/>
          <w:right w:w="28" w:type="dxa"/>
        </w:tblCellMar>
      </w:tblPr>
      <w:tblGrid>
        <w:gridCol w:w="1931"/>
        <w:gridCol w:w="1701"/>
        <w:gridCol w:w="1707"/>
        <w:gridCol w:w="211"/>
        <w:gridCol w:w="721"/>
        <w:gridCol w:w="109"/>
        <w:gridCol w:w="109"/>
        <w:gridCol w:w="109"/>
        <w:gridCol w:w="109"/>
        <w:gridCol w:w="211"/>
        <w:gridCol w:w="721"/>
        <w:gridCol w:w="109"/>
        <w:gridCol w:w="109"/>
        <w:gridCol w:w="109"/>
        <w:gridCol w:w="109"/>
        <w:gridCol w:w="211"/>
        <w:gridCol w:w="72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41" w:type="dxa"/>
        <w:jc w:val="center"/>
        <w:tblInd w:w="0" w:type="dxa"/>
        <w:tblLayout w:type="fixed"/>
        <w:tblCellMar>
          <w:top w:w="28" w:type="dxa"/>
          <w:left w:w="28" w:type="dxa"/>
          <w:bottom w:w="28" w:type="dxa"/>
          <w:right w:w="28" w:type="dxa"/>
        </w:tblCellMar>
      </w:tblPr>
      <w:tblGrid>
        <w:gridCol w:w="1785"/>
        <w:gridCol w:w="1572"/>
        <w:gridCol w:w="1577"/>
        <w:gridCol w:w="211"/>
        <w:gridCol w:w="616"/>
        <w:gridCol w:w="109"/>
        <w:gridCol w:w="109"/>
        <w:gridCol w:w="109"/>
        <w:gridCol w:w="109"/>
        <w:gridCol w:w="211"/>
        <w:gridCol w:w="616"/>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Sales Revenues.</w:t>
      </w:r>
      <w:r>
        <w:rPr>
          <w:color w:val="000000"/>
        </w:rPr>
        <w:t xml:space="preserve"> </w:t>
      </w:r>
      <w:r>
        <w:rPr>
          <w:rFonts w:ascii="Times New Roman;sans-serif" w:hAnsi="Times New Roman;sans-serif"/>
          <w:b w:val="false"/>
          <w:color w:val="000000"/>
          <w:sz w:val="20"/>
        </w:rPr>
        <w:t>Revenues from sales of crude oil and NGL are recognized at the time title to the product sold transfers 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Transportation Revenues.</w:t>
      </w:r>
      <w:r>
        <w:rPr>
          <w:color w:val="000000"/>
        </w:rPr>
        <w:t xml:space="preserve"> </w:t>
      </w:r>
      <w:r>
        <w:rPr>
          <w:rFonts w:ascii="Times New Roman;sans-serif" w:hAnsi="Times New Roman;sans-serif"/>
          <w:b w:val="false"/>
          <w:color w:val="000000"/>
          <w:sz w:val="20"/>
        </w:rPr>
        <w:t xml:space="preserve">Transportation revenues include revenues from transporting crude oil and NGL on pipelines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Terminalling, Storage and Other Revenues.</w:t>
      </w:r>
      <w:r>
        <w:rPr>
          <w:color w:val="000000"/>
        </w:rPr>
        <w:t xml:space="preserve"> </w:t>
      </w:r>
      <w:r>
        <w:rPr>
          <w:rFonts w:ascii="Times New Roman;sans-serif" w:hAnsi="Times New Roman;sans-serif"/>
          <w:b w:val="false"/>
          <w:color w:val="000000"/>
          <w:sz w:val="20"/>
        </w:rPr>
        <w:t xml:space="preserve">Revenues in this category include (i) fees that are generated when we receive liquids from one 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Reconciliation to Total Revenues of Reportable Segments.</w:t>
      </w:r>
      <w:r>
        <w:rPr>
          <w:color w:val="000000"/>
        </w:rPr>
        <w:t xml:space="preserve">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pStyle w:val="TextBody"/>
        <w:bidi w:val="0"/>
        <w:spacing w:before="0" w:after="0"/>
        <w:ind w:left="0" w:right="0" w:firstLine="720"/>
        <w:jc w:val="left"/>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jc w:val="left"/>
        <w:rPr/>
      </w:pPr>
      <w:r>
        <w:rPr/>
      </w:r>
    </w:p>
    <w:tbl>
      <w:tblPr>
        <w:tblW w:w="6976"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11"/>
        <w:gridCol w:w="361"/>
        <w:gridCol w:w="109"/>
        <w:gridCol w:w="109"/>
        <w:gridCol w:w="109"/>
        <w:gridCol w:w="109"/>
        <w:gridCol w:w="211"/>
        <w:gridCol w:w="36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jc w:val="left"/>
        <w:rPr/>
      </w:pPr>
      <w:r>
        <w:rPr/>
      </w:r>
    </w:p>
    <w:tbl>
      <w:tblPr>
        <w:tblW w:w="4259" w:type="dxa"/>
        <w:jc w:val="center"/>
        <w:tblInd w:w="0" w:type="dxa"/>
        <w:tblLayout w:type="fixed"/>
        <w:tblCellMar>
          <w:top w:w="28" w:type="dxa"/>
          <w:left w:w="28" w:type="dxa"/>
          <w:bottom w:w="28" w:type="dxa"/>
          <w:right w:w="28" w:type="dxa"/>
        </w:tblCellMar>
      </w:tblPr>
      <w:tblGrid>
        <w:gridCol w:w="977"/>
        <w:gridCol w:w="859"/>
        <w:gridCol w:w="864"/>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2024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2"/>
        <w:gridCol w:w="1084"/>
        <w:gridCol w:w="108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63"/>
        <w:gridCol w:w="768"/>
        <w:gridCol w:w="195"/>
      </w:tblGrid>
      <w:tr>
        <w:trPr/>
        <w:tc>
          <w:tcPr>
            <w:tcW w:w="124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2030 and Thereafter</w:t>
            </w:r>
          </w:p>
        </w:tc>
      </w:tr>
      <w:tr>
        <w:trPr/>
        <w:tc>
          <w:tcPr>
            <w:tcW w:w="3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Calculated as volumes committed under contracts multiplied by the current applicable tariff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 as discussed below;</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Trade Accounts Receivable and Other Receivables,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2024 and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trade accounts receivable from revenues from contracts with customers to total Trade accounts receivable and other receivables, net as presented on our Consolidated Balance Sheets (in millions):</w:t>
      </w:r>
    </w:p>
    <w:tbl>
      <w:tblPr>
        <w:tblW w:w="8723" w:type="dxa"/>
        <w:jc w:val="left"/>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11"/>
        <w:gridCol w:w="616"/>
        <w:gridCol w:w="154"/>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4—Net Income Per Common Unit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After consideration of distributions to preferred unitholders, basic and diluted net income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for additional information regarding our Series A preferred units. See Note 17 for a complete discussion of our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the years ended December 31, 2024, 2023 and 2022 as the effect was antidilutive for all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year are reduced by a hypothetical common unit repurchase based on the remaining unamortized fair value, as prescribed by the treasury stock method in guidance issued by the FASB.</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common unit (in millions, except per unit data):</w:t>
      </w:r>
    </w:p>
    <w:p>
      <w:pPr>
        <w:pStyle w:val="TextBody"/>
        <w:bidi w:val="0"/>
        <w:spacing w:before="0" w:after="0"/>
        <w:jc w:val="left"/>
        <w:rPr/>
      </w:pPr>
      <w:r>
        <w:rPr/>
      </w:r>
    </w:p>
    <w:tbl>
      <w:tblPr>
        <w:tblW w:w="8636" w:type="dxa"/>
        <w:jc w:val="center"/>
        <w:tblInd w:w="0" w:type="dxa"/>
        <w:tblLayout w:type="fixed"/>
        <w:tblCellMar>
          <w:top w:w="28" w:type="dxa"/>
          <w:left w:w="28" w:type="dxa"/>
          <w:bottom w:w="28" w:type="dxa"/>
          <w:right w:w="28" w:type="dxa"/>
        </w:tblCellMar>
      </w:tblPr>
      <w:tblGrid>
        <w:gridCol w:w="1894"/>
        <w:gridCol w:w="1667"/>
        <w:gridCol w:w="1673"/>
        <w:gridCol w:w="211"/>
        <w:gridCol w:w="511"/>
        <w:gridCol w:w="109"/>
        <w:gridCol w:w="109"/>
        <w:gridCol w:w="109"/>
        <w:gridCol w:w="109"/>
        <w:gridCol w:w="211"/>
        <w:gridCol w:w="616"/>
        <w:gridCol w:w="109"/>
        <w:gridCol w:w="109"/>
        <w:gridCol w:w="109"/>
        <w:gridCol w:w="109"/>
        <w:gridCol w:w="211"/>
        <w:gridCol w:w="61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Common Unit</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Series A preferred unitholders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B preferred unitholders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allocated to participating securities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allocated to common unitholders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2025, we repurchased approximately 12.7 million Series A preferred units. See Note 11 for additional discussion of this transaction.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5—Inventory, Linefill and Long-term Inventory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2024, 2023 or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2024, 2023 and 2022, we did not recognize any material impairments of linefill.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left"/>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is stated at cost and consisted of the following (in millions):</w:t>
      </w:r>
    </w:p>
    <w:p>
      <w:pPr>
        <w:pStyle w:val="TextBody"/>
        <w:bidi w:val="0"/>
        <w:spacing w:before="0" w:after="0"/>
        <w:jc w:val="left"/>
        <w:rPr/>
      </w:pPr>
      <w:r>
        <w:rPr/>
      </w:r>
    </w:p>
    <w:tbl>
      <w:tblPr>
        <w:tblW w:w="9157" w:type="dxa"/>
        <w:jc w:val="left"/>
        <w:tblInd w:w="0" w:type="dxa"/>
        <w:tblLayout w:type="fixed"/>
        <w:tblCellMar>
          <w:top w:w="28" w:type="dxa"/>
          <w:left w:w="28" w:type="dxa"/>
          <w:bottom w:w="28" w:type="dxa"/>
          <w:right w:w="28" w:type="dxa"/>
        </w:tblCellMar>
      </w:tblPr>
      <w:tblGrid>
        <w:gridCol w:w="1830"/>
        <w:gridCol w:w="1606"/>
        <w:gridCol w:w="1619"/>
        <w:gridCol w:w="440"/>
        <w:gridCol w:w="440"/>
        <w:gridCol w:w="441"/>
        <w:gridCol w:w="109"/>
        <w:gridCol w:w="109"/>
        <w:gridCol w:w="109"/>
        <w:gridCol w:w="211"/>
        <w:gridCol w:w="721"/>
        <w:gridCol w:w="109"/>
        <w:gridCol w:w="109"/>
        <w:gridCol w:w="109"/>
        <w:gridCol w:w="109"/>
        <w:gridCol w:w="211"/>
        <w:gridCol w:w="72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Useful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 pipeline systems</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storage and terminal facilities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 storage, terminal, fractionation and processing facilities</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systems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Office property and equipment and rolling stock</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other</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and equipment, gross</w:t>
            </w:r>
            <w:r>
              <w:rPr>
                <w:color w:val="000000"/>
              </w:rPr>
              <w:t xml:space="preserve"> </w:t>
            </w:r>
            <w:r>
              <w:rPr>
                <w:rFonts w:ascii="Times New Roman;sans-serif" w:hAnsi="Times New Roman;sans-serif"/>
                <w:b w:val="false"/>
                <w:color w:val="000000"/>
                <w:sz w:val="13"/>
              </w:rPr>
              <w:t>(1)</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include rights-of-way, which are intangible assets, within 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our depreciation using the straight-line method, based on estimated useful lives and salvage values of our assets. Depreciation expense for the years ended December 31, 2024, 2023 and 2022 was $753 million, $733 million and $707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2023 and 2022, we incurred liabilities of $78 million, $55 million and $46 million, respectively, for construction in progress that had not been paid.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 (Held and Used)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whether there is an indication of impairment;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grouping of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intention of “holding,” “abandoning” or “selling” an asset;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forecast of undiscounted expected future cash flow over the asset’s estimated useful life;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an impairment exists, the fair value of the asset or asset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when we evaluate property and equipment and other long-lived assets for recoverability, it may also be necessary to review related depreciation estimates and methods.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we recognized approximately $140 million of non-cash charges related to the write-down of certain of our long-lived U.S. based NGL terminal assets included in our NGL segment due to asset impairments and accelerated depreciation. Such charges are reflected in “(Gains)/losses on asset sales, asset impairments and other, net” on our Consolidated Statement of Operations. We have experienced a decrease in demand for our services at certain of our terminals within two asset groups related to changing market conditions specific to their locations, which was a triggering event that required us to assess the recoverability of carrying value of such long-lived assets. As a result of our impairment review, we wrote-off the portion of the carrying amount of these long-lived assets that exceeded their fair value. Our estimated fair value was based on the determination that a portion of the long-lived assets had no residual value. We consider such inputs to be a Level 3 input in the fair value hierarchy. Further, we determined that an acceleration of depreciation was appropriate for another portion of the long-lived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recognize any material asset impairments during the year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asset impairments and other,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7—Acquisitions, Divestitures and Other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Rattler Permian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approximately 11%, based on the estimate of the risk that a theoretical market participant would assign to the business. The remeasurement of the Permian JV’s investment in OMOG to fair value resulted in a gain of $29 million. This gain has been recognized in the line item “Gain on investments in unconsolidated entities, net” on our Consolidated Statement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and liabilities assumed was estimated in accordance with applicable accounting guidance. The analysis was performed based on estimates that are reflective of market participant assumptions. While the purchase price for the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determination of the fair value of the assets acquired and liabilities assumed in connection with the transaction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406"/>
        <w:gridCol w:w="900"/>
        <w:gridCol w:w="299"/>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$8 million and $4 million during the years ended December 31, 2024 and 2023, respectively, and the future amortization expense through 2028 is estimated as follows (in millions):</w:t>
      </w:r>
    </w:p>
    <w:p>
      <w:pPr>
        <w:pStyle w:val="TextBody"/>
        <w:bidi w:val="0"/>
        <w:spacing w:before="0" w:after="0"/>
        <w:jc w:val="left"/>
        <w:rPr/>
      </w:pPr>
      <w:r>
        <w:rPr/>
      </w:r>
    </w:p>
    <w:tbl>
      <w:tblPr>
        <w:tblW w:w="224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Cactus II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approximately 14%,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 on investments in unconsolidated entities, net” on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pStyle w:val="TextBody"/>
        <w:bidi w:val="0"/>
        <w:spacing w:before="0" w:after="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345"/>
        <w:gridCol w:w="1008"/>
        <w:gridCol w:w="252"/>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$51 million, $61 million and $13 million during the years ended December 31, 2024, 2023 and 2022, respectively, and the future amortization expense through 2027 is estimated as follows (in millions):</w:t>
      </w:r>
    </w:p>
    <w:p>
      <w:pPr>
        <w:pStyle w:val="TextBody"/>
        <w:bidi w:val="0"/>
        <w:spacing w:before="0" w:after="0"/>
        <w:jc w:val="left"/>
        <w:rPr/>
      </w:pPr>
      <w:r>
        <w:rPr/>
      </w:r>
    </w:p>
    <w:tbl>
      <w:tblPr>
        <w:tblW w:w="224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we acquired Ironwood Midstream Energy Partners II, LLC, which owns a gathering system in the Eagle Ford Basin, for approximately $475 million from EnCap Flatrock Midstream. In January 2025, in a separate transaction, we also repurchased from EnCap Flatrock Midstream, approximately 18% of our outstanding Series A preferred units, which equated to less than 2% of our outstanding common units and Series A preferred units combined (our “common unit equivalents”). EnCap Flatrock Midstream is affiliated with EnCap Investments, L.P., an entity that is associated with a member of the board of directors of PAGP GP. See Note 11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we acquired EMG Medallion 2 Holdings, LLC and its subsidiaries, which own a crude oil gathering and transportation business in the Delaware Basin, for $161 million (approximately $105 million net to our 65% interest in the Permian JV), subject to certain adjustments. A cash deposit of approximately $16 million was paid upon signing in December 2024. EMG Medallion 2 Holdings was a portfolio company of The Energy &amp; Minerals Group (“EMG”), which is associated with a member of the board of directors of PAGP GP.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also completed the following acquisitions: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acquisition in December 2024 of the remaining 50% interest in Midway Pipeline LLC (“Midway”) for approximately $90 million. As a result of this transaction, we now own 100% of Midway and reflect such entity as a consolidated subsidiary in our Consolidated Financial Statements. The remeasurement of our previously-held investment in Midway to fair value resulted in a gain of approximately $15 million. This gain is reflected in “Gain on investments in unconsolidated entities, net” on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acquisition of additional interests in certain unconsolidated entities, including (i) the acquisition in August 2024 of an additional approximate 0.67% interest in Wink to Webster Pipeline LLC (increasing our ownership interest from 16% to 17%) for $20 million and (ii) the acquisition in March 2024 of an additional 10% interest in Saddlehorn Pipeline Company, LLC (increasing our ownership interest from 30% to 40%) for $91 million. See Note 8 for additional information about our investments in unconsolidated entities.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acquisition in the second and third quarters of 2024 of pipeline and terminal assets within our asset footprint for approximately $32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also completed the following acquisitions: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acquisition in July 2022 of the remaining 50% interest in Advantage Pipeline Holdings LLC (“Advantage”) for $74 million (approximately $48 million net to our 65% interest in the Permian JV), including cash paid for working capital. As a result of this transaction, we now own 100% of Advantage and its subsidiaries and such entities are reflected as consolidated subsidiaries in our Consolidated Financial Statements.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Upon the sale of this facility, we recognized a gain of approximately $140 million which is included in “(Gains)/losses on asset sales, asset impairments and other, net” on our Consolidated Statement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asset impairments and other, net” on our Consolidated Statement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8—Investments in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in unconsolidated entities consisted of the following (in millions, except percentage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3"/>
        <w:gridCol w:w="1019"/>
        <w:gridCol w:w="1036"/>
        <w:gridCol w:w="109"/>
        <w:gridCol w:w="109"/>
        <w:gridCol w:w="109"/>
        <w:gridCol w:w="709"/>
        <w:gridCol w:w="709"/>
        <w:gridCol w:w="711"/>
        <w:gridCol w:w="109"/>
        <w:gridCol w:w="109"/>
        <w:gridCol w:w="109"/>
        <w:gridCol w:w="509"/>
        <w:gridCol w:w="509"/>
        <w:gridCol w:w="511"/>
        <w:gridCol w:w="109"/>
        <w:gridCol w:w="109"/>
        <w:gridCol w:w="109"/>
        <w:gridCol w:w="211"/>
        <w:gridCol w:w="616"/>
        <w:gridCol w:w="109"/>
        <w:gridCol w:w="109"/>
        <w:gridCol w:w="109"/>
        <w:gridCol w:w="109"/>
        <w:gridCol w:w="211"/>
        <w:gridCol w:w="616"/>
        <w:gridCol w:w="158"/>
      </w:tblGrid>
      <w:tr>
        <w:trPr/>
        <w:tc>
          <w:tcPr>
            <w:tcW w:w="12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 at December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Balance</w:t>
              <w:br/>
              <w:t>December 31,</w:t>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Entity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 (“BridgeTex”)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Capline Pipeline Company LLC (“Capline”)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Eagle Ford Terminals Corpus Christi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Terminal and Dock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Saddlehorn Pipeline Company, LLC (“Saddlehorn”)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Wink to Webster Pipeline LLC (“W2W Pipeline”)</w:t>
            </w:r>
            <w:r>
              <w:rPr>
                <w:color w:val="000000"/>
              </w:rPr>
              <w:t xml:space="preserv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financial results from these entities are reported in our Crude Oil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Although we own more than 50% of Capline, we use the equity method to account for the investment because the other joint venture members still retain substantive participating rights.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Although we own less than 20% of W2W Pipeline, we use the equity method to account for the investment because we believe we have significant influence over the financial and operating decisions of the company.</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we acquired the remaining 50% interest in Midway (which was previously presented in “Other investments” in the table above). Prior to our acquisition, our 50% interest in Midway was accounted for as an equity method investment. In addition, during 2024, we acquired additional interests in W2W Pipeline and Saddlehorn, which we continue to account for as equity method investments. See Note 7 for additional information regarding these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through a non-monetary transaction, we acquired an additional interest in OMOG in exchange for the contribution of portions of two pipeline systems. After the transaction, our ownership interest in OMOG increased to 57% from 40%. Subsequent to this transaction, we continued to account for OMOG as an equity method investment because the joint venture partner still retained substantive participating rights. The transaction resulted in a loss of approximately $25 million, which represented the difference between the fair value and historical book value of the assets contributed. This loss was reflected in “Gain on investments in unconsolidated entities, net” on our Consolidated Statement of Operations. In the third quarter of 2023, we acquired the remaining 43% interest in OMOG. We now reflect OMOG and its subsidiaries as consolidated subsidiaries in our Consolidated Financial Statements. See Note 7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2022, we acquired the remaining 50% interest in Advantage. Prior to the acquisition, our 50% interest in Advantage was accounted for as an equity method investment. See Note 7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fund our portion of development, construction or capital investment projects of our equity method investees through capital contributions. During the years ended December 31, 2024, 2023 and 2022, we made cash contributions of $4 million, $29 million and $13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Differences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in unconsolidated entities exceeded our share of the underlying equity in the net assets of such entities by $213 million and $229 million at December 31, 2024 and 2023,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2024 and 2023 was attributable to goodwill related to our ownership interest in BridgeTex with the remaining basis difference primarily related to capitalized interest incurred during construction of the assets of our unconsolidated entities.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Summarized Financial Information of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Combined summarized financial information for all of our unconsolidated entities is shown in the tables below (in millions). None of our unconsolidated entities have noncontrolling interests. </w:t>
      </w:r>
    </w:p>
    <w:p>
      <w:pPr>
        <w:pStyle w:val="TextBody"/>
        <w:bidi w:val="0"/>
        <w:spacing w:before="0" w:after="0"/>
        <w:ind w:left="0" w:right="0" w:firstLine="720"/>
        <w:jc w:val="left"/>
        <w:rPr/>
      </w:pPr>
      <w:r>
        <w:rPr/>
      </w:r>
    </w:p>
    <w:tbl>
      <w:tblPr>
        <w:tblW w:w="4103" w:type="dxa"/>
        <w:jc w:val="center"/>
        <w:tblInd w:w="0" w:type="dxa"/>
        <w:tblLayout w:type="fixed"/>
        <w:tblCellMar>
          <w:top w:w="28" w:type="dxa"/>
          <w:left w:w="28" w:type="dxa"/>
          <w:bottom w:w="28" w:type="dxa"/>
          <w:right w:w="28" w:type="dxa"/>
        </w:tblCellMar>
      </w:tblPr>
      <w:tblGrid>
        <w:gridCol w:w="672"/>
        <w:gridCol w:w="591"/>
        <w:gridCol w:w="596"/>
        <w:gridCol w:w="211"/>
        <w:gridCol w:w="616"/>
        <w:gridCol w:w="109"/>
        <w:gridCol w:w="109"/>
        <w:gridCol w:w="109"/>
        <w:gridCol w:w="109"/>
        <w:gridCol w:w="211"/>
        <w:gridCol w:w="61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082" w:type="dxa"/>
        <w:jc w:val="center"/>
        <w:tblInd w:w="0" w:type="dxa"/>
        <w:tblLayout w:type="fixed"/>
        <w:tblCellMar>
          <w:top w:w="28" w:type="dxa"/>
          <w:left w:w="28" w:type="dxa"/>
          <w:bottom w:w="28" w:type="dxa"/>
          <w:right w:w="28" w:type="dxa"/>
        </w:tblCellMar>
      </w:tblPr>
      <w:tblGrid>
        <w:gridCol w:w="570"/>
        <w:gridCol w:w="499"/>
        <w:gridCol w:w="506"/>
        <w:gridCol w:w="211"/>
        <w:gridCol w:w="616"/>
        <w:gridCol w:w="109"/>
        <w:gridCol w:w="109"/>
        <w:gridCol w:w="109"/>
        <w:gridCol w:w="109"/>
        <w:gridCol w:w="211"/>
        <w:gridCol w:w="616"/>
        <w:gridCol w:w="109"/>
        <w:gridCol w:w="109"/>
        <w:gridCol w:w="109"/>
        <w:gridCol w:w="109"/>
        <w:gridCol w:w="211"/>
        <w:gridCol w:w="61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9—Intangible Assets, Net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consisted of the following (in millions):</w:t>
      </w:r>
    </w:p>
    <w:p>
      <w:pPr>
        <w:pStyle w:val="TextBody"/>
        <w:bidi w:val="0"/>
        <w:spacing w:before="0" w:after="0"/>
        <w:ind w:left="0" w:right="0" w:firstLine="720"/>
        <w:jc w:val="left"/>
        <w:rPr/>
      </w:pPr>
      <w:r>
        <w:rPr/>
      </w:r>
    </w:p>
    <w:tbl>
      <w:tblPr>
        <w:tblW w:w="10270" w:type="dxa"/>
        <w:jc w:val="center"/>
        <w:tblInd w:w="0" w:type="dxa"/>
        <w:tblLayout w:type="fixed"/>
        <w:tblCellMar>
          <w:top w:w="28" w:type="dxa"/>
          <w:left w:w="28" w:type="dxa"/>
          <w:bottom w:w="28" w:type="dxa"/>
          <w:right w:w="28" w:type="dxa"/>
        </w:tblCellMar>
      </w:tblPr>
      <w:tblGrid>
        <w:gridCol w:w="404"/>
        <w:gridCol w:w="315"/>
        <w:gridCol w:w="317"/>
        <w:gridCol w:w="440"/>
        <w:gridCol w:w="440"/>
        <w:gridCol w:w="441"/>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11"/>
        <w:gridCol w:w="616"/>
        <w:gridCol w:w="109"/>
        <w:gridCol w:w="109"/>
        <w:gridCol w:w="109"/>
        <w:gridCol w:w="109"/>
        <w:gridCol w:w="284"/>
        <w:gridCol w:w="649"/>
        <w:gridCol w:w="148"/>
        <w:gridCol w:w="109"/>
        <w:gridCol w:w="109"/>
        <w:gridCol w:w="109"/>
        <w:gridCol w:w="211"/>
        <w:gridCol w:w="616"/>
        <w:gridCol w:w="154"/>
      </w:tblGrid>
      <w:tr>
        <w:trPr/>
        <w:tc>
          <w:tcPr>
            <w:tcW w:w="4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w:t>
              <w:b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relationships</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agreements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Intangible assets </w:t>
            </w:r>
            <w:r>
              <w:rPr>
                <w:rFonts w:ascii="Times New Roman;sans-serif" w:hAnsi="Times New Roman;sans-serif"/>
                <w:b w:val="false"/>
                <w:color w:val="000000"/>
                <w:sz w:val="13"/>
              </w:rPr>
              <w:t>(1)</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include rights-of-way, which are intangible assets, within property and equipment. See Note 6 for a discussion of property and equipment.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that have finite lives are tested for impairment when events or circumstances indicate that the carrying value may not be recoverable. We did not recognize any impairments of finite-lived intangible assets during the three years ended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finite-lived intangible assets are amortized under the declining balance method. Amortization expense for finite-lived intangible assets for the years ended December 31, 2024, 2023 and 2022 was $266 million, $308 million and $254 million, respectively. We estimate that our amortization expense related to finite-lived intangible assets for the next five years will be as follows (in millions):</w:t>
      </w:r>
    </w:p>
    <w:p>
      <w:pPr>
        <w:pStyle w:val="TextBody"/>
        <w:bidi w:val="0"/>
        <w:spacing w:before="0" w:after="0"/>
        <w:jc w:val="left"/>
        <w:rPr/>
      </w:pPr>
      <w:r>
        <w:rPr/>
      </w:r>
    </w:p>
    <w:tbl>
      <w:tblPr>
        <w:tblW w:w="1372" w:type="dxa"/>
        <w:jc w:val="center"/>
        <w:tblInd w:w="0" w:type="dxa"/>
        <w:tblLayout w:type="fixed"/>
        <w:tblCellMar>
          <w:top w:w="28" w:type="dxa"/>
          <w:left w:w="28" w:type="dxa"/>
          <w:bottom w:w="28" w:type="dxa"/>
          <w:right w:w="28" w:type="dxa"/>
        </w:tblCellMar>
      </w:tblPr>
      <w:tblGrid>
        <w:gridCol w:w="196"/>
        <w:gridCol w:w="172"/>
        <w:gridCol w:w="173"/>
        <w:gridCol w:w="211"/>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776"/>
        <w:gridCol w:w="2443"/>
        <w:gridCol w:w="2447"/>
        <w:gridCol w:w="244"/>
        <w:gridCol w:w="713"/>
        <w:gridCol w:w="125"/>
        <w:gridCol w:w="109"/>
        <w:gridCol w:w="109"/>
        <w:gridCol w:w="109"/>
        <w:gridCol w:w="242"/>
        <w:gridCol w:w="708"/>
        <w:gridCol w:w="180"/>
      </w:tblGrid>
      <w:tr>
        <w:trPr/>
        <w:tc>
          <w:tcPr>
            <w:tcW w:w="277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Commercial paper notes, bearing a weighted-average interest rate of 4.6% and 5.8%, respectively </w:t>
            </w:r>
            <w:r>
              <w:rPr>
                <w:rFonts w:ascii="Times New Roman;sans-serif" w:hAnsi="Times New Roman;sans-serif"/>
                <w:b w:val="false"/>
                <w:color w:val="000000"/>
                <w:sz w:val="13"/>
              </w:rPr>
              <w:t>(1)</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3.60% senior notes due November 2024 </w:t>
            </w:r>
            <w:r>
              <w:rPr>
                <w:rFonts w:ascii="Times New Roman;sans-serif" w:hAnsi="Times New Roman;sans-serif"/>
                <w:b w:val="false"/>
                <w:color w:val="000000"/>
                <w:sz w:val="13"/>
              </w:rPr>
              <w:t>(2)</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4.65% senior notes due October 2025 </w:t>
            </w:r>
            <w:r>
              <w:rPr>
                <w:rFonts w:ascii="Times New Roman;sans-serif" w:hAnsi="Times New Roman;sans-serif"/>
                <w:b w:val="false"/>
                <w:color w:val="000000"/>
                <w:sz w:val="13"/>
              </w:rPr>
              <w:t>(3)</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December 2026</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3.55% senior notes due December 2029</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3.80% senior notes due September 2030</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5.70% senior notes due September 2034</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6.70% senior notes due May 2036</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6.65% senior notes due January 2037</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senior notes due June 2042</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4.30% senior notes due January 2043</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4.70% senior notes due June 2044</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4.90% senior notes due February 2045</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discounts and debt issuance costs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 of unamortized discounts and debt issuance costs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(4)</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classified these commercial paper notes as short-term as of December 31, 2024 and 2023, as these notes were primarily designated as working capital borrowings, were required to be repaid within one year and were primarily for hedged NGL and crude oil inventory and NYMEX and ICE margin deposits.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As of December 31, 2023, we classified our $750 million, 3.60% senior notes due November 2024 as long-term based on our ability and intent to refinance the notes on a long-term basis at that time. We redeemed these senior notes on November 1, 2024.</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As of December 31, 2024, we classified our $1 billion, 4.65% senior notes due October 2025 as long-term based on our ability and intent to refinance these notes on a long-term basis.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Our fixed-rate senior notes had a face value of approximately $7.2 billion and $7.3 billion at December 31, 2024 and 2023, respectively. We estimated the aggregate fair value of these notes to be approximately $6.7 billion and $6.9 billion at December 31, 2024 and 2023,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Commercial Paper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commercial paper program under which we may issue (and have outstanding at any time) up to $2.7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Senior secured hedged inventory facility</w:t>
      </w:r>
      <w:r>
        <w:rPr>
          <w:rFonts w:ascii="Times New Roman;sans-serif" w:hAnsi="Times New Roman;sans-serif"/>
          <w:b w:val="false"/>
          <w:color w:val="000000"/>
          <w:sz w:val="20"/>
        </w:rPr>
        <w:t>. We have a credit agreement that provides for a senior secured hedged 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2024, we amended the facility agreement to, among other things, extend the maturity date of the facility to August 2027 for each extending lender. The maturity date with respect to the non-extending lender (which represents a commitment of approximately $64 million out of total commitments of $1.35 billion from all lenders) remains August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Senior unsecured revolving credit facility.</w:t>
      </w:r>
      <w:r>
        <w:rPr>
          <w:color w:val="000000"/>
        </w:rPr>
        <w:t xml:space="preserve"> </w:t>
      </w:r>
      <w:r>
        <w:rPr>
          <w:rFonts w:ascii="Times New Roman;sans-serif" w:hAnsi="Times New Roman;sans-serif"/>
          <w:b w:val="false"/>
          <w:color w:val="000000"/>
          <w:sz w:val="20"/>
        </w:rPr>
        <w:t>We have a credit agreement that provides for a senior unsecured revolving 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2024, we amended the facility agreement to, among other things, extend the maturity date of the facility to August 2029 for each extending lender. The maturity date with respect to the non-extending lender (which represents a commitment of approximately $64 million out of total commitments of $1.35 billion from all lenders) remains August 2027.</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Senior Notes Issuances. </w:t>
      </w:r>
      <w:r>
        <w:rPr>
          <w:rFonts w:ascii="Times New Roman;sans-serif" w:hAnsi="Times New Roman;sans-serif"/>
          <w:b w:val="false"/>
          <w:color w:val="000000"/>
          <w:sz w:val="20"/>
        </w:rPr>
        <w:t>The table below summarizes our issuances of senior unsecured notes during the three years ended December 31, 2024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1251"/>
        <w:gridCol w:w="1251"/>
        <w:gridCol w:w="1255"/>
        <w:gridCol w:w="109"/>
        <w:gridCol w:w="109"/>
        <w:gridCol w:w="109"/>
        <w:gridCol w:w="447"/>
        <w:gridCol w:w="447"/>
        <w:gridCol w:w="453"/>
        <w:gridCol w:w="109"/>
        <w:gridCol w:w="109"/>
        <w:gridCol w:w="109"/>
        <w:gridCol w:w="245"/>
        <w:gridCol w:w="543"/>
        <w:gridCol w:w="128"/>
        <w:gridCol w:w="109"/>
        <w:gridCol w:w="109"/>
        <w:gridCol w:w="109"/>
        <w:gridCol w:w="682"/>
        <w:gridCol w:w="682"/>
        <w:gridCol w:w="97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Payment Dates</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5.70% Senior Notes issued at 99.953% of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and September 15</w:t>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we also completed the offering of $1 billion, 5.95% senior notes due June 2035 at a public offering price of 99.761%. Interest payments are due on June 15 and December 15 of each year, commencing on June 15,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Senior Notes Repayments.</w:t>
      </w:r>
      <w:r>
        <w:rPr>
          <w:color w:val="000000"/>
        </w:rPr>
        <w:t> </w:t>
      </w:r>
      <w:r>
        <w:rPr>
          <w:rFonts w:ascii="Times New Roman;sans-serif" w:hAnsi="Times New Roman;sans-serif"/>
          <w:b w:val="false"/>
          <w:color w:val="000000"/>
          <w:sz w:val="20"/>
        </w:rPr>
        <w:t xml:space="preserve">During the three years ended December 31, 2024, we repaid the following senior unsecured notes in full (in millions): </w:t>
      </w:r>
    </w:p>
    <w:p>
      <w:pPr>
        <w:pStyle w:val="TextBody"/>
        <w:bidi w:val="0"/>
        <w:spacing w:before="0" w:after="0"/>
        <w:jc w:val="left"/>
        <w:rPr/>
      </w:pPr>
      <w:r>
        <w:rPr/>
      </w:r>
    </w:p>
    <w:tbl>
      <w:tblPr>
        <w:tblW w:w="7817"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1498"/>
        <w:gridCol w:w="1498"/>
        <w:gridCol w:w="1518"/>
        <w:gridCol w:w="109"/>
        <w:gridCol w:w="109"/>
        <w:gridCol w:w="109"/>
        <w:gridCol w:w="469"/>
        <w:gridCol w:w="469"/>
        <w:gridCol w:w="471"/>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$750 million 3.60% Senior Notes due 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$700 million 3.85% Senior Notes due 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$400 million 2.85% Senior Notes due 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$750 million 3.65% Senior Notes due June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repaid these senior notes with proceeds from our 5.70% senior notes issued in June 2024, cash on hand and borrowings under our commercial paper program.</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repaid these senior notes with cash on hand and borrowings under our commercial paper program.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Maturities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maturity of our senior notes outstanding at December 31, 2024 was approximately 10 years. The following table presents the aggregate contractually scheduled maturities of such senior notes for the next five years and thereafter. The amounts presented exclude unamortized discounts and debt issuance costs.</w:t>
      </w:r>
    </w:p>
    <w:p>
      <w:pPr>
        <w:pStyle w:val="TextBody"/>
        <w:bidi w:val="0"/>
        <w:spacing w:before="0" w:after="0"/>
        <w:ind w:left="0" w:right="0" w:firstLine="720"/>
        <w:jc w:val="left"/>
        <w:rPr/>
      </w:pPr>
      <w:r>
        <w:rPr/>
      </w:r>
    </w:p>
    <w:tbl>
      <w:tblPr>
        <w:tblW w:w="2532" w:type="dxa"/>
        <w:jc w:val="left"/>
        <w:tblInd w:w="0" w:type="dxa"/>
        <w:tblLayout w:type="fixed"/>
        <w:tblCellMar>
          <w:top w:w="28" w:type="dxa"/>
          <w:left w:w="28" w:type="dxa"/>
          <w:bottom w:w="28" w:type="dxa"/>
          <w:right w:w="28" w:type="dxa"/>
        </w:tblCellMar>
      </w:tblPr>
      <w:tblGrid>
        <w:gridCol w:w="435"/>
        <w:gridCol w:w="382"/>
        <w:gridCol w:w="384"/>
        <w:gridCol w:w="109"/>
        <w:gridCol w:w="109"/>
        <w:gridCol w:w="109"/>
        <w:gridCol w:w="216"/>
        <w:gridCol w:w="631"/>
        <w:gridCol w:w="157"/>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Calendar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Payment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Covenants and Compliance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grant liens on certain property;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indebtedness, including finance leases;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sell substantially all of our assets or enter into a merger or consolidation;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engage in certain transactions with affiliates;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certain burdensome agreements.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agreements for our senior unsecured revolving credit facility and senior secured hedged inventory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2024, we were in compliance with the covenants contained in our credit agreements and indentures.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our credit facilities and commercial paper program for the years ended December 31, 2024, 2023 and 2022 were approximately $28.1 billion, $18.1 billion and $25.0 billion, respectively. Total repayments under our credit facilities and commercial paper program were approximately $28.1 billion, $17.7 billion and $25.0 billion for the years ended December 31, 2024, 2023 and 2022,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2024 and 2023, we had outstanding letters of credit of $90 million and $205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11—Partners’ Capital and Distributions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Units Outstanding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partners’ capital consisted of outstanding common units and Series A and Series B preferred units, which represent limited partner interests in us and which give the holders thereof the right to participate in distributions and to exercise the other rights or privileges as outlined in our partnership agreement. Our general partner has a non-economic interest in us.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Series A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to unitholders of record within 45 days following the end of each quarter.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Series A preferred unit distribution was equal to $0.525 per unit ($2.10 per unit annualized). After the fifth anniversary of the January 28, 2016 issuance date (the “Issuance Date”) of the Series A preferred units, the holders of the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12 for additional information. In January 2023, the Series A preferred unitholders elected the Preferred Distribution Rate Reset Option. Effective January 31, 2023, the new Series A preferred unit distribution rate is equal to 9.375% per annum of the original Issue Price (approximately $2.46 per unit annualized). The quarterly distribution paid in May 2023 reflected a pro-rated amount of approximately $0.585 per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all or any portion of the outstanding Series A preferred units (subject to certain redemption size limitations and limited to two redemption transactions) in exchange for cash, common units (valued at 95% of the volume-weighted average price of our common units for a trading period specified in our partnership agreement) or a combination of cash and common units at a redemption price equal to 110% of the Issue Price, plus any accrued and unpaid distributions. The holders may convert their Series A preferred units into common units, generally on a one-for-one basis and subject to customary anti-dilution adjustments, at any time, in whole or in part, subject to certain minimum conversion amounts (and not more often than once per quarter). The Series A preferred units vote on an as-converted basis with our common units on the election of directors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2025, we repurchased approximately 12.7 million units, or 18%, of our outstanding Series A preferred units at the Issue Price for a purchase price of approximately $333 million, plus accrued and unpaid distributions through January 30, 2025 of approximately $10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Series B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are payable quarterly in arrears on the 15th day of February, May, August and November of each year (or on the immediately succeeding Business Day).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0.26161%, plus 4.11% per annum. The distribution rate for the quarterly distribution paid on February 18, 2025 was 8.89507% per annum ($22.73 per Series B preferred unit).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for our preferred and common units: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919"/>
        <w:gridCol w:w="1687"/>
        <w:gridCol w:w="1690"/>
        <w:gridCol w:w="540"/>
        <w:gridCol w:w="541"/>
        <w:gridCol w:w="357"/>
        <w:gridCol w:w="109"/>
        <w:gridCol w:w="109"/>
        <w:gridCol w:w="109"/>
        <w:gridCol w:w="413"/>
        <w:gridCol w:w="413"/>
        <w:gridCol w:w="357"/>
        <w:gridCol w:w="109"/>
        <w:gridCol w:w="109"/>
        <w:gridCol w:w="109"/>
        <w:gridCol w:w="593"/>
        <w:gridCol w:w="593"/>
        <w:gridCol w:w="448"/>
      </w:tblGrid>
      <w:tr>
        <w:trPr/>
        <w:tc>
          <w:tcPr>
            <w:tcW w:w="191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Series A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br/>
              <w:t>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704,991,540 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under the Common Equity Repurchase Program</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(7,251,361)</w:t>
            </w:r>
          </w:p>
        </w:tc>
        <w:tc>
          <w:tcPr>
            <w:tcW w:w="4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614,319 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698,354,498 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2,654,251 </w:t>
            </w:r>
          </w:p>
        </w:tc>
        <w:tc>
          <w:tcPr>
            <w:tcW w:w="4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701,008,749 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2,761,551 </w:t>
            </w:r>
          </w:p>
        </w:tc>
        <w:tc>
          <w:tcPr>
            <w:tcW w:w="4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703,770,300 </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Common Equity Repurchase Program. </w:t>
      </w:r>
      <w:r>
        <w:rPr>
          <w:rFonts w:ascii="Times New Roman;sans-serif" w:hAnsi="Times New Roman;sans-serif"/>
          <w:b w:val="false"/>
          <w:color w:val="000000"/>
          <w:sz w:val="20"/>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16 for additional information regarding our ownership of PAGP Class C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Program during the years ended December 31, 2024 or 2023. During the year ended December 31, 2022, we repurchased common units under the Program through open market purchases for a total purchase price of $74 million, including commissions and fees. The repurchased common units were canceled immediately upon acquisition, as were the PAGP Class C shares held by us associated with the repurchased common units. At December 31, 2024, the remaining available capacity under the Program was $198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Allocation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determining basic and diluted net income per common unit, income is allocated as prescribed in FASB guidance for calculating earnings per unit, including a deduction to income available to common unitholders for distributions attributable to the period on our Series A and Series B preferred units. See Note 4 for additional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 to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Preferred Unit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A Preferred Unit Distributions.</w:t>
      </w:r>
      <w:r>
        <w:rPr>
          <w:color w:val="000000"/>
        </w:rPr>
        <w:t xml:space="preserve"> </w:t>
      </w:r>
      <w:r>
        <w:rPr>
          <w:rFonts w:ascii="Times New Roman;sans-serif" w:hAnsi="Times New Roman;sans-serif"/>
          <w:b w:val="false"/>
          <w:color w:val="000000"/>
          <w:sz w:val="20"/>
        </w:rPr>
        <w:t>The following table details distributions paid to our Series A preferred unitholders during the years presented (in millions, except unit data):</w:t>
      </w:r>
    </w:p>
    <w:p>
      <w:pPr>
        <w:pStyle w:val="TextBody"/>
        <w:bidi w:val="0"/>
        <w:spacing w:before="0" w:after="0"/>
        <w:jc w:val="left"/>
        <w:rPr/>
      </w:pPr>
      <w:r>
        <w:rPr/>
      </w:r>
    </w:p>
    <w:tbl>
      <w:tblPr>
        <w:tblW w:w="5450"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370"/>
        <w:gridCol w:w="819"/>
        <w:gridCol w:w="191"/>
        <w:gridCol w:w="190"/>
        <w:gridCol w:w="190"/>
        <w:gridCol w:w="539"/>
        <w:gridCol w:w="539"/>
        <w:gridCol w:w="541"/>
        <w:gridCol w:w="109"/>
        <w:gridCol w:w="109"/>
        <w:gridCol w:w="109"/>
        <w:gridCol w:w="211"/>
        <w:gridCol w:w="511"/>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c>
          <w:tcPr>
            <w:tcW w:w="1203" w:type="dxa"/>
            <w:gridSpan w:val="6"/>
            <w:tcBorders/>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c>
          <w:tcPr>
            <w:tcW w:w="1203" w:type="dxa"/>
            <w:gridSpan w:val="6"/>
            <w:tcBorders/>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2025, we paid a cash distribution of $36 million to our Series A preferred unitholders outstanding as of January 31, 2025. At December 31, 2024, such amount was accrued as distributions payable in “Other current liabilities” on our Consolidated Balance Sheet.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Series B Preferred Unit Distributions. </w:t>
      </w:r>
      <w:r>
        <w:rPr>
          <w:rFonts w:ascii="Times New Roman;sans-serif" w:hAnsi="Times New Roman;sans-serif"/>
          <w:b w:val="false"/>
          <w:color w:val="000000"/>
          <w:sz w:val="20"/>
        </w:rPr>
        <w:t>The following table details distributions paid to our Series B preferred unitholders during the years presented (in millions, except unit data):</w:t>
      </w:r>
    </w:p>
    <w:p>
      <w:pPr>
        <w:pStyle w:val="TextBody"/>
        <w:bidi w:val="0"/>
        <w:spacing w:before="0" w:after="0"/>
        <w:jc w:val="left"/>
        <w:rPr/>
      </w:pPr>
      <w:r>
        <w:rPr/>
      </w:r>
    </w:p>
    <w:tbl>
      <w:tblPr>
        <w:tblW w:w="4572"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427"/>
        <w:gridCol w:w="731"/>
        <w:gridCol w:w="222"/>
        <w:gridCol w:w="110"/>
        <w:gridCol w:w="110"/>
        <w:gridCol w:w="110"/>
        <w:gridCol w:w="110"/>
        <w:gridCol w:w="110"/>
        <w:gridCol w:w="110"/>
        <w:gridCol w:w="357"/>
        <w:gridCol w:w="1045"/>
        <w:gridCol w:w="26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18, 2025, we paid a cash distribution of $18 million ($22.73 per unit) to our Series B preferred unitholders. At December 31, 2024, approximately $9 million of accrued distributions payable to our Series B preferred unitholders was included in “Other current liabilities” on our Consolidated Balance Sheet.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Unit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common unitholders during the years presented (in millions, except per unit data):</w:t>
      </w:r>
    </w:p>
    <w:p>
      <w:pPr>
        <w:pStyle w:val="TextBody"/>
        <w:bidi w:val="0"/>
        <w:spacing w:before="0" w:after="0"/>
        <w:jc w:val="left"/>
        <w:rPr/>
      </w:pPr>
      <w:r>
        <w:rPr/>
      </w:r>
    </w:p>
    <w:tbl>
      <w:tblPr>
        <w:tblW w:w="5900"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09"/>
        <w:gridCol w:w="109"/>
        <w:gridCol w:w="109"/>
        <w:gridCol w:w="265"/>
        <w:gridCol w:w="906"/>
        <w:gridCol w:w="195"/>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Distributions per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Unit</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0.8325 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7, 2025, we declared a cash distribution of $0.38 per unit on our outstanding common units. The total distribution of $267 million was paid on February 14, 2025 to unitholders of record at the close of business on January 31, 2025, for the period from October 1, 2024 through December 31, 2024. Of this amount, approximately $88 million was paid to AAP.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noncontrolling interests in our subsidiaries consisted of (i) a 35% interest in the Permian JV, (ii) a 30% interest in Cactus II and (iii) a 33% interest in Red River Pipeline Company LLC (“Red River”). The transaction resulting in the recognition of noncontrolling interests in Cactus II is described below.</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of available cash from the Permian JV, Cactus II and Red River are paid in proportion to each owner’s interest in the entity. Cash available for distribution is cash on hand less the amount of cash required to fund normal operations and capital projects. The following table details distributions paid to noncontrolling interests during the years presented (in millions):</w:t>
      </w:r>
    </w:p>
    <w:p>
      <w:pPr>
        <w:pStyle w:val="TextBody"/>
        <w:bidi w:val="0"/>
        <w:spacing w:before="0" w:after="0"/>
        <w:jc w:val="left"/>
        <w:rPr/>
      </w:pPr>
      <w:r>
        <w:rPr/>
      </w:r>
    </w:p>
    <w:tbl>
      <w:tblPr>
        <w:tblW w:w="4301" w:type="dxa"/>
        <w:jc w:val="left"/>
        <w:tblInd w:w="0" w:type="dxa"/>
        <w:tblLayout w:type="fixed"/>
        <w:tblCellMar>
          <w:top w:w="28" w:type="dxa"/>
          <w:left w:w="28" w:type="dxa"/>
          <w:bottom w:w="28" w:type="dxa"/>
          <w:right w:w="28" w:type="dxa"/>
        </w:tblCellMar>
      </w:tblPr>
      <w:tblGrid>
        <w:gridCol w:w="451"/>
        <w:gridCol w:w="395"/>
        <w:gridCol w:w="398"/>
        <w:gridCol w:w="211"/>
        <w:gridCol w:w="466"/>
        <w:gridCol w:w="109"/>
        <w:gridCol w:w="109"/>
        <w:gridCol w:w="109"/>
        <w:gridCol w:w="109"/>
        <w:gridCol w:w="211"/>
        <w:gridCol w:w="466"/>
        <w:gridCol w:w="109"/>
        <w:gridCol w:w="109"/>
        <w:gridCol w:w="109"/>
        <w:gridCol w:w="109"/>
        <w:gridCol w:w="211"/>
        <w:gridCol w:w="46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JV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II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initial distribution from the Permian JV was paid during the first quarter of 2022, with approximately $54 million paid to noncontrolling interests.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12—Derivatives and Risk Management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December 31, 2024, net derivative positions related to these activities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long position of 7.4 million barrels associated with our crude oil purchases, which was unwound ratably during January 2025 to match monthly average pricing.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short time spread position of 4.8 million barrels, which hedges a portion of our anticipated crude oil lease gathering purchases through November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crude oil basis spread position of 1.8 million barrels at multiple locations through December 2025. These derivatives allow us to lock in grade and location basis differentials.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short position of 16.7 million barrels through December 2028 related to anticipated net sales of crude oil and NGL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2024.</w:t>
      </w:r>
    </w:p>
    <w:p>
      <w:pPr>
        <w:pStyle w:val="TextBody"/>
        <w:bidi w:val="0"/>
        <w:spacing w:before="0" w:after="0"/>
        <w:ind w:left="0" w:right="0" w:firstLine="720"/>
        <w:jc w:val="left"/>
        <w:rPr/>
      </w:pPr>
      <w:r>
        <w:rPr/>
      </w:r>
    </w:p>
    <w:tbl>
      <w:tblPr>
        <w:tblW w:w="5604" w:type="dxa"/>
        <w:jc w:val="left"/>
        <w:tblInd w:w="0" w:type="dxa"/>
        <w:tblLayout w:type="fixed"/>
        <w:tblCellMar>
          <w:top w:w="28" w:type="dxa"/>
          <w:left w:w="28" w:type="dxa"/>
          <w:bottom w:w="28" w:type="dxa"/>
          <w:right w:w="28" w:type="dxa"/>
        </w:tblCellMar>
      </w:tblPr>
      <w:tblGrid>
        <w:gridCol w:w="913"/>
        <w:gridCol w:w="800"/>
        <w:gridCol w:w="806"/>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b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49.3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2026</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2026</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jc w:val="left"/>
        <w:rPr/>
      </w:pPr>
      <w:r>
        <w:rPr/>
      </w:r>
    </w:p>
    <w:tbl>
      <w:tblPr>
        <w:tblW w:w="7347" w:type="dxa"/>
        <w:jc w:val="left"/>
        <w:tblInd w:w="0" w:type="dxa"/>
        <w:tblLayout w:type="fixed"/>
        <w:tblCellMar>
          <w:top w:w="28" w:type="dxa"/>
          <w:left w:w="28" w:type="dxa"/>
          <w:bottom w:w="28" w:type="dxa"/>
          <w:right w:w="28" w:type="dxa"/>
        </w:tblCellMar>
      </w:tblPr>
      <w:tblGrid>
        <w:gridCol w:w="1535"/>
        <w:gridCol w:w="1352"/>
        <w:gridCol w:w="1358"/>
        <w:gridCol w:w="211"/>
        <w:gridCol w:w="541"/>
        <w:gridCol w:w="109"/>
        <w:gridCol w:w="109"/>
        <w:gridCol w:w="109"/>
        <w:gridCol w:w="109"/>
        <w:gridCol w:w="211"/>
        <w:gridCol w:w="436"/>
        <w:gridCol w:w="109"/>
        <w:gridCol w:w="109"/>
        <w:gridCol w:w="109"/>
        <w:gridCol w:w="109"/>
        <w:gridCol w:w="211"/>
        <w:gridCol w:w="46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pStyle w:val="TextBody"/>
        <w:bidi w:val="0"/>
        <w:spacing w:before="0" w:after="0"/>
        <w:ind w:left="0" w:right="0" w:firstLine="720"/>
        <w:jc w:val="left"/>
        <w:rPr/>
      </w:pPr>
      <w:r>
        <w:rPr/>
      </w:r>
    </w:p>
    <w:tbl>
      <w:tblPr>
        <w:tblW w:w="4748" w:type="dxa"/>
        <w:jc w:val="left"/>
        <w:tblInd w:w="0" w:type="dxa"/>
        <w:tblLayout w:type="fixed"/>
        <w:tblCellMar>
          <w:top w:w="28" w:type="dxa"/>
          <w:left w:w="28" w:type="dxa"/>
          <w:bottom w:w="28" w:type="dxa"/>
          <w:right w:w="28" w:type="dxa"/>
        </w:tblCellMar>
      </w:tblPr>
      <w:tblGrid>
        <w:gridCol w:w="1064"/>
        <w:gridCol w:w="935"/>
        <w:gridCol w:w="940"/>
        <w:gridCol w:w="211"/>
        <w:gridCol w:w="361"/>
        <w:gridCol w:w="109"/>
        <w:gridCol w:w="109"/>
        <w:gridCol w:w="109"/>
        <w:gridCol w:w="109"/>
        <w:gridCol w:w="211"/>
        <w:gridCol w:w="43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posted/(returned)</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broker receivable/(payable)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pStyle w:val="TextBody"/>
        <w:bidi w:val="0"/>
        <w:spacing w:before="0" w:after="0"/>
        <w:jc w:val="left"/>
        <w:rPr/>
      </w:pPr>
      <w:r>
        <w:rPr/>
      </w:r>
    </w:p>
    <w:tbl>
      <w:tblPr>
        <w:tblW w:w="10402"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361"/>
        <w:gridCol w:w="109"/>
        <w:gridCol w:w="109"/>
        <w:gridCol w:w="109"/>
        <w:gridCol w:w="109"/>
        <w:gridCol w:w="211"/>
        <w:gridCol w:w="491"/>
        <w:gridCol w:w="109"/>
        <w:gridCol w:w="109"/>
        <w:gridCol w:w="109"/>
        <w:gridCol w:w="109"/>
        <w:gridCol w:w="260"/>
        <w:gridCol w:w="445"/>
        <w:gridCol w:w="136"/>
        <w:gridCol w:w="109"/>
        <w:gridCol w:w="109"/>
        <w:gridCol w:w="109"/>
        <w:gridCol w:w="251"/>
        <w:gridCol w:w="429"/>
        <w:gridCol w:w="131"/>
        <w:gridCol w:w="109"/>
        <w:gridCol w:w="109"/>
        <w:gridCol w:w="109"/>
        <w:gridCol w:w="109"/>
        <w:gridCol w:w="109"/>
        <w:gridCol w:w="109"/>
        <w:gridCol w:w="211"/>
        <w:gridCol w:w="466"/>
        <w:gridCol w:w="109"/>
        <w:gridCol w:w="109"/>
        <w:gridCol w:w="109"/>
        <w:gridCol w:w="109"/>
        <w:gridCol w:w="211"/>
        <w:gridCol w:w="491"/>
        <w:gridCol w:w="109"/>
        <w:gridCol w:w="109"/>
        <w:gridCol w:w="109"/>
        <w:gridCol w:w="109"/>
        <w:gridCol w:w="254"/>
        <w:gridCol w:w="454"/>
        <w:gridCol w:w="133"/>
        <w:gridCol w:w="109"/>
        <w:gridCol w:w="109"/>
        <w:gridCol w:w="109"/>
        <w:gridCol w:w="243"/>
        <w:gridCol w:w="434"/>
        <w:gridCol w:w="17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terms of our outstanding interest rate derivatives as of December 31, 2024 (notional amounts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7"/>
        <w:gridCol w:w="648"/>
        <w:gridCol w:w="650"/>
        <w:gridCol w:w="109"/>
        <w:gridCol w:w="109"/>
        <w:gridCol w:w="109"/>
        <w:gridCol w:w="620"/>
        <w:gridCol w:w="620"/>
        <w:gridCol w:w="621"/>
        <w:gridCol w:w="109"/>
        <w:gridCol w:w="109"/>
        <w:gridCol w:w="109"/>
        <w:gridCol w:w="211"/>
        <w:gridCol w:w="466"/>
        <w:gridCol w:w="109"/>
        <w:gridCol w:w="109"/>
        <w:gridCol w:w="109"/>
        <w:gridCol w:w="109"/>
        <w:gridCol w:w="465"/>
        <w:gridCol w:w="465"/>
        <w:gridCol w:w="466"/>
        <w:gridCol w:w="109"/>
        <w:gridCol w:w="109"/>
        <w:gridCol w:w="109"/>
        <w:gridCol w:w="361"/>
        <w:gridCol w:w="259"/>
        <w:gridCol w:w="648"/>
        <w:gridCol w:w="109"/>
        <w:gridCol w:w="109"/>
        <w:gridCol w:w="109"/>
        <w:gridCol w:w="356"/>
        <w:gridCol w:w="356"/>
        <w:gridCol w:w="512"/>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and Types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Expected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 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Accounting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Treatment</w:t>
            </w:r>
          </w:p>
        </w:tc>
      </w:tr>
      <w:tr>
        <w:trPr/>
        <w:tc>
          <w:tcPr>
            <w:tcW w:w="2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terminated $100 million of notional interest hedging instruments previously expected to terminate in June 2024 for proceeds of $57 million, which was recorded in AOCI. As of December 31, 2024, there was a net loss of $44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2024;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gain/(loss) recognized in AOCI for derivatives (in millions):</w:t>
      </w:r>
    </w:p>
    <w:p>
      <w:pPr>
        <w:pStyle w:val="TextBody"/>
        <w:bidi w:val="0"/>
        <w:spacing w:before="0" w:after="0"/>
        <w:jc w:val="left"/>
        <w:rPr/>
      </w:pPr>
      <w:r>
        <w:rPr/>
      </w:r>
    </w:p>
    <w:tbl>
      <w:tblPr>
        <w:tblW w:w="5097" w:type="dxa"/>
        <w:jc w:val="left"/>
        <w:tblInd w:w="0" w:type="dxa"/>
        <w:tblLayout w:type="fixed"/>
        <w:tblCellMar>
          <w:top w:w="28" w:type="dxa"/>
          <w:left w:w="28" w:type="dxa"/>
          <w:bottom w:w="28" w:type="dxa"/>
          <w:right w:w="28" w:type="dxa"/>
        </w:tblCellMar>
      </w:tblPr>
      <w:tblGrid>
        <w:gridCol w:w="853"/>
        <w:gridCol w:w="749"/>
        <w:gridCol w:w="753"/>
        <w:gridCol w:w="211"/>
        <w:gridCol w:w="361"/>
        <w:gridCol w:w="109"/>
        <w:gridCol w:w="109"/>
        <w:gridCol w:w="109"/>
        <w:gridCol w:w="109"/>
        <w:gridCol w:w="211"/>
        <w:gridCol w:w="361"/>
        <w:gridCol w:w="109"/>
        <w:gridCol w:w="109"/>
        <w:gridCol w:w="109"/>
        <w:gridCol w:w="109"/>
        <w:gridCol w:w="211"/>
        <w:gridCol w:w="36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the net fair value of our interest rate hedges, which was included in “Other long-term assets, net” on our Consolidated Balance Sheet, totaled $27 million. At December 31, 2023, the net fair value of these hedges totaled $51 million and $4 million, which were included in “Other current assets” and “Other long-term assets, net”,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Preferred Distribution Rate Reset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our partnership agreement, and recorded at fair value on our Consolidated Balance Sheet. The fair value of the Preferred Distribution Rate Reset Option, which was included in “Other long-term liabilities and deferred credits” on our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Consolidated Statements of Operations. For the years ended December 31, 2023 and 2022, we recognized a gain of $58 million and a net loss of $189 million, respectively. See Note 11 for additional information regarding the Preferred Distribution Rate Reset Option.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3"/>
        <w:gridCol w:w="856"/>
        <w:gridCol w:w="857"/>
        <w:gridCol w:w="109"/>
        <w:gridCol w:w="109"/>
        <w:gridCol w:w="109"/>
        <w:gridCol w:w="215"/>
        <w:gridCol w:w="369"/>
        <w:gridCol w:w="111"/>
        <w:gridCol w:w="111"/>
        <w:gridCol w:w="111"/>
        <w:gridCol w:w="111"/>
        <w:gridCol w:w="215"/>
        <w:gridCol w:w="405"/>
        <w:gridCol w:w="111"/>
        <w:gridCol w:w="111"/>
        <w:gridCol w:w="111"/>
        <w:gridCol w:w="111"/>
        <w:gridCol w:w="111"/>
        <w:gridCol w:w="111"/>
        <w:gridCol w:w="111"/>
        <w:gridCol w:w="111"/>
        <w:gridCol w:w="211"/>
        <w:gridCol w:w="395"/>
        <w:gridCol w:w="109"/>
        <w:gridCol w:w="109"/>
        <w:gridCol w:w="109"/>
        <w:gridCol w:w="109"/>
        <w:gridCol w:w="114"/>
        <w:gridCol w:w="114"/>
        <w:gridCol w:w="114"/>
        <w:gridCol w:w="244"/>
        <w:gridCol w:w="283"/>
        <w:gridCol w:w="114"/>
        <w:gridCol w:w="114"/>
        <w:gridCol w:w="114"/>
        <w:gridCol w:w="114"/>
        <w:gridCol w:w="221"/>
        <w:gridCol w:w="379"/>
        <w:gridCol w:w="114"/>
        <w:gridCol w:w="114"/>
        <w:gridCol w:w="114"/>
        <w:gridCol w:w="114"/>
        <w:gridCol w:w="114"/>
        <w:gridCol w:w="109"/>
        <w:gridCol w:w="109"/>
        <w:gridCol w:w="109"/>
        <w:gridCol w:w="211"/>
        <w:gridCol w:w="406"/>
        <w:gridCol w:w="175"/>
      </w:tblGrid>
      <w:tr>
        <w:trPr/>
        <w:tc>
          <w:tcPr>
            <w:tcW w:w="97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2024</w:t>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2023</w:t>
            </w:r>
          </w:p>
        </w:tc>
        <w:tc>
          <w:tcPr>
            <w:tcW w:w="1119" w:type="dxa"/>
            <w:gridSpan w:val="6"/>
            <w:tcBorders/>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2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our common unit price, and default probabilities which impacted timing estimates as to when the option would be exercised.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the Preferred Distribution Rate Reset Option embedded derivative, which was classified as Level 3 in the fair value hierarchy (in millions):</w:t>
      </w:r>
    </w:p>
    <w:tbl>
      <w:tblPr>
        <w:tblW w:w="10205" w:type="dxa"/>
        <w:jc w:val="left"/>
        <w:tblInd w:w="0" w:type="dxa"/>
        <w:tblLayout w:type="fixed"/>
        <w:tblCellMar>
          <w:top w:w="28" w:type="dxa"/>
          <w:left w:w="28" w:type="dxa"/>
          <w:bottom w:w="28" w:type="dxa"/>
          <w:right w:w="28" w:type="dxa"/>
        </w:tblCellMar>
      </w:tblPr>
      <w:tblGrid>
        <w:gridCol w:w="3219"/>
        <w:gridCol w:w="2817"/>
        <w:gridCol w:w="2833"/>
        <w:gridCol w:w="109"/>
        <w:gridCol w:w="109"/>
        <w:gridCol w:w="109"/>
        <w:gridCol w:w="109"/>
        <w:gridCol w:w="211"/>
        <w:gridCol w:w="534"/>
        <w:gridCol w:w="155"/>
      </w:tblGrid>
      <w:tr>
        <w:trPr/>
        <w:tc>
          <w:tcPr>
            <w:tcW w:w="321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8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8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for the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8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Lessee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storage tanks, land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56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lease cost, including both amounts recognized in income and amounts capitalized (in millions):</w:t>
      </w:r>
    </w:p>
    <w:p>
      <w:pPr>
        <w:pStyle w:val="TextBody"/>
        <w:bidi w:val="0"/>
        <w:spacing w:before="0" w:after="0"/>
        <w:ind w:left="0" w:right="0" w:firstLine="720"/>
        <w:jc w:val="left"/>
        <w:rPr/>
      </w:pPr>
      <w:r>
        <w:rPr/>
      </w:r>
    </w:p>
    <w:tbl>
      <w:tblPr>
        <w:tblW w:w="5183" w:type="dxa"/>
        <w:jc w:val="left"/>
        <w:tblInd w:w="0" w:type="dxa"/>
        <w:tblLayout w:type="fixed"/>
        <w:tblCellMar>
          <w:top w:w="28" w:type="dxa"/>
          <w:left w:w="28" w:type="dxa"/>
          <w:bottom w:w="28" w:type="dxa"/>
          <w:right w:w="28" w:type="dxa"/>
        </w:tblCellMar>
      </w:tblPr>
      <w:tblGrid>
        <w:gridCol w:w="649"/>
        <w:gridCol w:w="570"/>
        <w:gridCol w:w="580"/>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finance lease costs, variable lease costs and sublease income.</w:t>
      </w:r>
    </w:p>
    <w:p>
      <w:pPr>
        <w:pStyle w:val="TextBody"/>
        <w:bidi w:val="0"/>
        <w:spacing w:before="120" w:after="283"/>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related to cash flows arising from lease transactions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593"/>
        <w:gridCol w:w="2265"/>
        <w:gridCol w:w="2277"/>
        <w:gridCol w:w="109"/>
        <w:gridCol w:w="109"/>
        <w:gridCol w:w="109"/>
        <w:gridCol w:w="211"/>
        <w:gridCol w:w="361"/>
        <w:gridCol w:w="109"/>
        <w:gridCol w:w="109"/>
        <w:gridCol w:w="109"/>
        <w:gridCol w:w="109"/>
        <w:gridCol w:w="211"/>
        <w:gridCol w:w="361"/>
        <w:gridCol w:w="109"/>
        <w:gridCol w:w="109"/>
        <w:gridCol w:w="109"/>
        <w:gridCol w:w="109"/>
        <w:gridCol w:w="211"/>
        <w:gridCol w:w="361"/>
        <w:gridCol w:w="155"/>
      </w:tblGrid>
      <w:tr>
        <w:trPr/>
        <w:tc>
          <w:tcPr>
            <w:tcW w:w="259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lease liabilities arising from obtaining new right-of-use assets or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related to the weighted-average remaining lease term and discount rate is presented in the table below:</w:t>
      </w:r>
    </w:p>
    <w:p>
      <w:pPr>
        <w:pStyle w:val="TextBody"/>
        <w:bidi w:val="0"/>
        <w:spacing w:before="0" w:after="0"/>
        <w:ind w:left="0" w:right="0" w:firstLine="720"/>
        <w:jc w:val="left"/>
        <w:rPr/>
      </w:pPr>
      <w:r>
        <w:rPr/>
      </w:r>
    </w:p>
    <w:tbl>
      <w:tblPr>
        <w:tblW w:w="6120" w:type="dxa"/>
        <w:jc w:val="left"/>
        <w:tblInd w:w="0" w:type="dxa"/>
        <w:tblLayout w:type="fixed"/>
        <w:tblCellMar>
          <w:top w:w="28" w:type="dxa"/>
          <w:left w:w="28" w:type="dxa"/>
          <w:bottom w:w="28" w:type="dxa"/>
          <w:right w:w="28" w:type="dxa"/>
        </w:tblCellMar>
      </w:tblPr>
      <w:tblGrid>
        <w:gridCol w:w="1516"/>
        <w:gridCol w:w="1331"/>
        <w:gridCol w:w="1337"/>
        <w:gridCol w:w="255"/>
        <w:gridCol w:w="256"/>
        <w:gridCol w:w="271"/>
        <w:gridCol w:w="109"/>
        <w:gridCol w:w="109"/>
        <w:gridCol w:w="109"/>
        <w:gridCol w:w="255"/>
        <w:gridCol w:w="256"/>
        <w:gridCol w:w="316"/>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and location of our operating and finance lease right-of-use assets and liabilities on our Consolidated Balance Sheets (in millions):</w:t>
      </w:r>
    </w:p>
    <w:p>
      <w:pPr>
        <w:pStyle w:val="TextBody"/>
        <w:bidi w:val="0"/>
        <w:spacing w:before="0" w:after="0"/>
        <w:ind w:left="0" w:right="0" w:firstLine="720"/>
        <w:jc w:val="left"/>
        <w:rPr/>
      </w:pPr>
      <w:r>
        <w:rPr/>
      </w:r>
    </w:p>
    <w:tbl>
      <w:tblPr>
        <w:tblW w:w="9617" w:type="dxa"/>
        <w:jc w:val="left"/>
        <w:tblInd w:w="0" w:type="dxa"/>
        <w:tblLayout w:type="fixed"/>
        <w:tblCellMar>
          <w:top w:w="28" w:type="dxa"/>
          <w:left w:w="28" w:type="dxa"/>
          <w:bottom w:w="28" w:type="dxa"/>
          <w:right w:w="28" w:type="dxa"/>
        </w:tblCellMar>
      </w:tblPr>
      <w:tblGrid>
        <w:gridCol w:w="1062"/>
        <w:gridCol w:w="929"/>
        <w:gridCol w:w="949"/>
        <w:gridCol w:w="109"/>
        <w:gridCol w:w="109"/>
        <w:gridCol w:w="109"/>
        <w:gridCol w:w="1358"/>
        <w:gridCol w:w="1358"/>
        <w:gridCol w:w="1363"/>
        <w:gridCol w:w="109"/>
        <w:gridCol w:w="109"/>
        <w:gridCol w:w="109"/>
        <w:gridCol w:w="211"/>
        <w:gridCol w:w="466"/>
        <w:gridCol w:w="109"/>
        <w:gridCol w:w="109"/>
        <w:gridCol w:w="109"/>
        <w:gridCol w:w="109"/>
        <w:gridCol w:w="211"/>
        <w:gridCol w:w="46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 right-of-use assets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 liabilities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right-of-use assets of $26 million and $28 million and lease liabilities of $33 million and $34 million as of December 31, 2024 and 2023, respectively, associated with leased storage tanks owned by an equity method investee, in which we own a 50% interest.</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maturity of undiscounted cash flows for future minimum lease payments under noncancelable leases as of December 31, 2024 reconciled to our lease liabilities on our Consolidated Balance Sheet (amounts in millions):</w:t>
      </w:r>
    </w:p>
    <w:p>
      <w:pPr>
        <w:pStyle w:val="TextBody"/>
        <w:bidi w:val="0"/>
        <w:spacing w:before="0" w:after="0"/>
        <w:ind w:left="0" w:right="0" w:firstLine="720"/>
        <w:jc w:val="left"/>
        <w:rPr/>
      </w:pPr>
      <w:r>
        <w:rPr/>
      </w:r>
    </w:p>
    <w:tbl>
      <w:tblPr>
        <w:tblW w:w="5096" w:type="dxa"/>
        <w:jc w:val="left"/>
        <w:tblInd w:w="0" w:type="dxa"/>
        <w:tblLayout w:type="fixed"/>
        <w:tblCellMar>
          <w:top w:w="28" w:type="dxa"/>
          <w:left w:w="28" w:type="dxa"/>
          <w:bottom w:w="28" w:type="dxa"/>
          <w:right w:w="28" w:type="dxa"/>
        </w:tblCellMar>
      </w:tblPr>
      <w:tblGrid>
        <w:gridCol w:w="1096"/>
        <w:gridCol w:w="965"/>
        <w:gridCol w:w="968"/>
        <w:gridCol w:w="229"/>
        <w:gridCol w:w="507"/>
        <w:gridCol w:w="120"/>
        <w:gridCol w:w="109"/>
        <w:gridCol w:w="109"/>
        <w:gridCol w:w="109"/>
        <w:gridCol w:w="257"/>
        <w:gridCol w:w="440"/>
        <w:gridCol w:w="187"/>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Finance </w:t>
            </w:r>
            <w:r>
              <w:rPr>
                <w:rFonts w:ascii="Times New Roman;sans-serif" w:hAnsi="Times New Roman;sans-serif"/>
                <w:b/>
                <w:color w:val="000000"/>
                <w:sz w:val="10"/>
              </w:rPr>
              <w:t>(2)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Future minimum lease payments</w:t>
            </w:r>
            <w:r>
              <w:rPr>
                <w:color w:val="000000"/>
              </w:rPr>
              <w:t xml:space="preserve">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Excludes future minimum payments for short-term and other immaterial leases not included on our Consolidated Balance Sheet.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payments of approximately $6 million for each of the years ending 2025 through 2029 and approximately $39 million thereafter associated with leased storage tanks owned by an equity method investee, in which we own a 50% interest.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Lessor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lease revenue for the periods indicated (in millions):</w:t>
      </w:r>
    </w:p>
    <w:p>
      <w:pPr>
        <w:pStyle w:val="TextBody"/>
        <w:bidi w:val="0"/>
        <w:spacing w:before="0" w:after="0"/>
        <w:ind w:left="0" w:right="0" w:firstLine="720"/>
        <w:jc w:val="left"/>
        <w:rPr/>
      </w:pPr>
      <w:r>
        <w:rPr/>
      </w:r>
    </w:p>
    <w:tbl>
      <w:tblPr>
        <w:tblW w:w="5349" w:type="dxa"/>
        <w:jc w:val="left"/>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amounts are included in “Services revenues” on our Consolidated Statements of Operations.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maturity of lease payments for operating lease agreements in effect as of December 31, 2024. This presentation includes minimum fixed lease payments and does not include an estimate of variable lease consideration. These agreements have remaining lease terms ranging from one year to 17 years. The following table presents the undiscounted cash flows expected to be received related to these agreements (in millions):</w:t>
      </w:r>
    </w:p>
    <w:p>
      <w:pPr>
        <w:pStyle w:val="TextBody"/>
        <w:bidi w:val="0"/>
        <w:spacing w:before="0" w:after="0"/>
        <w:ind w:left="0" w:right="0" w:firstLine="720"/>
        <w:jc w:val="left"/>
        <w:rPr/>
      </w:pPr>
      <w:r>
        <w:rPr/>
      </w:r>
    </w:p>
    <w:tbl>
      <w:tblPr>
        <w:tblW w:w="8580" w:type="dxa"/>
        <w:jc w:val="left"/>
        <w:tblInd w:w="0" w:type="dxa"/>
        <w:tblLayout w:type="fixed"/>
        <w:tblCellMar>
          <w:top w:w="28" w:type="dxa"/>
          <w:left w:w="28" w:type="dxa"/>
          <w:bottom w:w="28" w:type="dxa"/>
          <w:right w:w="28" w:type="dxa"/>
        </w:tblCellMar>
      </w:tblPr>
      <w:tblGrid>
        <w:gridCol w:w="944"/>
        <w:gridCol w:w="831"/>
        <w:gridCol w:w="834"/>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36"/>
        <w:gridCol w:w="522"/>
        <w:gridCol w:w="173"/>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14—Income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2024 and 2023, we had not recognized any material amounts in connection with uncertainty in income taxes.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Federal and State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MLP, we are not subject to U.S. federal income taxes; rather the tax effect of our operations is passed through to our unitholders. Although we are subject to state income taxes in some states, the impact to the years ended December 31, 2024, 2023, and 2022 was immaterial.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Federal and Provincial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Tax Components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income tax expense are as follows (in millions):</w:t>
      </w:r>
    </w:p>
    <w:p>
      <w:pPr>
        <w:pStyle w:val="TextBody"/>
        <w:bidi w:val="0"/>
        <w:spacing w:before="0" w:after="0"/>
        <w:ind w:left="0" w:right="0" w:firstLine="720"/>
        <w:jc w:val="left"/>
        <w:rPr/>
      </w:pPr>
      <w:r>
        <w:rPr/>
      </w:r>
    </w:p>
    <w:tbl>
      <w:tblPr>
        <w:tblW w:w="8292" w:type="dxa"/>
        <w:jc w:val="center"/>
        <w:tblInd w:w="0" w:type="dxa"/>
        <w:tblLayout w:type="fixed"/>
        <w:tblCellMar>
          <w:top w:w="28" w:type="dxa"/>
          <w:left w:w="28" w:type="dxa"/>
          <w:bottom w:w="28" w:type="dxa"/>
          <w:right w:w="28" w:type="dxa"/>
        </w:tblCellMar>
      </w:tblPr>
      <w:tblGrid>
        <w:gridCol w:w="1898"/>
        <w:gridCol w:w="1662"/>
        <w:gridCol w:w="1675"/>
        <w:gridCol w:w="211"/>
        <w:gridCol w:w="466"/>
        <w:gridCol w:w="109"/>
        <w:gridCol w:w="109"/>
        <w:gridCol w:w="109"/>
        <w:gridCol w:w="109"/>
        <w:gridCol w:w="211"/>
        <w:gridCol w:w="466"/>
        <w:gridCol w:w="109"/>
        <w:gridCol w:w="109"/>
        <w:gridCol w:w="109"/>
        <w:gridCol w:w="109"/>
        <w:gridCol w:w="211"/>
        <w:gridCol w:w="466"/>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income and withholding 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income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income tax expense based on the statutory federal income tax rate and our effective income tax expense is summarized as follows (in millions):</w:t>
      </w:r>
    </w:p>
    <w:p>
      <w:pPr>
        <w:pStyle w:val="TextBody"/>
        <w:bidi w:val="0"/>
        <w:spacing w:before="0" w:after="0"/>
        <w:ind w:left="0" w:right="0" w:firstLine="720"/>
        <w:jc w:val="left"/>
        <w:rPr/>
      </w:pPr>
      <w:r>
        <w:rPr/>
      </w:r>
    </w:p>
    <w:tbl>
      <w:tblPr>
        <w:tblW w:w="7291" w:type="dxa"/>
        <w:jc w:val="left"/>
        <w:tblInd w:w="0" w:type="dxa"/>
        <w:tblLayout w:type="fixed"/>
        <w:tblCellMar>
          <w:top w:w="28" w:type="dxa"/>
          <w:left w:w="28" w:type="dxa"/>
          <w:bottom w:w="28" w:type="dxa"/>
          <w:right w:w="28" w:type="dxa"/>
        </w:tblCellMar>
      </w:tblPr>
      <w:tblGrid>
        <w:gridCol w:w="1516"/>
        <w:gridCol w:w="1329"/>
        <w:gridCol w:w="1340"/>
        <w:gridCol w:w="229"/>
        <w:gridCol w:w="284"/>
        <w:gridCol w:w="287"/>
        <w:gridCol w:w="111"/>
        <w:gridCol w:w="111"/>
        <w:gridCol w:w="111"/>
        <w:gridCol w:w="229"/>
        <w:gridCol w:w="284"/>
        <w:gridCol w:w="287"/>
        <w:gridCol w:w="111"/>
        <w:gridCol w:w="111"/>
        <w:gridCol w:w="111"/>
        <w:gridCol w:w="224"/>
        <w:gridCol w:w="246"/>
        <w:gridCol w:w="370"/>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earnings not subject to Canadian tax</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corporate tax rate</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rate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withholding tax</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Canadian permanent differences</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aggregated by the applicable tax paying entity and jurisdiction and result from the following (in millions):</w:t>
      </w:r>
    </w:p>
    <w:p>
      <w:pPr>
        <w:pStyle w:val="TextBody"/>
        <w:bidi w:val="0"/>
        <w:spacing w:before="0" w:after="0"/>
        <w:ind w:left="0" w:right="0" w:firstLine="720"/>
        <w:jc w:val="left"/>
        <w:rPr/>
      </w:pPr>
      <w:r>
        <w:rPr/>
      </w:r>
    </w:p>
    <w:tbl>
      <w:tblPr>
        <w:tblW w:w="7208" w:type="dxa"/>
        <w:jc w:val="left"/>
        <w:tblInd w:w="0" w:type="dxa"/>
        <w:tblLayout w:type="fixed"/>
        <w:tblCellMar>
          <w:top w:w="28" w:type="dxa"/>
          <w:left w:w="28" w:type="dxa"/>
          <w:bottom w:w="28" w:type="dxa"/>
          <w:right w:w="28" w:type="dxa"/>
        </w:tblCellMar>
      </w:tblPr>
      <w:tblGrid>
        <w:gridCol w:w="1856"/>
        <w:gridCol w:w="1627"/>
        <w:gridCol w:w="1631"/>
        <w:gridCol w:w="211"/>
        <w:gridCol w:w="541"/>
        <w:gridCol w:w="109"/>
        <w:gridCol w:w="109"/>
        <w:gridCol w:w="109"/>
        <w:gridCol w:w="109"/>
        <w:gridCol w:w="211"/>
        <w:gridCol w:w="541"/>
        <w:gridCol w:w="154"/>
      </w:tblGrid>
      <w:tr>
        <w:trPr/>
        <w:tc>
          <w:tcPr>
            <w:tcW w:w="185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 excess of tax values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classification of deferred tax assets/(liabilities):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tax returns for our Canadian entities are open to audit from 2018 through 2024. Our U.S. and state tax years are generally open to examination from 2021 to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in reference to tax years 2012 to 2019,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$177 million (based on the exchange rate as of December 31, 2024). Payment of a portion of the assessment is required in order to file a notice of objection to dispute the reassessment. Accordingly, we have remitted approximately $97 million (based on the exchange rate as of December 31, 2024)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2024, we believe that our tax position associated with these matters is “more likely than not” to be sustained and have not recognized any amounts for uncertainty in income taxes related to these notices.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15—Major Customers and Concentration of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ExxonMobil Corporation and its subsidiaries accounted for 30%, 26% and 20% of our revenues for the years ended December 31, 2024, 2023 and 2022, respectively. BP p.l.c. and its subsidiaries accounted for 10% of our revenues for the year ended December 31, 2023. No other customers accounted for 10% or more of our revenues during any of the three years ended December 31, 2024.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16—Related Party Transactions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Ownership of PAGP Class C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we owned 542,004,838 and 539,445,289, respectively, Class C shares of PAGP. Each Class C share represents a non-economic limited partner interest in PAGP. The Class C shares function as a “pass-through” voting mechanism through which we vote at the direction of and as proxy for our common unitholders (other than AAP) and Series A preferred unitholders in such director elections. The number of Class C shares that we own is equal to the number of outstanding common units and Series A preferred units that are entitled to vote, pro rata with the holders of PAGP Class A and Class B shares, for the election of eligible PAGP GP directors. Common units held by AAP and Series B preferred units are not entitled to vote in the election of directors.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Reimbursement of Our General Partner and its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conduct our business. We record these costs on the accrual basis in the period in which our general partner incurs them. Our partnership agreement provides that our general partner will, in a manner it deems in its sole discretion to be reasonable, determine the expenses that are allocable to us. Total costs reimbursed by us to our general partner for the years ended December 31, 2024, 2023 and 2022 were $583 million, $546 million and $476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Omnibus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Plains Entities entered into an Omnibus Agreement on November 15, 2016, which provides for, among other things,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Amounts paid on behalf of the PAGP Entities during the years ended December 31, 2024, 2023 and 2022 were not material;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PAGP to lend proceeds of any future indebtedness incurred by it to AAP, and AAP’s corresponding ability to lend such proceeds to us, in each case on substantially the same terms as incurred by PAGP.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Promissory Notes with our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certain Plains entities have issued promissory notes to facilitate financing. In March 2023, we assigned PAGP our interest in an existing unsecured promissory note due from a consolidated subsidiary (“March 2023 note payable”) with a face value of CAD$500 million (approximately $370 million). Concurrently, PAGP issued an unsecured promissory note to us (“March 2023 note receivable”) for the same face value amount. Both notes are due April 2027 and bear interest at a rate of 8.25% per annum, payable semi-annually.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a consolidated subsidiary issued additional unsecured promissory notes to PAGP (collectively with the March 2023 note payable, the “related party notes payable”) with a face value of CAD$865 million (approximately $629 million). Concurrently, PAGP issued unsecured promissory notes to us (collectively with the March 2023 note receivable, the “related party notes receivable”) for the same face value amount. These notes are due September 2034 and bear interest at a rate of 6.50% per annum, payable semi-annually. In connection with the July 2024 issuance of related party notes, we received cash from PAGP of $629 million, which is reflected in “Proceeds from the issuance of related party notes” (a component of cash flows from financing activities), and we paid an equal and offsetting amount of cash to PAGP, which is reflected in “Investments in related party notes” (a component of cash flows from investing activities) on our Consolidated Statement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determined the interest rates for the related party notes in accordance with the arm’s-length principle set forth in the OECD’s Transfer Pricing Guidelines for Multinational Enterprises and Tax Administrations (the “OECD Guidelines”), issued January 20, 2022, and the transfer pricing provisions of Section 247 of Canada’s Income Tax 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 receivable/payable was $27 million and $10 million as of December 31, 2024 and 2023, respectively. Interest income/expense on the related party notes totaled $48 million and $25 million for the years ended December 31, 2024 and 2023,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our outstanding related party notes receivable and related party notes payable balances were as follows (in millions):</w:t>
      </w:r>
    </w:p>
    <w:p>
      <w:pPr>
        <w:pStyle w:val="TextBody"/>
        <w:bidi w:val="0"/>
        <w:spacing w:before="0" w:after="0"/>
        <w:jc w:val="left"/>
        <w:rPr/>
      </w:pPr>
      <w:r>
        <w:rPr/>
      </w:r>
    </w:p>
    <w:tbl>
      <w:tblPr>
        <w:tblW w:w="5240" w:type="dxa"/>
        <w:jc w:val="left"/>
        <w:tblInd w:w="0" w:type="dxa"/>
        <w:tblLayout w:type="fixed"/>
        <w:tblCellMar>
          <w:top w:w="28" w:type="dxa"/>
          <w:left w:w="28" w:type="dxa"/>
          <w:bottom w:w="28" w:type="dxa"/>
          <w:right w:w="28" w:type="dxa"/>
        </w:tblCellMar>
      </w:tblPr>
      <w:tblGrid>
        <w:gridCol w:w="1010"/>
        <w:gridCol w:w="888"/>
        <w:gridCol w:w="891"/>
        <w:gridCol w:w="293"/>
        <w:gridCol w:w="648"/>
        <w:gridCol w:w="153"/>
        <w:gridCol w:w="293"/>
        <w:gridCol w:w="648"/>
        <w:gridCol w:w="153"/>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notes receivable </w:t>
            </w:r>
            <w:r>
              <w:rPr>
                <w:rFonts w:ascii="Times New Roman;sans-serif" w:hAnsi="Times New Roman;sans-serif"/>
                <w:b w:val="false"/>
                <w:color w:val="000000"/>
                <w:sz w:val="13"/>
              </w:rPr>
              <w:t>(1)</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notes payable </w:t>
            </w:r>
            <w:r>
              <w:rPr>
                <w:rFonts w:ascii="Times New Roman;sans-serif" w:hAnsi="Times New Roman;sans-serif"/>
                <w:b w:val="false"/>
                <w:color w:val="000000"/>
                <w:sz w:val="13"/>
              </w:rPr>
              <w:t>(1)</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have elected to present our related party notes with the same counterparty on a net basis on our Consolidated Balance Sheets because there is a legal right to offset and we intend to offset with the counterparty.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a consolidated subsidiary issued an additional unsecured promissory note to PAGP with a face value of CAD$473 million (approximately $330 million). Concurrently, PAGP issued an unsecured promissory note to us for the same face value amount. These notes are due June 2035 and bear interest at a rate of 5.75% per annum, payable semi-annually. The interest rate for such notes was determined in accordance with the arm’s-length principle set forth in the OECD Guidelines and the transfer pricing provisions of Section 247 of Canada’s Income Tax 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other related parties include entities in which we hold investments and account for under the equity method of accounting (see Note 8 for information regarding such entities). During the three years ended December 31, 2024, we recognized sales and transportation revenues, purchased petroleum products and utilized transportation and storage services from our related parties. These transactions were conducted at posted tariff rates or prices that we believe approximate market.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to our Consolidated Statements of Operations from these transactions is included below (in millions):</w:t>
      </w:r>
    </w:p>
    <w:p>
      <w:pPr>
        <w:pStyle w:val="TextBody"/>
        <w:bidi w:val="0"/>
        <w:spacing w:before="0" w:after="0"/>
        <w:ind w:left="0" w:right="0" w:firstLine="720"/>
        <w:jc w:val="left"/>
        <w:rPr/>
      </w:pPr>
      <w:r>
        <w:rPr/>
      </w:r>
    </w:p>
    <w:tbl>
      <w:tblPr>
        <w:tblW w:w="6971" w:type="dxa"/>
        <w:jc w:val="left"/>
        <w:tblInd w:w="0" w:type="dxa"/>
        <w:tblLayout w:type="fixed"/>
        <w:tblCellMar>
          <w:top w:w="28" w:type="dxa"/>
          <w:left w:w="28" w:type="dxa"/>
          <w:bottom w:w="28" w:type="dxa"/>
          <w:right w:w="28" w:type="dxa"/>
        </w:tblCellMar>
      </w:tblPr>
      <w:tblGrid>
        <w:gridCol w:w="1419"/>
        <w:gridCol w:w="1243"/>
        <w:gridCol w:w="1252"/>
        <w:gridCol w:w="211"/>
        <w:gridCol w:w="466"/>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Consolidated Balance Sheets were as follows (in millions):</w:t>
      </w:r>
    </w:p>
    <w:p>
      <w:pPr>
        <w:pStyle w:val="TextBody"/>
        <w:bidi w:val="0"/>
        <w:spacing w:before="0" w:after="0"/>
        <w:ind w:left="0" w:right="0" w:firstLine="720"/>
        <w:jc w:val="left"/>
        <w:rPr/>
      </w:pPr>
      <w:r>
        <w:rPr/>
      </w:r>
    </w:p>
    <w:tbl>
      <w:tblPr>
        <w:tblW w:w="7899" w:type="dxa"/>
        <w:jc w:val="left"/>
        <w:tblInd w:w="0" w:type="dxa"/>
        <w:tblLayout w:type="fixed"/>
        <w:tblCellMar>
          <w:top w:w="28" w:type="dxa"/>
          <w:left w:w="28" w:type="dxa"/>
          <w:bottom w:w="28" w:type="dxa"/>
          <w:right w:w="28" w:type="dxa"/>
        </w:tblCellMar>
      </w:tblPr>
      <w:tblGrid>
        <w:gridCol w:w="2230"/>
        <w:gridCol w:w="1962"/>
        <w:gridCol w:w="1973"/>
        <w:gridCol w:w="211"/>
        <w:gridCol w:w="361"/>
        <w:gridCol w:w="109"/>
        <w:gridCol w:w="109"/>
        <w:gridCol w:w="109"/>
        <w:gridCol w:w="109"/>
        <w:gridCol w:w="211"/>
        <w:gridCol w:w="361"/>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 xml:space="preserve">(1) (2)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amounts related to transportation and storage services and amounts owed to us or advanced to us related to investment capital projects of equity method investees where we serve as construction manager.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17—Equity-Indexed Compensation Plans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equity-indexed compensation plans primarily include LTIPs. 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awards authorized under our LTIPs as of December 31, 2024 (in millions):</w:t>
      </w:r>
    </w:p>
    <w:p>
      <w:pPr>
        <w:pStyle w:val="TextBody"/>
        <w:bidi w:val="0"/>
        <w:spacing w:before="0" w:after="0"/>
        <w:ind w:left="0" w:right="0" w:firstLine="720"/>
        <w:jc w:val="left"/>
        <w:rPr/>
      </w:pPr>
      <w:r>
        <w:rPr/>
      </w:r>
    </w:p>
    <w:tbl>
      <w:tblPr>
        <w:tblW w:w="8156" w:type="dxa"/>
        <w:jc w:val="left"/>
        <w:tblInd w:w="0" w:type="dxa"/>
        <w:tblLayout w:type="fixed"/>
        <w:tblCellMar>
          <w:top w:w="28" w:type="dxa"/>
          <w:left w:w="28" w:type="dxa"/>
          <w:bottom w:w="28" w:type="dxa"/>
          <w:right w:w="28" w:type="dxa"/>
        </w:tblCellMar>
      </w:tblPr>
      <w:tblGrid>
        <w:gridCol w:w="2257"/>
        <w:gridCol w:w="1997"/>
        <w:gridCol w:w="2015"/>
        <w:gridCol w:w="109"/>
        <w:gridCol w:w="109"/>
        <w:gridCol w:w="109"/>
        <w:gridCol w:w="456"/>
        <w:gridCol w:w="456"/>
        <w:gridCol w:w="648"/>
      </w:tblGrid>
      <w:tr>
        <w:trPr/>
        <w:tc>
          <w:tcPr>
            <w:tcW w:w="225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LTIP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LTIP </w:t>
              <w:br/>
              <w:t>Awards Authorized</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2021 Long-Term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PNG Successor Long-Term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 2006 Long-Term Incentive Tracking Unit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Of the 43.5 million total awards authorized, 16.0 million awards are currently available for future grant. The remaining balance has already vested or is currently outstanding.</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10.5 million LTIP awards were outstanding. Of the awards outstanding, 8.6 million include associated DERs. At December 31, 2024, certain of the outstanding LTIP awards were considered probable of vesting and such awards are expected to vest at various dates between August 2025 and August 2028. As of December 31, 2024, the outstanding awards that are considered probable of vesting have a remaining unrecognized fair value of approximately $65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commitments (some of which are leases) related to real property, equipment and operating facilities. We also incur costs associated with leased land, rights-of-way, permits and regulatory fees. Future noncancelable commitments related to these items at December 31, 2024 are summarized below (in millions): </w:t>
      </w:r>
    </w:p>
    <w:p>
      <w:pPr>
        <w:pStyle w:val="TextBody"/>
        <w:bidi w:val="0"/>
        <w:spacing w:before="0" w:after="0"/>
        <w:ind w:left="0" w:right="0" w:firstLine="720"/>
        <w:jc w:val="left"/>
        <w:rPr/>
      </w:pPr>
      <w:r>
        <w:rPr/>
      </w:r>
    </w:p>
    <w:tbl>
      <w:tblPr>
        <w:tblW w:w="9678" w:type="dxa"/>
        <w:jc w:val="left"/>
        <w:tblInd w:w="0" w:type="dxa"/>
        <w:tblLayout w:type="fixed"/>
        <w:tblCellMar>
          <w:top w:w="28" w:type="dxa"/>
          <w:left w:w="28" w:type="dxa"/>
          <w:bottom w:w="28" w:type="dxa"/>
          <w:right w:w="28" w:type="dxa"/>
        </w:tblCellMar>
      </w:tblPr>
      <w:tblGrid>
        <w:gridCol w:w="693"/>
        <w:gridCol w:w="609"/>
        <w:gridCol w:w="61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commitments </w:t>
            </w:r>
            <w:r>
              <w:rPr>
                <w:rFonts w:ascii="Times New Roman;sans-serif" w:hAnsi="Times New Roman;sans-serif"/>
                <w:b w:val="false"/>
                <w:color w:val="000000"/>
                <w:sz w:val="13"/>
              </w:rPr>
              <w:t>(2)</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both operating and finance leases as defined by FASB guidance. Leases are primarily for (i) railcars, (ii) office space, (iii) land, (iv) vehicles, (v) storage tanks and (vi) tractor trailers. See Note 13 for additional information.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Primarily includes storage, transportation and pipeline throughput agreements, as well as certain rights-of-way easements. Expense associated with our storage, transportation and pipeline throughput agreements was approximately $387 million, $396 million and $336 million for 2024, 2023 and 2022,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 Other commitments for 2025 also include amounts associated with an agreement to purchase a crude oil gathering business in the Delaware Basin for $161 million (approximately $105 million net to our 65% interest in the Permian JV), net of a cash deposit of approximately $16 million paid in December 2024. See Note 7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Loss Contingencies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Proceedings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Environmental — General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estimated undiscounted reserve for environmental liabilities (excluding liabilities related to the Line 901 incident, as discussed further below) were reflected on our Consolidated Balance Sheets as follows (in millions):</w:t>
      </w:r>
    </w:p>
    <w:p>
      <w:pPr>
        <w:pStyle w:val="TextBody"/>
        <w:bidi w:val="0"/>
        <w:spacing w:before="0" w:after="0"/>
        <w:ind w:left="0" w:right="0" w:firstLine="720"/>
        <w:jc w:val="left"/>
        <w:rPr/>
      </w:pPr>
      <w:r>
        <w:rPr/>
      </w:r>
    </w:p>
    <w:tbl>
      <w:tblPr>
        <w:tblW w:w="6641" w:type="dxa"/>
        <w:jc w:val="left"/>
        <w:tblInd w:w="0" w:type="dxa"/>
        <w:tblLayout w:type="fixed"/>
        <w:tblCellMar>
          <w:top w:w="28" w:type="dxa"/>
          <w:left w:w="28" w:type="dxa"/>
          <w:bottom w:w="28" w:type="dxa"/>
          <w:right w:w="28" w:type="dxa"/>
        </w:tblCellMar>
      </w:tblPr>
      <w:tblGrid>
        <w:gridCol w:w="1476"/>
        <w:gridCol w:w="1300"/>
        <w:gridCol w:w="1304"/>
        <w:gridCol w:w="338"/>
        <w:gridCol w:w="579"/>
        <w:gridCol w:w="177"/>
        <w:gridCol w:w="109"/>
        <w:gridCol w:w="109"/>
        <w:gridCol w:w="109"/>
        <w:gridCol w:w="331"/>
        <w:gridCol w:w="567"/>
        <w:gridCol w:w="242"/>
      </w:tblGrid>
      <w:tr>
        <w:trPr/>
        <w:tc>
          <w:tcPr>
            <w:tcW w:w="14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long-term liabilities and deferred credits </w:t>
            </w:r>
            <w:r>
              <w:rPr>
                <w:rFonts w:ascii="Times New Roman;sans-serif" w:hAnsi="Times New Roman;sans-serif"/>
                <w:b w:val="false"/>
                <w:color w:val="000000"/>
                <w:sz w:val="13"/>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2024 balance reflects an increase in estimated costs for long-term environmental remediation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were determined by the Unified Command to be complete in 2016, and the Unified Command was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most of which have been resolved. Set forth below is a brief summary of actions and matters that are currently pending or recently resolved.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Several pending or recently resolved lawsuits and claims were filed by companies, governmental agencies and individuals alleging damages arising out of the Line 901 incident. These lawsuits and claims generally seek restitution, compensatory and punitive damages, and/or injunctive relief. Most of these lawsuits have been settled or dismissed by the court. We recently settled the following two lawsuits (the “2024 Settlements”): (i) a lawsuit in California Superior Court in Santa Barbara County for lost revenue or profit asserted by a former oil producer that declared bankruptcy and shut in its offshore production platform following the Line 901 incident; and (ii) a lawsuit filed by the California State Land Commission in California Superior Court in Santa Barbara County seeking lost royalties following the shut-down of Line 901, as well as costs related to the decommissioning of such platform. In connection with the 2024 Settlements, we recognized additional costs related to the Line 901 incident of $120 million. Our remaining Line 901 lawsuits include various lawsuits filed in California Superior Court in Santa Barbara County by (x) companies and individuals who provided labor, goods, or services associated with oil production activities they claim were disrupted following the Line 901 incident and (y) a landowner on an adjacent pipeline alleging property damage from the “stigma” of the Line 901 incident. We are vigorously defending these remaining lawsuits, which have not yet been set for trial, and believe we have strong defenses. The ultimate outcome of such matters is uncertain, and an unfavorable resolution could have a material impact on our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submitted claims to several of our insurance carriers seeking reimbursement for a $230 million payment made in October of 2022 to settle a class action lawsuit stemming from the Line 901 incident (the “Class Action Settlement”). We had previously received payment of approximately $3.6 million from one insurer, which represented the final payment obligation of such insurer and brought the total amount collected from all insurers under such program to $275 million of the $500 million policy limits. In response to denials of coverage or other failures to timely tender payment, we initiated final and binding insurance arbitration proceedings against the insurers responsible for the remaining $225 million of coverage. Such insurers generally alleged that some or all damages encompassed by the Class Action Settlement were not covered by their policies and that all or some portion of the $275 million for which we had already received insurance reimbursement did not, for purposes of determining whether their policies were triggered, properly exhaust the underlying policies that paid those sums.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believed that our claim for reimbursement was probable of recovery despite the ongoing arbitration proceedings. Our belief at that time was based on: (i) our analysis of the terms of the underlying insurance policies as applied to the facts and circumstances that comprised our claim for reimbursement, (ii) our experience with the cost submissions and timely collection of claims for the $275 million previously collected for this incident under the same insurance program as the denied claims, including from some of the same insurers who were then denying claims, (iii) our extensive legal review and assessment of the insurer’s claimed basis for denial of coverage, which review and assessment included the advice of external legal counsel experienced in these type of matters that supported our belief that our insurers were required to provide coverage based on the terms of the policies and the nature of our claims, and (iv) the financial strength of the insurance carriers as determined by an independent credit ratings agency. However, at that time we also noted that various factors could impact the timing and amount of recovery of our insurance receivable, including future developments that adversely impacted our assessment of the strength of our coverage claims, the outcome of any dispute resolution proceedings with respect to our coverage claims (including arbitration proceedings) and the extent to which insurers may become insolvent in the future.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binding arbitration hearing with respect to our insurance claim against insurers representing $175 million of our total $225 million reimbursement claim concluded in early October 2024, and the arbitration panel’s final and binding decision was returned in January 2025. The panel ruled that a substantial portion of our claims subject to the proceeding were not covered under the applicable policy and therefore we were not entitled to reimbursement of our $175 million claim against the applicable insurers. With respect to our remaining $50 million claim against different insurance carriers, we now regard collection of those claims as being less than “probable.” As a result, we have written off the entire $225 million receivable and will recognize any future collections as and if they are received.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2024 Settlements, we have made adjustments to our total estimated Line 901 costs and the portion of such costs that we believe are probable of recovery from insurance carriers, net of deductibles. Effective as of December 31, 2024, we estimate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(including the Class Action Settlement and the 2024 Settlements),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2023 and 2022, we recognized costs, net of amounts probable of recovery from insurance (as applicable), of $345 million, $10 million, and $95 million, respectively. As of December 31, 2024 and 2023, we had a remaining undiscounted gross liability of approximately $5 million and $94 million, respectively, related to the Line 901 incident, which aggregate amounts are reflected in “Current liabilities” on our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we maintain insurance coverage, which is subject to certain exclusions and deductibles, in the event of such liabilities. As of December 31, 2023, we had recognized a receivable of approximately $225 million for the portion of the release costs that we believed were probable of recovery from insurance, net of deductibles and amounts already collected (approximately $280 million out of the $505 million submitted, including the 2015 insurance program and our directors and officers (D&amp;O) insurance policies). Of this amount, we had classified $175 million as a short-term asset in “Trade accounts receivable and other receivables, net” with the remaining $50 million recognized as a long-term asset in “Other long-term assets, net” on our Consolidated Balance Sheet as of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arbitration panel ruling discussed above, we wrote off the full $225 million insurance receivable in the fourth quarter of 2024. Therefore, as of December 31, 2024, we no longer have any amounts recorded as receivables related to the Line 901 incident recognized on our Consolidated Balance Sheet.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 xml:space="preserve">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w:t>
      </w:r>
      <w:r>
        <w:rPr>
          <w:rFonts w:ascii="Times New Roman;sans-serif" w:hAnsi="Times New Roman;sans-serif"/>
          <w:b w:val="false"/>
          <w:color w:val="000000"/>
          <w:sz w:val="20"/>
          <w:shd w:fill="FFFFFF" w:val="clear"/>
        </w:rPr>
        <w:t>We have entered into a confidential settlement agreement and anticipate that in connection with the settlement, all of Hartree’s claims will be dismissed with prejudice and without any admission of wrongdoing by Plains.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Various coastal parishes, the State of Louisiana and some of its departments have filed lawsuits in Louisiana 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damages in an unspecified amount. Our subsidiary owned and operated a pipeline in the vicinity of the refuge from 2006 through 2016. The damages have not been quantified and are not yet reasonably estimable, but we believe the claims in the lawsuit lack merit and intend to vigorously defend this lawsuit in coordination with the other Defendants.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CODM uses Segment Adjusted EBITDA to evaluate the performance of each segment, including analyzing actual results compared to budget and guidance, to assess investment opportunities and to optimize and align assets to maximize returns to stakeholders.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71"/>
        <w:gridCol w:w="1538"/>
        <w:gridCol w:w="1543"/>
        <w:gridCol w:w="211"/>
        <w:gridCol w:w="792"/>
        <w:gridCol w:w="109"/>
        <w:gridCol w:w="109"/>
        <w:gridCol w:w="109"/>
        <w:gridCol w:w="109"/>
        <w:gridCol w:w="211"/>
        <w:gridCol w:w="687"/>
        <w:gridCol w:w="109"/>
        <w:gridCol w:w="109"/>
        <w:gridCol w:w="109"/>
        <w:gridCol w:w="109"/>
        <w:gridCol w:w="286"/>
        <w:gridCol w:w="656"/>
        <w:gridCol w:w="149"/>
        <w:gridCol w:w="109"/>
        <w:gridCol w:w="109"/>
        <w:gridCol w:w="109"/>
        <w:gridCol w:w="211"/>
        <w:gridCol w:w="792"/>
        <w:gridCol w:w="159"/>
      </w:tblGrid>
      <w:tr>
        <w:trPr/>
        <w:tc>
          <w:tcPr>
            <w:tcW w:w="177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Intersegment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segment expenses: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Purchases and related costs</w:t>
            </w:r>
            <w:r>
              <w:rPr>
                <w:color w:val="000000"/>
              </w:rPr>
              <w:t xml:space="preserv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general and administrative expenses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significant segment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color w:val="000000"/>
              </w:rPr>
              <w:t xml:space="preserve"> </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(3)</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(4)</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(5)</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Deficiencies under minimum volume commitments, net</w:t>
            </w:r>
            <w:r>
              <w:rPr>
                <w:color w:val="000000"/>
              </w:rPr>
              <w:t xml:space="preserve"> </w:t>
            </w:r>
            <w:r>
              <w:rPr>
                <w:rFonts w:ascii="Times New Roman;sans-serif" w:hAnsi="Times New Roman;sans-serif"/>
                <w:b w:val="false"/>
                <w:color w:val="000000"/>
                <w:sz w:val="13"/>
              </w:rPr>
              <w:t>(6)</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(7)</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(8)</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(9)</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amounts attributable to noncontrolling interests </w:t>
            </w:r>
            <w:r>
              <w:rPr>
                <w:rFonts w:ascii="Times New Roman;sans-serif" w:hAnsi="Times New Roman;sans-serif"/>
                <w:b w:val="false"/>
                <w:color w:val="000000"/>
                <w:sz w:val="13"/>
              </w:rPr>
              <w:t>(10)</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segment items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(12)</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bl>
      <w:tblPr>
        <w:tblW w:w="10205" w:type="dxa"/>
        <w:jc w:val="left"/>
        <w:tblInd w:w="0" w:type="dxa"/>
        <w:tblLayout w:type="fixed"/>
        <w:tblCellMar>
          <w:top w:w="28" w:type="dxa"/>
          <w:left w:w="28" w:type="dxa"/>
          <w:bottom w:w="28" w:type="dxa"/>
          <w:right w:w="28" w:type="dxa"/>
        </w:tblCellMar>
      </w:tblPr>
      <w:tblGrid>
        <w:gridCol w:w="1784"/>
        <w:gridCol w:w="1551"/>
        <w:gridCol w:w="1556"/>
        <w:gridCol w:w="211"/>
        <w:gridCol w:w="793"/>
        <w:gridCol w:w="109"/>
        <w:gridCol w:w="109"/>
        <w:gridCol w:w="109"/>
        <w:gridCol w:w="109"/>
        <w:gridCol w:w="211"/>
        <w:gridCol w:w="688"/>
        <w:gridCol w:w="109"/>
        <w:gridCol w:w="109"/>
        <w:gridCol w:w="109"/>
        <w:gridCol w:w="109"/>
        <w:gridCol w:w="276"/>
        <w:gridCol w:w="631"/>
        <w:gridCol w:w="144"/>
        <w:gridCol w:w="109"/>
        <w:gridCol w:w="109"/>
        <w:gridCol w:w="109"/>
        <w:gridCol w:w="211"/>
        <w:gridCol w:w="793"/>
        <w:gridCol w:w="157"/>
      </w:tblGrid>
      <w:tr>
        <w:trPr/>
        <w:tc>
          <w:tcPr>
            <w:tcW w:w="178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segment expenses: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Purchases and related costs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general and administrative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significant segment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color w:val="000000"/>
              </w:rPr>
              <w:t xml:space="preserve"> </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(3)</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(4)</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Deficiencies under minimum volume commitments, net</w:t>
            </w:r>
            <w:r>
              <w:rPr>
                <w:color w:val="000000"/>
              </w:rPr>
              <w:t xml:space="preserve"> </w:t>
            </w:r>
            <w:r>
              <w:rPr>
                <w:rFonts w:ascii="Times New Roman;sans-serif" w:hAnsi="Times New Roman;sans-serif"/>
                <w:b w:val="false"/>
                <w:color w:val="000000"/>
                <w:sz w:val="13"/>
              </w:rPr>
              <w:t>(6)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Transaction-related expenses </w:t>
            </w:r>
            <w:r>
              <w:rPr>
                <w:rFonts w:ascii="Times New Roman;sans-serif" w:hAnsi="Times New Roman;sans-serif"/>
                <w:b w:val="false"/>
                <w:color w:val="000000"/>
                <w:sz w:val="13"/>
              </w:rPr>
              <w:t>(13)</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amounts attributable to noncontrolling interests </w:t>
            </w:r>
            <w:r>
              <w:rPr>
                <w:rFonts w:ascii="Times New Roman;sans-serif" w:hAnsi="Times New Roman;sans-serif"/>
                <w:b w:val="false"/>
                <w:color w:val="000000"/>
                <w:sz w:val="13"/>
              </w:rPr>
              <w:t>(10)</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segment items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Adjusted EBITDA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(11) (12)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(12)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bl>
      <w:tblPr>
        <w:tblW w:w="10205" w:type="dxa"/>
        <w:jc w:val="left"/>
        <w:tblInd w:w="0" w:type="dxa"/>
        <w:tblLayout w:type="fixed"/>
        <w:tblCellMar>
          <w:top w:w="28" w:type="dxa"/>
          <w:left w:w="28" w:type="dxa"/>
          <w:bottom w:w="28" w:type="dxa"/>
          <w:right w:w="28" w:type="dxa"/>
        </w:tblCellMar>
      </w:tblPr>
      <w:tblGrid>
        <w:gridCol w:w="1782"/>
        <w:gridCol w:w="1552"/>
        <w:gridCol w:w="1557"/>
        <w:gridCol w:w="211"/>
        <w:gridCol w:w="793"/>
        <w:gridCol w:w="109"/>
        <w:gridCol w:w="109"/>
        <w:gridCol w:w="109"/>
        <w:gridCol w:w="109"/>
        <w:gridCol w:w="211"/>
        <w:gridCol w:w="688"/>
        <w:gridCol w:w="109"/>
        <w:gridCol w:w="109"/>
        <w:gridCol w:w="109"/>
        <w:gridCol w:w="109"/>
        <w:gridCol w:w="276"/>
        <w:gridCol w:w="631"/>
        <w:gridCol w:w="144"/>
        <w:gridCol w:w="109"/>
        <w:gridCol w:w="109"/>
        <w:gridCol w:w="109"/>
        <w:gridCol w:w="211"/>
        <w:gridCol w:w="793"/>
        <w:gridCol w:w="157"/>
      </w:tblGrid>
      <w:tr>
        <w:trPr/>
        <w:tc>
          <w:tcPr>
            <w:tcW w:w="178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segment expenses: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Purchases and related costs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general and administrative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significant segment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color w:val="000000"/>
              </w:rPr>
              <w:t xml:space="preserve"> </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(3)</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(4)</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Deficiencies under minimum volume commitments, net</w:t>
            </w:r>
            <w:r>
              <w:rPr>
                <w:color w:val="000000"/>
              </w:rPr>
              <w:t xml:space="preserve"> </w:t>
            </w:r>
            <w:r>
              <w:rPr>
                <w:rFonts w:ascii="Times New Roman;sans-serif" w:hAnsi="Times New Roman;sans-serif"/>
                <w:b w:val="false"/>
                <w:color w:val="000000"/>
                <w:sz w:val="13"/>
              </w:rPr>
              <w:t>(6)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amounts attributable to noncontrolling interests </w:t>
            </w:r>
            <w:r>
              <w:rPr>
                <w:rFonts w:ascii="Times New Roman;sans-serif" w:hAnsi="Times New Roman;sans-serif"/>
                <w:b w:val="false"/>
                <w:color w:val="000000"/>
                <w:sz w:val="13"/>
              </w:rPr>
              <w:t>(10)</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segment items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Adjusted EBITDA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(12)</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for information regarding our equity-indexed compensation plans.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Includes costs recognized during the period related to the Line 901 incident that occurred in May 2015, net of amounts we believe are probable of recovery from insurance (as applicable). The year ended December 31, 2024 includes the write-off of a receivable for Line 901 insurance proceeds in the fourth quarter of 2024 and the impact of settlements in the third quarter of 2024. See Note 18 for additional information regarding the Line 901 incident.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Reflects amounts attributable to noncontrolling interests in the Permian JV, Cactus II (beginning November 2022) and Red River.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(11)</w:t>
      </w:r>
      <w:r>
        <w:rPr>
          <w:rFonts w:ascii="Times New Roman;sans-serif" w:hAnsi="Times New Roman;sans-serif"/>
          <w:b w:val="false"/>
          <w:color w:val="000000"/>
          <w:sz w:val="20"/>
        </w:rPr>
        <w:t>Investment capital and acquisition capital expenditures, including investments in unconsolidated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(12)</w:t>
      </w:r>
      <w:r>
        <w:rPr>
          <w:rFonts w:ascii="Times New Roman;sans-serif" w:hAnsi="Times New Roman;sans-serif"/>
          <w:b w:val="false"/>
          <w:color w:val="000000"/>
          <w:sz w:val="20"/>
        </w:rPr>
        <w:t>These amounts combined represent total capital expenditures.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(13)</w:t>
      </w:r>
      <w:r>
        <w:rPr>
          <w:rFonts w:ascii="Times New Roman;sans-serif" w:hAnsi="Times New Roman;sans-serif"/>
          <w:b w:val="false"/>
          <w:color w:val="000000"/>
          <w:sz w:val="20"/>
        </w:rPr>
        <w:t>Includes expenses associated with the Rattler Permian Transaction in 2023. See Note 7 for additional discussion. An adjustment for these non-recurring expenses is included in the calculation of Segment Adjusted EBITDA for the year ended December 31, 2023 as our CODM does not view such expenses as integral to understanding our core segment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w10:wrap type="none"/>
              </v:rect>
            </w:pict>
          </mc:Fallback>
        </mc:AlternateContent>
      </w:r>
    </w:p>
    <w:p>
      <w:pPr>
        <w:pStyle w:val="TextBody"/>
        <w:bidi w:val="0"/>
        <w:spacing w:lineRule="auto" w:line="288" w:before="0" w:after="0"/>
        <w:jc w:val="left"/>
        <w:rPr/>
      </w:pPr>
      <w:hyperlink w:anchor="i52e08aef656445fea87274cf3e5c1ee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52e08aef656445fea87274cf3e5c1ee9_157">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PAA (in millions):</w:t>
      </w:r>
    </w:p>
    <w:p>
      <w:pPr>
        <w:pStyle w:val="TextBody"/>
        <w:bidi w:val="0"/>
        <w:spacing w:before="0" w:after="0"/>
        <w:jc w:val="left"/>
        <w:rPr/>
      </w:pPr>
      <w:r>
        <w:rPr/>
      </w:r>
    </w:p>
    <w:tbl>
      <w:tblPr>
        <w:tblW w:w="8562" w:type="dxa"/>
        <w:jc w:val="left"/>
        <w:tblInd w:w="0" w:type="dxa"/>
        <w:tblLayout w:type="fixed"/>
        <w:tblCellMar>
          <w:top w:w="28" w:type="dxa"/>
          <w:left w:w="28" w:type="dxa"/>
          <w:bottom w:w="28" w:type="dxa"/>
          <w:right w:w="28" w:type="dxa"/>
        </w:tblCellMar>
      </w:tblPr>
      <w:tblGrid>
        <w:gridCol w:w="1831"/>
        <w:gridCol w:w="1605"/>
        <w:gridCol w:w="1619"/>
        <w:gridCol w:w="211"/>
        <w:gridCol w:w="616"/>
        <w:gridCol w:w="109"/>
        <w:gridCol w:w="109"/>
        <w:gridCol w:w="109"/>
        <w:gridCol w:w="109"/>
        <w:gridCol w:w="211"/>
        <w:gridCol w:w="616"/>
        <w:gridCol w:w="109"/>
        <w:gridCol w:w="109"/>
        <w:gridCol w:w="109"/>
        <w:gridCol w:w="109"/>
        <w:gridCol w:w="211"/>
        <w:gridCol w:w="61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other segment items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asset impairments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 in unconsolidated entities,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footnotes to the segment financial data tables above for a more detailed discussion of Other segment items.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Geographic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United States and Canada. Set forth below are revenues and long-lived assets attributable to these geographic areas (in millions):</w:t>
      </w:r>
    </w:p>
    <w:p>
      <w:pPr>
        <w:pStyle w:val="TextBody"/>
        <w:bidi w:val="0"/>
        <w:spacing w:before="0" w:after="0"/>
        <w:jc w:val="left"/>
        <w:rPr/>
      </w:pPr>
      <w:r>
        <w:rPr/>
      </w:r>
    </w:p>
    <w:tbl>
      <w:tblPr>
        <w:tblW w:w="5349" w:type="dxa"/>
        <w:jc w:val="left"/>
        <w:tblInd w:w="0" w:type="dxa"/>
        <w:tblLayout w:type="fixed"/>
        <w:tblCellMar>
          <w:top w:w="28" w:type="dxa"/>
          <w:left w:w="28" w:type="dxa"/>
          <w:bottom w:w="28" w:type="dxa"/>
          <w:right w:w="28" w:type="dxa"/>
        </w:tblCellMar>
      </w:tblPr>
      <w:tblGrid>
        <w:gridCol w:w="434"/>
        <w:gridCol w:w="382"/>
        <w:gridCol w:w="38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are primarily attributed to each region based on where the services are provided or the product is shipped.</w:t>
      </w:r>
    </w:p>
    <w:p>
      <w:pPr>
        <w:pStyle w:val="TextBody"/>
        <w:bidi w:val="0"/>
        <w:spacing w:before="0" w:after="0"/>
        <w:ind w:left="0" w:right="0" w:hanging="360"/>
        <w:jc w:val="left"/>
        <w:rPr/>
      </w:pPr>
      <w:r>
        <w:rPr/>
      </w:r>
    </w:p>
    <w:tbl>
      <w:tblPr>
        <w:tblW w:w="4385" w:type="dxa"/>
        <w:jc w:val="center"/>
        <w:tblInd w:w="0" w:type="dxa"/>
        <w:tblLayout w:type="fixed"/>
        <w:tblCellMar>
          <w:top w:w="28" w:type="dxa"/>
          <w:left w:w="28" w:type="dxa"/>
          <w:bottom w:w="28" w:type="dxa"/>
          <w:right w:w="28" w:type="dxa"/>
        </w:tblCellMar>
      </w:tblPr>
      <w:tblGrid>
        <w:gridCol w:w="581"/>
        <w:gridCol w:w="511"/>
        <w:gridCol w:w="512"/>
        <w:gridCol w:w="109"/>
        <w:gridCol w:w="109"/>
        <w:gridCol w:w="109"/>
        <w:gridCol w:w="211"/>
        <w:gridCol w:w="721"/>
        <w:gridCol w:w="109"/>
        <w:gridCol w:w="109"/>
        <w:gridCol w:w="109"/>
        <w:gridCol w:w="109"/>
        <w:gridCol w:w="211"/>
        <w:gridCol w:w="72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Long-Lived Assets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Excludes long-term derivative assets and long-term deferred tax assets.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4.17</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THE REGISTRANT’S SECURITIES REGISTERED PURSUANT TO SECTION 12 OF THE SECURITIES EXCHANGE ACT OF 1934</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Plains All American Pipeline L.P. has one class of securities registered under Section 12 of the Securities Exchange Act of 1934, as amended (the “Exchange Act”): its common units representing limited partner interests, which are described in this Exhibit. The following definitions are used in this Exhibit:</w:t>
      </w:r>
    </w:p>
    <w:p>
      <w:pPr>
        <w:pStyle w:val="TextBody"/>
        <w:bidi w:val="0"/>
        <w:spacing w:before="0" w:after="0"/>
        <w:ind w:left="0" w:right="0" w:firstLine="36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"Partnership," "Plains," "PAA," "we," "us," "our," "ours" and similar terms refer to Plains All American Pipeline, L.P. and its subsidiaries; and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"General partner," refers to, as the context requires, any or all of PAA GP Holdings LLC ("PAGP GP"), Plains GP Holdings, L.P. ("PAGP"), Plains AAP, L.P. ("AAP") and Plains All American GP LLC ("GP LLC").</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OUR COMMON UNITS</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"Our Cash Distribution Policy."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outstanding common units are listed on the Nasdaq Global Select Market under the symbol "PAA." Any additional common units we issue will also be listed on Nasdaq.</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Voting</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 </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limited exceptions, PAGP GP’s Fourth Amended and Restated Limited Liability Company Agreement (as amended, the "PAGP GP LLC Agreement") provides that the Board will consist of up to 13 members, including the CEO. In addition, if PAA fails to make three distributions on its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ind w:left="0" w:right="0" w:firstLine="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held by AAP will not be voted in the election of directors and will not be counted for purposes of determining whether a quorum exists.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Status as Limited Partner or Assignee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described under "Description of Our Partnership Agreement—Limited Liability," the common units will be fully paid, and common unitholders will not be required to make additional capital contributions to us.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Redemption Right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above mechanisms are subject to customary conversion rate adjustments for equity splits, equity dividends and reclassifications.</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OUR CASH DISTRIBUTION POLICY</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Distributions of Available Cash</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We will distribute to our unitholders, on a quarterly basis, all of our available cash in the manner described below.</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Definition of Available Cash.</w:t>
      </w:r>
      <w:r>
        <w:rPr>
          <w:color w:val="000000"/>
        </w:rPr>
        <w:t xml:space="preserve"> </w:t>
      </w:r>
      <w:r>
        <w:rPr>
          <w:rFonts w:ascii="Times New Roman;sans-serif" w:hAnsi="Times New Roman;sans-serif"/>
          <w:b w:val="false"/>
          <w:color w:val="000000"/>
          <w:sz w:val="20"/>
        </w:rPr>
        <w:t>Available cash generally means, for any quarter ending prior to liquidation, all cash and cash equivalents on hand at the end of that quarter less reserves established in the reasonable discretion of the general partner to:</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provide for the proper conduct of our business and the business of our operating partnerships (including reserves for future capital expenditures and for our anticipated future credit needs);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comply with applicable law or any loan agreement, security agreement, mortgage, debt instrument or other agreement or obligation; or</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provide funds for future distributions to our Series A and Series B preferred unitholders or distributions to our common unitholders for of any one or more of the next four quarters.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available cash also includes cash on hand resulting from borrowings made after the end of the quarter.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Operating Surplus and Capital Surplus</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Cash distributions to our common unitholders will be characterized as either operating surplus or capital surplus. We distribute available cash from operating surplus differently than available cash from capital surplus. See "—Quarterly Distributions of Available Cash."</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Definition of Operating Surplus.</w:t>
      </w:r>
      <w:r>
        <w:rPr>
          <w:color w:val="000000"/>
        </w:rPr>
        <w:t xml:space="preserve"> </w:t>
      </w:r>
      <w:r>
        <w:rPr>
          <w:rFonts w:ascii="Times New Roman;sans-serif" w:hAnsi="Times New Roman;sans-serif"/>
          <w:b w:val="false"/>
          <w:color w:val="000000"/>
          <w:sz w:val="20"/>
        </w:rPr>
        <w:t>Operating surplus refers generally to:</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our cash balances on the closing date of our initial public offering; plus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$25 million; plus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all of our cash receipts from operations, excluding cash that is capital surplus; less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Definition of Capital Surplus.</w:t>
      </w:r>
      <w:r>
        <w:rPr>
          <w:color w:val="000000"/>
        </w:rPr>
        <w:t xml:space="preserve"> </w:t>
      </w:r>
      <w:r>
        <w:rPr>
          <w:rFonts w:ascii="Times New Roman;sans-serif" w:hAnsi="Times New Roman;sans-serif"/>
          <w:b w:val="false"/>
          <w:color w:val="000000"/>
          <w:sz w:val="20"/>
        </w:rPr>
        <w:t>Capital surplus will generally be generated only by:</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borrowings other than working capital borrowings;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sales of debt and equity securities;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sales or other dispositions of assets for cash, other than inventory, accounts receivable and other assets in the ordinary course of business.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Effect of Issuance of Additional Units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 issue additional common units or other equity securities for consideration and under terms and conditions approved by our general partner in its sole discretion and without the approval of our unitholders, other than current holders of our Series A preferred units and Series B preferred units in certain circumstances. We may fund acquisitions through the issuance of additional common units or other equity securities.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Quarterly Distributions of Available Cash</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Distributions from Operating Surplus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Distributions from Capital Surplus</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color w:val="000000"/>
          <w:sz w:val="20"/>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Times New Roman;sans-serif" w:hAnsi="Times New Roman;sans-serif"/>
          <w:b w:val="false"/>
          <w:color w:val="000000"/>
          <w:sz w:val="13"/>
        </w:rPr>
        <w:t>2</w:t>
      </w:r>
      <w:r>
        <w:rPr>
          <w:rFonts w:ascii="Times New Roman;sans-serif" w:hAnsi="Times New Roman;sans-serif"/>
          <w:b w:val="false"/>
          <w:color w:val="000000"/>
          <w:sz w:val="20"/>
        </w:rPr>
        <w:t>/3% of the outstanding Series B preferred units.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Distribution of Cash upon Liquidation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OUR PARTNERSHIP AGREEMENT</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material provisions of our partnership agreement.</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Purpose</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color w:val="000000"/>
          <w:sz w:val="20"/>
          <w:shd w:fill="FFFFFF" w:val="clear"/>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r>
        <w:rPr>
          <w:color w:val="000000"/>
        </w:rPr>
        <w:t xml:space="preserve"> </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Applicable Law; Forum, Venue and Jurisdiction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is governed by Delaware law. Our partnership agreement requires that any claims, suits, actions or proceedings: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brought in a derivative manner on our behalf;</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asserting a claim of breach of a fiduciary duty owed by any director, officer or other employee of us or our general partner, or owed by our general partner to us or the unitholders;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asserting a claim arising pursuant to any provision of the Delaware Revised Uniform Limited Partnership Act (the “Delaware Act”); or</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asserting a claim governed by the internal affairs doctrine,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Issuance of Additional Securities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Delaware law and the provisions of our partnership agreement, we may also issue additional partnership interests that, in the sole discretion of our general partner, may have special voting rights to which common units are not entitled.</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Amendments to Our Partnership Agreement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Withdrawal or Removal of Our General Partner</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ind w:left="0" w:right="0" w:firstLine="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partnership agreement expressly permits the sale, in whole or in part, of the ownership of our general partner. Our general partner may also transfer, in whole or in part, the common units it owns.</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Merger, Sale or Other Disposition of Assets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Liquidation and Distribution of Proceeds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first, towards the payment of all of our creditors and the creation of a reserve for contingent liabilities;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finally, to all partners in accordance with the positive balance in their respective capital accounts.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Change of Management Provisions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contains the following specific provisions that are intended to discourage a person or group from attempting to remove our general partner or otherwise change management:</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generally, if a person acquires 20% or more of any class of units then outstanding other than from our general partner or its affiliates, the units owned by such person cannot be voted on any matter; and</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provisions limiting the ability of unitholders to call meetings or to acquire information about our operations, as well as other provisions limiting the unitholders' ability to influence the manner or direction of management.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Limited Call Right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partnership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authorized to purchase insurance against liabilities asserted against and expenses incurred by persons for our activities, regardless of whether we would have the power to indemnify the person against liabilities under our partnership agreement.</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Registration Rights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Limited Liability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Assuming that a limited partner does not participate in the control of our business within the meaning of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addition</w:t>
      </w:r>
      <w:r>
        <w:rPr>
          <w:rFonts w:ascii="Times New Roman;sans-serif" w:hAnsi="Times New Roman;sans-serif"/>
          <w:b w:val="false"/>
          <w:color w:val="000000"/>
          <w:sz w:val="20"/>
          <w:shd w:fill="FFFFFF" w:val="clear"/>
        </w:rPr>
        <w:t>,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br/>
        <w:t>POLICY ON INSIDER TRADING</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THIS POLICY HAS BEEN ADOPTED BY THE BOARD OF DIRECTORS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PAA GP HOLDINGS LLC.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IT APPLIES TO ALL EMPLOYEES, CONSULTANTS, DIRECTORS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AND OFFICERS OF PAA GP HOLDINGS LLC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PLAINS ALL AMERICAN GP LLC.</w:t>
      </w:r>
    </w:p>
    <w:p>
      <w:pPr>
        <w:pStyle w:val="TextBody"/>
        <w:bidi w:val="0"/>
        <w:spacing w:before="0" w:after="0"/>
        <w:jc w:val="center"/>
        <w:rPr/>
      </w:pPr>
      <w:r>
        <w:rPr/>
      </w:r>
    </w:p>
    <w:p>
      <w:pPr>
        <w:pStyle w:val="TextBody"/>
        <w:bidi w:val="0"/>
        <w:spacing w:lineRule="auto" w:line="288" w:before="0" w:after="200"/>
        <w:jc w:val="both"/>
        <w:rPr/>
      </w:pPr>
      <w:r>
        <w:rPr>
          <w:color w:val="000000"/>
        </w:rPr>
        <w:t>    </w:t>
      </w:r>
      <w:r>
        <w:rPr>
          <w:rFonts w:ascii="Times New Roman;sans-serif" w:hAnsi="Times New Roman;sans-serif"/>
          <w:b/>
          <w:i/>
          <w:color w:val="000000"/>
          <w:sz w:val="20"/>
        </w:rPr>
        <w:t>This policy should be read carefully by all directors, officers, consultants and employees</w:t>
      </w:r>
      <w:r>
        <w:rPr>
          <w:rFonts w:ascii="Times New Roman;sans-serif" w:hAnsi="Times New Roman;sans-serif"/>
          <w:b/>
          <w:i/>
          <w:color w:val="000000"/>
          <w:sz w:val="13"/>
        </w:rPr>
        <w:t>1</w:t>
      </w:r>
      <w:r>
        <w:rPr>
          <w:color w:val="000000"/>
        </w:rPr>
        <w:t xml:space="preserve"> </w:t>
      </w:r>
      <w:r>
        <w:rPr>
          <w:rFonts w:ascii="Times New Roman;sans-serif" w:hAnsi="Times New Roman;sans-serif"/>
          <w:b/>
          <w:i/>
          <w:color w:val="000000"/>
          <w:sz w:val="20"/>
        </w:rPr>
        <w:t>of PAA GP Holdings LLC (the “Company”) and Plains All American GP LLC (“GP LLC”). All are encouraged to ask questions and seek any follow-up information that they may require about this Policy.</w:t>
      </w:r>
      <w:r>
        <w:rPr>
          <w:color w:val="000000"/>
        </w:rPr>
        <w:t xml:space="preserve"> </w:t>
      </w:r>
      <w:r>
        <w:rPr>
          <w:rFonts w:ascii="Times New Roman;sans-serif" w:hAnsi="Times New Roman;sans-serif"/>
          <w:b/>
          <w:i/>
          <w:color w:val="000000"/>
          <w:sz w:val="20"/>
        </w:rPr>
        <w:t>Any questions should be directed to the General Counsel listed below.</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Richard McGee</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Vice President, General Counsel and Secretary</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333 Clay Street, Suite 1600</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Houston, Texas 77002</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(713) 652-3655</w:t>
      </w:r>
    </w:p>
    <w:p>
      <w:pPr>
        <w:pStyle w:val="TextBody"/>
        <w:bidi w:val="0"/>
        <w:spacing w:before="0" w:after="0"/>
        <w:jc w:val="both"/>
        <w:rPr/>
      </w:pPr>
      <w:r>
        <w:rPr/>
      </w:r>
    </w:p>
    <w:p>
      <w:pPr>
        <w:pStyle w:val="TextBody"/>
        <w:bidi w:val="0"/>
        <w:spacing w:lineRule="auto" w:line="288" w:before="0" w:after="120"/>
        <w:jc w:val="both"/>
        <w:rPr/>
      </w:pPr>
      <w:r>
        <w:rPr>
          <w:color w:val="000000"/>
        </w:rPr>
        <w:t>    </w:t>
      </w:r>
      <w:r>
        <w:rPr>
          <w:rFonts w:ascii="Times New Roman;sans-serif" w:hAnsi="Times New Roman;sans-serif"/>
          <w:b w:val="false"/>
          <w:color w:val="000000"/>
          <w:sz w:val="20"/>
        </w:rPr>
        <w:t xml:space="preserve">The Company has adopted this Policy on Insider Trading to apply to each employee, consultant, director and officer of the Company and GP LLC (“Insiders”). Directors of the Company as well as officers and certain employees of GP LLC are also subject to the Company’s Policy Regarding Special Trading Procedures, which describes additional special trading restrictions and procedures applicable to that group.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reserves the right to amend or rescind this policy or any portion of it at any time and to adopt different policies and procedures at any time. This policy must be strictly followed.</w:t>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It is generally illegal for any person, either personally or on behalf of others, to trade in or make gifts of securities on the basis of “Inside Information.” Inside Information is generally defined as any non-public information about an entity that may be considered material to an investor in making a decision to purchase, hold or sell securities of that entity. For purposes of this policy, Inside Information includes all material, non-public information about the Company, GP LLC, Plains GP Holdings, L.P. (“PAGP”) and Plains All American Pipeline, L.P. (“PAA”) and their subsidiaries and affiliates (collectively, the “Plains Entities”), or any other entity (such as a customer or supplier), learned as a result of the Insider’s relationship with the Plains Entities. Information is considered to be “non-public” until it is widely disseminated to the public (generally through a news release by PAA or PAGP). Information is “material” if there is a substantial likelihood that an investor would reasonably consider it important in arriving at a decision to buy, sell or hold securities. Examples of potentially material information include, but are not limited to:</w:t>
      </w:r>
    </w:p>
    <w:p>
      <w:pPr>
        <w:pStyle w:val="TextBody"/>
        <w:bidi w:val="0"/>
        <w:spacing w:before="0" w:after="0"/>
        <w:jc w:val="both"/>
        <w:rPr/>
      </w:pPr>
      <w:r>
        <w:rPr/>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Information about earnings or losses, business forecasts, distributions or ratings of debt securities;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pending or proposed significant acquisition, disposition, merger or tender offer;</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pending or proposed significant joint venture;</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restructuring involving the Plains Entities;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Regulatory developments that could significantly impact the Plains Entities; </w:t>
      </w:r>
    </w:p>
    <w:p>
      <w:pPr>
        <w:pStyle w:val="TextBody"/>
        <w:bidi w:val="0"/>
        <w:spacing w:lineRule="auto" w:line="288"/>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Company has no employees. The term “employee” as it is used herein refers to those individuals employed by GP LLC or Plains Midstream Canada ULC who provide services to or on behalf of the Plains Entities.</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significant disruption in operations, or a material adverse event, loss, potential loss, breach (including a cybersecurity breach) or unauthorized access affecting the property, systems or assets of the Plains Entities;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change in senior management;</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Pending or threatened significant litigation or governmental investigation, or the resolution of such litigation or conclusion of such investigation; and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gain or loss of a major customer or material contract.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also generally illegal to communicate (or “tip”) material, non-public information to others who may trade in securities on the basis of that information. These illegal activities are commonly referred to as “insider trading.”</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The federal securities laws include severe penalties for illegal trading or tipping and empower the Securities and Exchange Commission and the Department of Justice to prosecute such crimes. </w:t>
      </w:r>
      <w:r>
        <w:rPr>
          <w:rFonts w:ascii="Times New Roman;sans-serif" w:hAnsi="Times New Roman;sans-serif"/>
          <w:b/>
          <w:color w:val="000000"/>
          <w:sz w:val="20"/>
        </w:rPr>
        <w:t>Potential penalties for insider trading violations include administrative sanctions, damage awards to private plaintiffs, civil penalties, criminal fines and jail sentences.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Statement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It is the policy of the Company to prohibit all Insiders who, by virtue of their relationship with the Plains Entities, have access to Inside Information about the Plains Entities (including PAGP and PAA), or any other publicly traded entity, from (i) buying, selling or making gifts of securities of PAGP, PAA or such other entity while in possession of such Inside Information or (ii) passing on such Inside Information, directly or indirectly, to others (“tipping”).</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Scope of The Policy</w:t>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u w:val="single"/>
        </w:rPr>
        <w:t>Persons Covered by This Policy</w:t>
      </w:r>
      <w:r>
        <w:rPr>
          <w:rFonts w:ascii="Times New Roman;sans-serif" w:hAnsi="Times New Roman;sans-serif"/>
          <w:b w:val="false"/>
          <w:color w:val="000000"/>
          <w:sz w:val="20"/>
        </w:rPr>
        <w:t>. This policy shall be strictly adhered to by all Insiders and all members of their immediate families and personal households as well as any entities that an Insider controls, including any corporations, partnerships or trusts. All Insiders are responsible for the compliance with this policy by members of their immediate families and personal households and controlled entities.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Insider is individually responsible for making sure that he or she complies with this policy, and that any family member, household member or entity whose transactions are subject to this policy, as discussed below, also comply with this policy. In all cases, the responsibility for determining whether an Insider is in possession of material nonpublic information rests with that individual.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u w:val="single"/>
        </w:rPr>
        <w:t>Transactions Covered by This Policy; Exceptions</w:t>
      </w:r>
      <w:r>
        <w:rPr>
          <w:rFonts w:ascii="Times New Roman;sans-serif" w:hAnsi="Times New Roman;sans-serif"/>
          <w:b w:val="false"/>
          <w:color w:val="000000"/>
          <w:sz w:val="20"/>
        </w:rPr>
        <w:t>. This policy applies to all transactions (including making gifts) in the securities of PAGP, PAA and other publicly-traded entities, with the following exceptions: (i) transactions (including making gifts) pursuant to an Approved 10b5-1 Plan (an “Approved 10b5-1 Plan” is a plan of acquisition or disposition (including dispositions by gift) of PAA or PAGP securities that meets the requirements of Rule 10b5-1 under the Securities Exchange Act of 1934, as amended, and that has been approved in advance by the CEO in consultation with the General Counsel or, in the case of the CEO, by either the Compensation Committee or the Board of Directors), (ii) the acquisition of securities under equity incentive plans such as the PAA and PAGP Long-Term Incentive Plans, (iii) the withholding of securities by PAA or PAGP for the payment of taxes in connection with the vesting of awards under the Long-Term Incentive Plans, or (iv) the exchange or redemption of Class A Units of Plains AAP, L.P. The trading restrictions of this policy do apply, however, to all sales (other than dispositions described in (iii) above) or gifts of securities acquired upon vesting of awards under the Long-Term Incentive Plans or as a result of the exchange or redemption of Class A Units of Plains AAP, L.P.</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Purpose of the Policy</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ans-serif" w:hAnsi="Times New Roman;sans-serif"/>
          <w:b w:val="false"/>
          <w:color w:val="000000"/>
          <w:sz w:val="20"/>
        </w:rPr>
        <w:t>This policy is implemented to (1) make all Insiders aware of what constitutes Inside Information and the severe consequences that may result from the illegal trading on or tipping of such information, and (2) protect the Plains Entities and their affiliates against legal liability and to preserve the reputation of the Plains Entities and the Insiders for integrity and ethical conduct by setting forth procedures to prevent the illegal use of Inside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82"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Compliance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1.    </w:t>
      </w:r>
      <w:r>
        <w:rPr>
          <w:rFonts w:ascii="Times New Roman;sans-serif" w:hAnsi="Times New Roman;sans-serif"/>
          <w:b w:val="false"/>
          <w:color w:val="000000"/>
          <w:sz w:val="20"/>
          <w:u w:val="single"/>
        </w:rPr>
        <w:t>Tipping is Prohibited</w:t>
      </w:r>
      <w:r>
        <w:rPr>
          <w:rFonts w:ascii="Times New Roman;sans-serif" w:hAnsi="Times New Roman;sans-serif"/>
          <w:b w:val="false"/>
          <w:color w:val="000000"/>
          <w:sz w:val="20"/>
        </w:rPr>
        <w:t>. All Inside Information is to be held in the strictest confidence and not disclosed to anyone outside the Plains Entities, unless and until the information has been properly disseminated to the public. Unauthorized disclosure of any Inside Information learned as a result of an Insider’s relationship to the Plains Entities is strictly prohibited. Inside Information is often inadvertently disclosed or overheard in casual, social conversations. Care must be taken to avoid such inadvertent disclosures. This prohibition against tipping includes Inside Information about companies other than the Plains Entities, learned by an Insider as a result of his relationship with the Plains Entities.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Inquiries by Stock Analysts, Investors and the Media</w:t>
      </w:r>
      <w:r>
        <w:rPr>
          <w:rFonts w:ascii="Times New Roman;sans-serif" w:hAnsi="Times New Roman;sans-serif"/>
          <w:b w:val="false"/>
          <w:color w:val="000000"/>
          <w:sz w:val="20"/>
        </w:rPr>
        <w:t>. All inquiries from stock analysts, PAGP or PAA investors or potential investors and members of the media, and any inquiry regarding rumors, price movement or activity in the PAGP Class A shares or PAA common units, should immediately be referred to the Company’s Chief Executive Officer, President, Chief Commercial Officer, Chief Operating Officer, Chief Financial Officer, General Counsel, or the Vice President of Investor Relations.</w:t>
      </w:r>
      <w:r>
        <w:rPr>
          <w:color w:val="000000"/>
        </w:rPr>
        <w:t xml:space="preserve"> </w:t>
      </w:r>
      <w:r>
        <w:rPr>
          <w:rFonts w:ascii="Times New Roman;sans-serif" w:hAnsi="Times New Roman;sans-serif"/>
          <w:b w:val="false"/>
          <w:color w:val="000000"/>
          <w:sz w:val="13"/>
        </w:rPr>
        <w:t>2</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Restrictions on Trading in Securities and Other Entities</w:t>
      </w:r>
      <w:r>
        <w:rPr>
          <w:rFonts w:ascii="Times New Roman;sans-serif" w:hAnsi="Times New Roman;sans-serif"/>
          <w:b w:val="false"/>
          <w:color w:val="000000"/>
          <w:sz w:val="20"/>
        </w:rPr>
        <w:t xml:space="preserve">. Trading restrictions also apply if an Insider obtains Inside Information concerning another entity as a result of his or her relationship with the Plains Entities. An example of information of this nature would be knowledge of a significant discovery well in which such other entity owns an interest. In such event, an Insider may not trade in or make gifts of the securities of such other entity until at least the third business day after such entity has made a formal public disclosure of such information, or such other time as the policies of such other entity might dictate, if the Insider is subject to such policies.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Reporting Violations</w:t>
      </w:r>
      <w:r>
        <w:rPr>
          <w:rFonts w:ascii="Times New Roman;sans-serif" w:hAnsi="Times New Roman;sans-serif"/>
          <w:b w:val="false"/>
          <w:color w:val="000000"/>
          <w:sz w:val="20"/>
        </w:rPr>
        <w:t>. If an Insider knows or has reason to believe that any compliance procedures contained in this policy have been or are about to be violated in any way, they should promptly bring the actual or potential violation to the attention of the General Counsel.</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Prohibition on Short Sales, Puts, Calls, Options and Other Transactions</w:t>
      </w:r>
    </w:p>
    <w:p>
      <w:pPr>
        <w:pStyle w:val="TextBody"/>
        <w:bidi w:val="0"/>
        <w:spacing w:before="0" w:after="0"/>
        <w:jc w:val="center"/>
        <w:rPr/>
      </w:pPr>
      <w:r>
        <w:rPr/>
      </w:r>
    </w:p>
    <w:p>
      <w:pPr>
        <w:pStyle w:val="TextBody"/>
        <w:bidi w:val="0"/>
        <w:spacing w:lineRule="auto" w:line="288" w:before="0" w:after="200"/>
        <w:ind w:left="0" w:right="0" w:firstLine="720"/>
        <w:jc w:val="both"/>
        <w:rPr/>
      </w:pPr>
      <w:r>
        <w:rPr>
          <w:rFonts w:ascii="Times New Roman;sans-serif" w:hAnsi="Times New Roman;sans-serif"/>
          <w:b/>
          <w:i/>
          <w:color w:val="000000"/>
          <w:sz w:val="20"/>
        </w:rPr>
        <w:t>Short Sales.</w:t>
      </w:r>
      <w:r>
        <w:rPr>
          <w:color w:val="000000"/>
        </w:rPr>
        <w:t xml:space="preserve"> </w:t>
      </w:r>
      <w:r>
        <w:rPr>
          <w:rFonts w:ascii="Times New Roman;sans-serif" w:hAnsi="Times New Roman;sans-serif"/>
          <w:b w:val="false"/>
          <w:color w:val="000000"/>
          <w:sz w:val="20"/>
        </w:rPr>
        <w:t xml:space="preserve">Short sales are sales of securities that the seller does not own at the time of the sale or, if owned, that will not be delivered within 20 days of the sale. One usually sells short when one thinks the market is going to decline substantially or the stock will otherwise drop in value. If the stock falls in price as expected, the person selling short can then buy the stock at a lower price for delivery at the earlier sale price (this is called “covering the short”) and pocket the difference in price as profit. In addition to the fact that it is illegal for directors and officers to sell their company’s securities short, the Company believes that it is inappropriate for its Insiders to bet against the securities of PAGP or PAA in this way. All Insiders and members of their immediate families and personal households are prohibited from making any short sales of PAGP or PAA securities. </w:t>
      </w:r>
    </w:p>
    <w:p>
      <w:pPr>
        <w:pStyle w:val="TextBody"/>
        <w:bidi w:val="0"/>
        <w:spacing w:lineRule="auto" w:line="288" w:before="0" w:after="0"/>
        <w:ind w:left="0" w:right="0" w:firstLine="720"/>
        <w:jc w:val="both"/>
        <w:rPr/>
      </w:pPr>
      <w:r>
        <w:rPr>
          <w:rFonts w:ascii="Times New Roman;sans-serif" w:hAnsi="Times New Roman;sans-serif"/>
          <w:b/>
          <w:i/>
          <w:color w:val="000000"/>
          <w:sz w:val="20"/>
        </w:rPr>
        <w:t>Publicly Traded Options.</w:t>
      </w:r>
      <w:r>
        <w:rPr>
          <w:color w:val="000000"/>
        </w:rPr>
        <w:t xml:space="preserve"> </w:t>
      </w:r>
      <w:r>
        <w:rPr>
          <w:rFonts w:ascii="Times New Roman;sans-serif" w:hAnsi="Times New Roman;sans-serif"/>
          <w:b w:val="false"/>
          <w:color w:val="000000"/>
          <w:sz w:val="20"/>
        </w:rPr>
        <w:t>Puts, calls, options or other derivative securities for Class A shares of PAGP or common units of PAA (other than options granted pursuant to employee benefit plans) also afford the opportunity to profit from a market view that is adverse to PAGP, PAA and their affiliates, and they carry a high risk of inadvertent securities law violations. Also, given the relatively short duration of publicly-traded options, transactions in options may create the appearance that an Insider is trading based on material nonpublic information or is focused on short-term performance, rather than the long-term objectives, of the Plains Entities. Accordingly, all such transactions are prohibited in the case of Directors and officers of the Company and strongly discouraged in the case of other employees.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i/>
          <w:color w:val="000000"/>
          <w:sz w:val="20"/>
        </w:rPr>
        <w:t>Pledges and Margin Accounts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Securities pledged as collateral for a loan may be sold in foreclosure if the borrower defaults on the loan. Similarly, securities held in a margin account may be sold by a broker without the customer’s consent if the customer fails to meet a margin call. A foreclosure or margin sale could occur at a time when the pledgor or account holder is aware of material nonpublic information resulting in a securities law violation. </w:t>
      </w:r>
    </w:p>
    <w:p>
      <w:pPr>
        <w:pStyle w:val="TextBody"/>
        <w:bidi w:val="0"/>
        <w:spacing w:lineRule="auto" w:line="288"/>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Company’s “Policy for Informal Disclosure” governs the process by which certain designated individuals within the Company may communicate with specified groups or individuals outside the Plains Entities. The general rule outlined above governs all persons who have not been so designated.</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83"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Therefore, pledging PAA and PAGP securities as collateral for a loan or holding such securities as marginable securities in a margin account is prohibited in the case of Directors and officers of the Company and strongly discouraged in the case of other employees. </w:t>
      </w:r>
    </w:p>
    <w:p>
      <w:pPr>
        <w:pStyle w:val="TextBody"/>
        <w:bidi w:val="0"/>
        <w:spacing w:lineRule="auto" w:line="288" w:before="0" w:after="200"/>
        <w:ind w:left="0" w:right="0" w:firstLine="720"/>
        <w:jc w:val="both"/>
        <w:rPr/>
      </w:pPr>
      <w:r>
        <w:rPr>
          <w:rFonts w:ascii="Times New Roman;sans-serif" w:hAnsi="Times New Roman;sans-serif"/>
          <w:b/>
          <w:i/>
          <w:color w:val="000000"/>
          <w:sz w:val="20"/>
        </w:rPr>
        <w:t>Hedging Transactions</w:t>
      </w:r>
      <w:r>
        <w:rPr>
          <w:rFonts w:ascii="Times New Roman;sans-serif" w:hAnsi="Times New Roman;sans-serif"/>
          <w:b w:val="false"/>
          <w:color w:val="000000"/>
          <w:sz w:val="20"/>
        </w:rPr>
        <w:t>. Certain forms of hedging or monetization transactions, such as prepaid variable forwards, equity swaps, collars and exchange funds, may permit a director, officer or other employee to continue to own PAA or PAGP securities but without the full risks and rewards of ownership. When that occurs, the director, officer or other employee may no longer have the same objectives as other investors. Therefore, such hedging transactions are prohibited in the case of Directors and officers of the Company and strongly discouraged in the case of other employees.</w:t>
      </w:r>
    </w:p>
    <w:p>
      <w:pPr>
        <w:pStyle w:val="TextBody"/>
        <w:bidi w:val="0"/>
        <w:spacing w:lineRule="auto" w:line="288" w:before="0" w:after="240"/>
        <w:ind w:left="0" w:right="0" w:firstLine="720"/>
        <w:jc w:val="both"/>
        <w:rPr/>
      </w:pPr>
      <w:r>
        <w:rPr>
          <w:rFonts w:ascii="Times New Roman;sans-serif" w:hAnsi="Times New Roman;sans-serif"/>
          <w:b/>
          <w:i/>
          <w:color w:val="000000"/>
          <w:sz w:val="20"/>
        </w:rPr>
        <w:t xml:space="preserve">Standing and Limit Orders. </w:t>
      </w:r>
      <w:r>
        <w:rPr>
          <w:rFonts w:ascii="Times New Roman;sans-serif" w:hAnsi="Times New Roman;sans-serif"/>
          <w:b w:val="false"/>
          <w:color w:val="000000"/>
          <w:sz w:val="20"/>
        </w:rPr>
        <w:t>Standing and limit orders create heightened risks for insider trading violations because purchases and sales could occur at a time when a director, officer or other employee is aware of material nonpublic information. Therefore, placing standing or limit orders on PAA or PAGP securities is strongly discouraged. If a director, officer or other employee subject to this policy desires to use a standing or limit order, the order should be limited to a short duration.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Company may impose sanctions for failure to comply with the provisions of this policy. Such sanctions may include suspension without pay and dismissal without cause.</w:t>
      </w:r>
    </w:p>
    <w:p>
      <w:pPr>
        <w:pStyle w:val="TextBody"/>
        <w:bidi w:val="0"/>
        <w:spacing w:before="0" w:after="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February 2025</w: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19.2</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4"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POLICY REGARDING SPECIAL TRADING PROCEDURES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THIS POLICY HAS BEEN ADOPTED BY THE BOARD OF DIRECTORS</w:t>
        <w:br/>
        <w:t xml:space="preserve">OF PAA GP HOLDINGS LLC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This policy applies to all members of the board of directors (the “directors”) of PAA GP Holdings LLC (the “Company”), officers of the Company and of Plains All American GP LLC (“GP LLC”), as well as certain employees of the Company and GP LLC and other individuals to whom this policy is delivered. Certain provisions of this policy apply only to directors of the Company and to officers of the Company and GP LLC (the “Pre-Clearance Group”). The policy should be read carefully, and any questions should be directed to the General Counsel listed below.</w:t>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Richard McGee</w:t>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Executive Vice President, General Counsel and Secretary</w:t>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333 Clay Street, Suite 1600</w:t>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Houston, TX 77002</w:t>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(713) 652-3655</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adopted a Policy on Insider Trading (the “Insider Trading Policy”) that applies to each director, officer, consultant and employee of the Company and GP LLC (the “Insiders”). A copy of the Insider Trading Policy has been distributed or made available to all Insiders and is incorporated herein by reference. This Policy Regarding Special Trading Procedures describes additional special trading restrictions that apply to all members of the Pre-Clearance Group and, with respect to the blackout period provisions, certain employees of the Company and GP LLC (the “designated employees”). All directors, officers and designated employees must comply strictly with this policy as well as with the Company’s Insider Trading Policy.</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times when the Company may be aware of a material, nonpublic development concerning the Company or one of its affiliates, including Plains All American Pipeline, L.P. (“PAA”) and Plains GP Holdings, L.P. (“PAGP”) and their subsidiaries (collectively, the “Plains Entities”). If you trade in or make gifts of securities of PAA or PAGP before the development is either disclosed to the public or resolved, you may expose yourself and the Company to a charge of insider trading that could be costly and difficult to defend. This can occur even though you may not have personal knowledge of the development or its details. In addition, the Company could receive negative publicity if you trade during such development.</w:t>
      </w:r>
    </w:p>
    <w:p>
      <w:pPr>
        <w:pStyle w:val="TextBody"/>
        <w:bidi w:val="0"/>
        <w:spacing w:lineRule="auto" w:line="288"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    Provisions Applicable To Pre-Clearance Group (Directors and Officers)</w:t>
      </w:r>
    </w:p>
    <w:p>
      <w:pPr>
        <w:pStyle w:val="TextBody"/>
        <w:bidi w:val="0"/>
        <w:spacing w:lineRule="auto" w:line="288" w:before="0" w:after="140"/>
        <w:ind w:left="0" w:right="0" w:firstLine="720"/>
        <w:jc w:val="both"/>
        <w:rPr/>
      </w:pPr>
      <w:r>
        <w:rPr>
          <w:rFonts w:ascii="Times New Roman;sans-serif" w:hAnsi="Times New Roman;sans-serif"/>
          <w:b/>
          <w:color w:val="000000"/>
          <w:sz w:val="20"/>
        </w:rPr>
        <w:t>A.    </w:t>
      </w:r>
      <w:r>
        <w:rPr>
          <w:rFonts w:ascii="Times New Roman;sans-serif" w:hAnsi="Times New Roman;sans-serif"/>
          <w:b/>
          <w:color w:val="000000"/>
          <w:sz w:val="20"/>
          <w:u w:val="single"/>
        </w:rPr>
        <w:t>Pre-Clearance</w:t>
      </w:r>
      <w:r>
        <w:rPr>
          <w:rFonts w:ascii="Times New Roman;sans-serif" w:hAnsi="Times New Roman;sans-serif"/>
          <w:b/>
          <w:color w:val="000000"/>
          <w:sz w:val="20"/>
        </w:rPr>
        <w:t>. All members of the Pre-Clearance Group and members of their immediate families and personal households may enter into transactions (including making gifts) involving securities of PAA or PAGP only after pre-clearing their intent to transact with the General Counsel.</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20"/>
        </w:rPr>
        <w:t xml:space="preserve">Clearance by the General Counsel will not relieve the director or officer of their obligation to otherwise comply with the Company’s Insider Trading Policy or the securities laws relating to insider trading. Pre-clearance will not be required for transactions (including gifts) made pursuant to an Approved 10b5-1 Plan (defined below). See Section 3 below for additional exceptions. </w:t>
      </w:r>
    </w:p>
    <w:p>
      <w:pPr>
        <w:pStyle w:val="TextBody"/>
        <w:bidi w:val="0"/>
        <w:spacing w:lineRule="auto" w:line="288" w:before="0" w:after="140"/>
        <w:ind w:left="0" w:right="0" w:firstLine="720"/>
        <w:jc w:val="both"/>
        <w:rPr/>
      </w:pPr>
      <w:r>
        <w:rPr>
          <w:rFonts w:ascii="Times New Roman;sans-serif" w:hAnsi="Times New Roman;sans-serif"/>
          <w:b w:val="false"/>
          <w:color w:val="000000"/>
          <w:sz w:val="20"/>
        </w:rPr>
        <w:t>If you intend to engage in a trade or make a gift involving securities of PAA or PAGP, you must first receive from the General Counsel</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a signed Trading Authorization Request, a form of which is attached as Exhibit A to this policy. The General Counsel may refuse to permit any transaction if he determines that the transaction could give rise to a charge of insider trading. </w:t>
      </w:r>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If the General Counsel or members of his immediate family and personal household wish to enter into transactions (including making gifts) involving securities of PAA or PAGP, the General Counsel must pre-clear that intent to trade with the Company’s Chief Executive Officer or Chief Financial Officer.</w:t>
      </w:r>
    </w:p>
    <w:p>
      <w:pPr>
        <w:pStyle w:val="TextBody"/>
        <w:bidi w:val="0"/>
        <w:spacing w:lineRule="auto" w:line="288"/>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 the absence of the General Counsel, Trading Authorization Requests may be submitted to the Chief Executive Officer or the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and after you receive permission to engage in a trade or make a gift involving securities of PAA or PAGP, you must complete your transaction within three business days (unless otherwise indicated on the Trading Authorization Request) or make a new request for clearance.</w:t>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“Approved 10b5-1 Plan” is a plan of acquisition or disposition (including dispositions by gift) of PAA or PAGP securities that meets the requirements of Rule 10b5-1 under the Securities Exchange Act of 1934, as amended, and that has been approved in advance by the CEO in consultation with the General Counsel or, in the case of the CEO, by either the Compensation Committee or the Board of Directors. In order to comply with disclosure requirements regarding Approved 10b5-1 Plans, you must advise the General Counsel’s office prior to the adoption, termination or modification of any such Plan.</w:t>
      </w:r>
    </w:p>
    <w:p>
      <w:pPr>
        <w:pStyle w:val="TextBody"/>
        <w:bidi w:val="0"/>
        <w:spacing w:lineRule="auto" w:line="288" w:before="0" w:after="140"/>
        <w:ind w:left="0" w:right="0" w:firstLine="720"/>
        <w:jc w:val="both"/>
        <w:rPr/>
      </w:pPr>
      <w:r>
        <w:rPr>
          <w:rFonts w:ascii="Times New Roman;sans-serif" w:hAnsi="Times New Roman;sans-serif"/>
          <w:b/>
          <w:color w:val="000000"/>
          <w:sz w:val="20"/>
        </w:rPr>
        <w:t>B.    </w:t>
      </w:r>
      <w:r>
        <w:rPr>
          <w:rFonts w:ascii="Times New Roman;sans-serif" w:hAnsi="Times New Roman;sans-serif"/>
          <w:b/>
          <w:color w:val="000000"/>
          <w:sz w:val="20"/>
          <w:u w:val="single"/>
        </w:rPr>
        <w:t>Post-Trading Reporting</w:t>
      </w:r>
      <w:r>
        <w:rPr>
          <w:rFonts w:ascii="Times New Roman;sans-serif" w:hAnsi="Times New Roman;sans-serif"/>
          <w:b w:val="false"/>
          <w:color w:val="000000"/>
          <w:sz w:val="20"/>
        </w:rPr>
        <w:t xml:space="preserve">. Directors and those officers who are subject to the reporting requirements of Section 16 of the Securities Exchange Act of 1934 (Section 16 Reporting Persons) are required to report to the General Counsel any transactions (including gifts) in PAA or PAGP securities undertaken by them, members of their immediate families and personal household or entities controlled by them. The report should be made as soon as practicable after the transaction occurs and, at the latest, by the beginning of the following business day. Each report you make to the General Counsel should include the date of the transaction or gift, the quantity and type of security involved and, in the case of purchases or sales, the price and contact information for the broker-dealer through which the purchase or sale was effected.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2.    Blackout Periods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person subject to this policy may trade in, or make gifts of, PAA or PAGP securities, other than pursuant to an exception described in Section 3 below, during the following regular quarterly blackout periods: for each fiscal quarter, from the close of trading on the last day of such fiscal quarter through the first full business day after PAA issues an earnings release pertaining to such quarter. For example, if PAA issues an earnings release before the market opens on a Friday morning, the blackout period would end at the close of business on Friday and trading could resume the following Monday morning (subject to compliance with applicable pre-clearance requirements and the Insider Trading Policy). </w:t>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extend the regular quarterly blackout period or impose additional blackout periods at any time if at the time the Company believes trading by Insiders would be inappropriate because of developments at the Plains Entities that are or could become material.</w:t>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Persons subject to this policy will be advised by the General Counsel’s office of the imposition and timing of blackout periods. If you are advised that the Company is in a blackout period with respect to trading of PAA or PAGP securities, you may not buy, sell or make gifts of PAA or PAGP securities under any circumstances (other than pursuant to an Approved 10b5-1 Plan) until you are advised that the blackout has been lifted and, if applicable, your transaction is specifically approved. In addition, you may not inform anyone else within or outside the Plains Entities that an additional blackout period has been imposed (other than the General Counsel or that officer’s representative, or except as authorized by the General Counsel).</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3.    Exceptions</w:t>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pre-clearance requirements and blackout period restrictions described above do not apply to (i) transactions (including making gifts) pursuant to an Approved 10b5-1 Plan, (ii) the acquisition of securities under equity incentive plans such as the PAA or PAGP Long-Term Incentive Plans, (iii) the withholding of securities by PAA or PAGP for the payment of taxes in connection with the vesting of awards under the Long-Term Incentive Plans, or (iv) the exchange or redemption of Class A Units of Plains AAP, L.P. Nevertheless, sales (other than dispositions described in (iii) above) or gifts of any securities acquired upon vesting of an award under a Long-Term Incentive Plan or as a result of the exchange or redemption of Class A Units of Plains AAP, L.P. are subject to the applicable pre-clearance requirements and blackout period restrictions, as well as to compliance with other provisions of this policy and the Insider Trading Policy. Members of the Pre-Clearance Group must notify the General Counsel in advance of any transaction subject to the foregoing exceptions.</w:t>
      </w:r>
    </w:p>
    <w:p>
      <w:pPr>
        <w:pStyle w:val="TextBody"/>
        <w:bidi w:val="0"/>
        <w:spacing w:lineRule="auto" w:line="288" w:before="0" w:after="140"/>
        <w:jc w:val="both"/>
        <w:rPr>
          <w:rFonts w:ascii="Times New Roman;sans-serif" w:hAnsi="Times New Roman;sans-serif"/>
          <w:b/>
          <w:color w:val="000000"/>
          <w:sz w:val="20"/>
        </w:rPr>
      </w:pPr>
      <w:r>
        <w:rPr>
          <w:rFonts w:ascii="Times New Roman;sans-serif" w:hAnsi="Times New Roman;sans-serif"/>
          <w:b/>
          <w:color w:val="000000"/>
          <w:sz w:val="20"/>
        </w:rPr>
        <w:t>4.    Communicating Potential Material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become aware of any non-public information about the Plains Entities or any of their affiliates that is or may become material, you should promptly communicate that information to the Chief Executive Officer, President, Chief Commercial Officer, Chief Operating Officer, or Chief Financial Officer of the Company, as well as to the General Counsel. This communication is very important to allow the Company to determine whether, how and when the information should be reported to the public. It is also critical to permit the General Counsel to determine whether to permit transactions (including gifts) in securities of PAA or PAGP. Except for such communication, you should keep the information confidential and share it only with the Company’s employees, accountants and legal counsel who have a need to know as directed by the General Counsel. If you have any doubt about whether information may be material, you should err in favor of prompt communication to the Chief Executive Officer, President, Chief Commercial Officer, Chief Operating Officer or Chief Financial Officer of the Company, as well as to the General Counsel.</w:t>
      </w:r>
    </w:p>
    <w:p>
      <w:pPr>
        <w:pStyle w:val="TextBody"/>
        <w:bidi w:val="0"/>
        <w:spacing w:lineRule="auto" w:line="288" w:before="0" w:after="140"/>
        <w:jc w:val="both"/>
        <w:rPr>
          <w:rFonts w:ascii="Times New Roman;sans-serif" w:hAnsi="Times New Roman;sans-serif"/>
          <w:b/>
          <w:color w:val="000000"/>
          <w:sz w:val="20"/>
        </w:rPr>
      </w:pPr>
      <w:r>
        <w:rPr>
          <w:rFonts w:ascii="Times New Roman;sans-serif" w:hAnsi="Times New Roman;sans-serif"/>
          <w:b/>
          <w:color w:val="000000"/>
          <w:sz w:val="20"/>
        </w:rPr>
        <w:t>5.    Reporting Violations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know or have reason to believe that any compliance procedures contained in this Policy have been or are about to be violated in any way, you should promptly bring the actual or potential violation to the attention of the General Counsel.</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6.    Relation to Insider Trading Policy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Policy Regarding Special Trading Procedures does not, except as expressly set forth in this paragraph, alter the obligation of any person to comply with the provisions of the Company’s Insider Trading Policy. The prohibition on trading or gifting securities of PAA or PAGP while in possession of material, non-public information, as set forth in the Insider Trading Policy, does not apply to transactions consummated pursuant to an Approved 10b5-1 Plan.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7.    Other Transactions</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In addition to the prohibition against short selling contained in the Company’s Insider Trading Policy, the following transactions are prohibited or discouraged as described below:</w:t>
      </w:r>
    </w:p>
    <w:p>
      <w:pPr>
        <w:pStyle w:val="TextBody"/>
        <w:bidi w:val="0"/>
        <w:spacing w:lineRule="auto" w:line="288" w:before="0" w:after="200"/>
        <w:ind w:left="0" w:right="0" w:firstLine="720"/>
        <w:jc w:val="both"/>
        <w:rPr/>
      </w:pPr>
      <w:r>
        <w:rPr>
          <w:rFonts w:ascii="Times New Roman;sans-serif" w:hAnsi="Times New Roman;sans-serif"/>
          <w:b/>
          <w:color w:val="000000"/>
          <w:sz w:val="20"/>
        </w:rPr>
        <w:t>A.</w:t>
      </w:r>
      <w:r>
        <w:rPr>
          <w:rFonts w:ascii="Times New Roman;sans-serif" w:hAnsi="Times New Roman;sans-serif"/>
          <w:b/>
          <w:color w:val="000000"/>
          <w:sz w:val="20"/>
          <w:u w:val="single"/>
        </w:rPr>
        <w:t>Publicly Traded Options</w:t>
      </w:r>
      <w:r>
        <w:rPr>
          <w:rFonts w:ascii="Times New Roman;sans-serif" w:hAnsi="Times New Roman;sans-serif"/>
          <w:b w:val="false"/>
          <w:color w:val="000000"/>
          <w:sz w:val="20"/>
        </w:rPr>
        <w:t>. Transactions in puts, calls, options or other derivative securities, on an exchange or in any other organized market, are prohibited for members of the Pre-Clearance Group and are strongly discouraged for all other employees.</w:t>
      </w:r>
    </w:p>
    <w:p>
      <w:pPr>
        <w:pStyle w:val="TextBody"/>
        <w:bidi w:val="0"/>
        <w:spacing w:lineRule="auto" w:line="288" w:before="0" w:after="200"/>
        <w:ind w:left="0" w:right="0" w:firstLine="720"/>
        <w:jc w:val="both"/>
        <w:rPr/>
      </w:pPr>
      <w:r>
        <w:rPr>
          <w:rFonts w:ascii="Times New Roman;sans-serif" w:hAnsi="Times New Roman;sans-serif"/>
          <w:b/>
          <w:color w:val="000000"/>
          <w:sz w:val="20"/>
        </w:rPr>
        <w:t>B.</w:t>
      </w:r>
      <w:r>
        <w:rPr>
          <w:rFonts w:ascii="Times New Roman;sans-serif" w:hAnsi="Times New Roman;sans-serif"/>
          <w:b/>
          <w:color w:val="000000"/>
          <w:sz w:val="20"/>
          <w:u w:val="single"/>
        </w:rPr>
        <w:t>Pledges and Margin Accounts</w:t>
      </w:r>
      <w:r>
        <w:rPr>
          <w:rFonts w:ascii="Times New Roman;sans-serif" w:hAnsi="Times New Roman;sans-serif"/>
          <w:b w:val="false"/>
          <w:color w:val="000000"/>
          <w:sz w:val="20"/>
        </w:rPr>
        <w:t xml:space="preserve">. Securities pledged as collateral for a loan may be sold in foreclosure if the borrower defaults on the loan. Similarly, securities held in a margin account may be sold by a broker without the customer’s consent if the customer fails to meet a margin call. A foreclosure or margin sale could occur at a time when the pledgor or account holder is aware of material nonpublic information or during a blackout period. Therefore, pledging PAA and PAGP securities as collateral for a loan or holding such securities as marginable securities in a margin account is prohibited for members of the Pre-Clearance Group and is strongly discouraged for all other employees. </w:t>
      </w:r>
    </w:p>
    <w:p>
      <w:pPr>
        <w:pStyle w:val="TextBody"/>
        <w:bidi w:val="0"/>
        <w:spacing w:lineRule="auto" w:line="288" w:before="0" w:after="200"/>
        <w:ind w:left="0" w:right="0" w:firstLine="720"/>
        <w:jc w:val="both"/>
        <w:rPr/>
      </w:pPr>
      <w:r>
        <w:rPr>
          <w:rFonts w:ascii="Times New Roman;sans-serif" w:hAnsi="Times New Roman;sans-serif"/>
          <w:b/>
          <w:color w:val="000000"/>
          <w:sz w:val="20"/>
        </w:rPr>
        <w:t>C.</w:t>
      </w:r>
      <w:r>
        <w:rPr>
          <w:rFonts w:ascii="Times New Roman;sans-serif" w:hAnsi="Times New Roman;sans-serif"/>
          <w:b/>
          <w:color w:val="000000"/>
          <w:sz w:val="20"/>
          <w:u w:val="single"/>
        </w:rPr>
        <w:t>Hedging Transactions</w:t>
      </w:r>
      <w:r>
        <w:rPr>
          <w:rFonts w:ascii="Times New Roman;sans-serif" w:hAnsi="Times New Roman;sans-serif"/>
          <w:b w:val="false"/>
          <w:color w:val="000000"/>
          <w:sz w:val="20"/>
        </w:rPr>
        <w:t>. Certain forms of hedging or monetization transactions, such as prepaid variable forwards, equity swaps, collars and exchange funds, may permit a director, officer or other employee to continue to own PAA or PAGP securities but without the full risks and rewards of ownership. When that occurs, the director, officer or other employee may no longer have the same objectives as other investors. Therefore, such hedging transactions are prohibited for members of the Pre-Clearance Group and strongly discouraged for all other employees.</w:t>
      </w:r>
    </w:p>
    <w:p>
      <w:pPr>
        <w:pStyle w:val="TextBody"/>
        <w:bidi w:val="0"/>
        <w:spacing w:lineRule="auto" w:line="288" w:before="0" w:after="240"/>
        <w:ind w:left="0" w:right="0" w:firstLine="720"/>
        <w:jc w:val="both"/>
        <w:rPr/>
      </w:pPr>
      <w:r>
        <w:rPr>
          <w:rFonts w:ascii="Times New Roman;sans-serif" w:hAnsi="Times New Roman;sans-serif"/>
          <w:b/>
          <w:color w:val="000000"/>
          <w:sz w:val="20"/>
        </w:rPr>
        <w:t>D.</w:t>
      </w:r>
      <w:r>
        <w:rPr>
          <w:rFonts w:ascii="Times New Roman;sans-serif" w:hAnsi="Times New Roman;sans-serif"/>
          <w:b/>
          <w:color w:val="000000"/>
          <w:sz w:val="20"/>
          <w:u w:val="single"/>
        </w:rPr>
        <w:t>Standing and Limit Orders</w:t>
      </w:r>
      <w:r>
        <w:rPr>
          <w:rFonts w:ascii="Times New Roman;sans-serif" w:hAnsi="Times New Roman;sans-serif"/>
          <w:b w:val="false"/>
          <w:color w:val="000000"/>
          <w:sz w:val="20"/>
        </w:rPr>
        <w:t xml:space="preserve">. Standing and limit orders (except pursuant to an Approved 10b5-1 Plan) create heightened risks for insider trading violations because purchases and sales could occur at a time when a director, officer or other employee is aware of material nonpublic information or during a blackout period. Therefore, placing standing or limit orders on PAA or PAGP securities is strongly discouraged. If a director, officer or other employee subject to this policy desires to use a standing or limit order, the order should be of short duration, should not exceed the time allowed to complete a transaction approved under the pre-clearance procedures and should be withdrawn during any blackout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This document states a policy of PAA GP Holdings LLC and is not intended to be regarded as the rendering of legal advice.</w:t>
      </w:r>
    </w:p>
    <w:p>
      <w:pPr>
        <w:pStyle w:val="TextBody"/>
        <w:bidi w:val="0"/>
        <w:spacing w:lineRule="auto" w:line="288"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February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(As of 12/31/2024)</w:t>
      </w:r>
    </w:p>
    <w:tbl>
      <w:tblPr>
        <w:tblW w:w="6641" w:type="dxa"/>
        <w:jc w:val="center"/>
        <w:tblInd w:w="0" w:type="dxa"/>
        <w:tblLayout w:type="fixed"/>
        <w:tblCellMar>
          <w:top w:w="28" w:type="dxa"/>
          <w:left w:w="28" w:type="dxa"/>
          <w:bottom w:w="28" w:type="dxa"/>
          <w:right w:w="28" w:type="dxa"/>
        </w:tblCellMar>
      </w:tblPr>
      <w:tblGrid>
        <w:gridCol w:w="1482"/>
        <w:gridCol w:w="1302"/>
        <w:gridCol w:w="1311"/>
        <w:gridCol w:w="109"/>
        <w:gridCol w:w="109"/>
        <w:gridCol w:w="109"/>
        <w:gridCol w:w="648"/>
        <w:gridCol w:w="648"/>
        <w:gridCol w:w="923"/>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Logistics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Alpha Crude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Aurora Pipeline Company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Crude Terminal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II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Crude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FM Midstream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FM Gathering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Kern-Southland Energy Link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Midway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Niobrara Crude Terminal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OMOG JV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OMOG JV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Delaware Oil Transport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Midland Oil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Midland Oil Marketing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Midstream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Wink Oil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Finance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Luxembourg S.a.r.l.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Midstream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Natural Gas Storage,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Service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PAA/Vulcan Gas Storage,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Pacific Pipeline System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Emergency Relief Fund,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Capline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Gas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LPG Services CA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LPG Services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LPG Services,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Bondholder,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CA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Canada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Luxembourg S.a.r.l.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46" w:type="dxa"/>
        <w:jc w:val="center"/>
        <w:tblInd w:w="0" w:type="dxa"/>
        <w:tblLayout w:type="fixed"/>
        <w:tblCellMar>
          <w:top w:w="28" w:type="dxa"/>
          <w:left w:w="28" w:type="dxa"/>
          <w:bottom w:w="28" w:type="dxa"/>
          <w:right w:w="28" w:type="dxa"/>
        </w:tblCellMar>
      </w:tblPr>
      <w:tblGrid>
        <w:gridCol w:w="1304"/>
        <w:gridCol w:w="1144"/>
        <w:gridCol w:w="1152"/>
        <w:gridCol w:w="109"/>
        <w:gridCol w:w="109"/>
        <w:gridCol w:w="109"/>
        <w:gridCol w:w="648"/>
        <w:gridCol w:w="648"/>
        <w:gridCol w:w="923"/>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Superior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Marketing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MidCon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Montana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Products Terminals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Rail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South Texas Gathering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(Nova Scotia)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Nova Scotia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PNGS GP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POPB NM Crude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POPBP DE Crude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Rancho LPG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Pipeline Montana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James Rail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Corridor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(Nos. 333-138888, 333-155673, 333-162477, 333-214778, 333-221845, 333-267725, 333-281967 and 333-281968) and on Form S-8 (Nos. 333-91141, 333-74920, 333-122806, 333-141185, 333-193139, 333-193140 and 333-256507) of Plains All American Pipeline, L.P. of our report dated February 27, 2025 relating to the financial statements and the effectiveness of internal control over financial reporting, which appears in this Form 10-K.</w:t>
      </w:r>
    </w:p>
    <w:p>
      <w:pPr>
        <w:pStyle w:val="TextBody"/>
        <w:bidi w:val="0"/>
        <w:spacing w:before="0" w:after="0"/>
        <w:jc w:val="left"/>
        <w:rPr/>
      </w:pPr>
      <w:r>
        <w:rPr/>
      </w:r>
    </w:p>
    <w:tbl>
      <w:tblPr>
        <w:tblW w:w="2790" w:type="dxa"/>
        <w:jc w:val="left"/>
        <w:tblInd w:w="0" w:type="dxa"/>
        <w:tblLayout w:type="fixed"/>
        <w:tblCellMar>
          <w:top w:w="28" w:type="dxa"/>
          <w:left w:w="28" w:type="dxa"/>
          <w:bottom w:w="28" w:type="dxa"/>
          <w:right w:w="28" w:type="dxa"/>
        </w:tblCellMar>
      </w:tblPr>
      <w:tblGrid>
        <w:gridCol w:w="890"/>
        <w:gridCol w:w="781"/>
        <w:gridCol w:w="1119"/>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All American Pipeline, L.P. (the “Company”), hereby certify that:</w:t>
      </w:r>
    </w:p>
    <w:p>
      <w:pPr>
        <w:pStyle w:val="TextBody"/>
        <w:bidi w:val="0"/>
        <w:spacing w:before="0" w:after="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the accompanying report on Form 10-K for the period ended December 31, 2024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129" w:type="dxa"/>
        <w:jc w:val="left"/>
        <w:tblInd w:w="0" w:type="dxa"/>
        <w:tblLayout w:type="fixed"/>
        <w:tblCellMar>
          <w:top w:w="28" w:type="dxa"/>
          <w:left w:w="28" w:type="dxa"/>
          <w:bottom w:w="28" w:type="dxa"/>
          <w:right w:w="28" w:type="dxa"/>
        </w:tblCellMar>
      </w:tblPr>
      <w:tblGrid>
        <w:gridCol w:w="681"/>
        <w:gridCol w:w="597"/>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the accompanying report on Form 10-K for the period ended December 31, 2024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130" w:type="dxa"/>
        <w:jc w:val="left"/>
        <w:tblInd w:w="0" w:type="dxa"/>
        <w:tblLayout w:type="fixed"/>
        <w:tblCellMar>
          <w:top w:w="28" w:type="dxa"/>
          <w:left w:w="28" w:type="dxa"/>
          <w:bottom w:w="28" w:type="dxa"/>
          <w:right w:w="28" w:type="dxa"/>
        </w:tblCellMar>
      </w:tblPr>
      <w:tblGrid>
        <w:gridCol w:w="681"/>
        <w:gridCol w:w="598"/>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070423/000110465916132668/a16-14925_1ex2d1.htm" TargetMode="External"/><Relationship Id="rId9" Type="http://schemas.openxmlformats.org/officeDocument/2006/relationships/hyperlink" Target="https://www.sec.gov/Archives/edgar/data/1070423/000110465921091443/tm2121935d1_ex2-1.htm" TargetMode="External"/><Relationship Id="rId10" Type="http://schemas.openxmlformats.org/officeDocument/2006/relationships/hyperlink" Target="https://www.sec.gov/Archives/edgar/data/1070423/000110465917061889/a17-22685_5ex3d1.htm" TargetMode="External"/><Relationship Id="rId11" Type="http://schemas.openxmlformats.org/officeDocument/2006/relationships/hyperlink" Target="https://www.sec.gov/Archives/edgar/data/1070423/000104746904016502/a2135501zex-3_2.htm" TargetMode="External"/><Relationship Id="rId12" Type="http://schemas.openxmlformats.org/officeDocument/2006/relationships/hyperlink" Target="https://www.sec.gov/Archives/edgar/data/1070423/000110465911010359/a11-2319_1ex3d9.htm" TargetMode="External"/><Relationship Id="rId13" Type="http://schemas.openxmlformats.org/officeDocument/2006/relationships/hyperlink" Target="https://www.sec.gov/Archives/edgar/data/1070423/000110465911010359/a11-2319_1ex3d10.htm" TargetMode="External"/><Relationship Id="rId14" Type="http://schemas.openxmlformats.org/officeDocument/2006/relationships/hyperlink" Target="https://www.sec.gov/Archives/edgar/data/1070423/000110465914014322/a13-25941_1ex3d7.htm" TargetMode="External"/><Relationship Id="rId15" Type="http://schemas.openxmlformats.org/officeDocument/2006/relationships/hyperlink" Target="https://www.sec.gov/Archives/edgar/data/1070423/000110465914014322/a13-25941_1ex3d8.htm" TargetMode="External"/><Relationship Id="rId16" Type="http://schemas.openxmlformats.org/officeDocument/2006/relationships/hyperlink" Target="https://www.sec.gov/Archives/edgar/data/1070423/000107042320000004/paa201910-kexhibit37.htm" TargetMode="External"/><Relationship Id="rId17" Type="http://schemas.openxmlformats.org/officeDocument/2006/relationships/hyperlink" Target="https://www.sec.gov/Archives/edgar/data/1070423/000104746904016502/a2135501zex-3_3.htm" TargetMode="External"/><Relationship Id="rId18" Type="http://schemas.openxmlformats.org/officeDocument/2006/relationships/hyperlink" Target="https://www.sec.gov/Archives/edgar/data/1070423/000110465914014322/a13-25941_1ex3d10.htm" TargetMode="External"/><Relationship Id="rId19" Type="http://schemas.openxmlformats.org/officeDocument/2006/relationships/hyperlink" Target="https://www.sec.gov/Archives/edgar/data/1070423/000110465916158355/a16-21841_1ex3d3.htm" TargetMode="External"/><Relationship Id="rId20" Type="http://schemas.openxmlformats.org/officeDocument/2006/relationships/hyperlink" Target="https://www.sec.gov/Archives/edgar/data/1070423/000110465916158355/a16-21841_1ex3d4.htm" TargetMode="External"/><Relationship Id="rId21" Type="http://schemas.openxmlformats.org/officeDocument/2006/relationships/hyperlink" Target="https://www.sec.gov/Archives/edgar/data/1070423/000110465918060011/a18-36196_1ex3d1.htm" TargetMode="External"/><Relationship Id="rId22" Type="http://schemas.openxmlformats.org/officeDocument/2006/relationships/hyperlink" Target="https://www.sec.gov/Archives/edgar/data/1070423/000110465919032810/a19-10856_1ex3d1.htm" TargetMode="External"/><Relationship Id="rId23" Type="http://schemas.openxmlformats.org/officeDocument/2006/relationships/hyperlink" Target="https://www.sec.gov/Archives/edgar/data/1070423/000110465923093997/tm2324104d2_ex3-1.htm" TargetMode="External"/><Relationship Id="rId24" Type="http://schemas.openxmlformats.org/officeDocument/2006/relationships/hyperlink" Target="https://www.sec.gov/Archives/edgar/data/1070423/000095012907001096/h43224exv3w10.htm" TargetMode="External"/><Relationship Id="rId25" Type="http://schemas.openxmlformats.org/officeDocument/2006/relationships/hyperlink" Target="https://www.sec.gov/Archives/edgar/data/1070423/000095012907001096/h43224exv3w11.htm" TargetMode="External"/><Relationship Id="rId26" Type="http://schemas.openxmlformats.org/officeDocument/2006/relationships/hyperlink" Target="https://www.sec.gov/Archives/edgar/data/1070423/000095012908000071/h52770exv3w3.htm" TargetMode="External"/><Relationship Id="rId27" Type="http://schemas.openxmlformats.org/officeDocument/2006/relationships/hyperlink" Target="https://www.sec.gov/Archives/edgar/data/1581990/000104746913007875/a2216069zex-3_1.htm" TargetMode="External"/><Relationship Id="rId28" Type="http://schemas.openxmlformats.org/officeDocument/2006/relationships/hyperlink" Target="https://www.sec.gov/Archives/edgar/data/1581990/000110465916158356/a16-21845_1ex3d2.htm" TargetMode="External"/><Relationship Id="rId29" Type="http://schemas.openxmlformats.org/officeDocument/2006/relationships/hyperlink" Target="https://www.sec.gov/Archives/edgar/data/1581990/000158199020000012/exhibit31.htm" TargetMode="External"/><Relationship Id="rId30" Type="http://schemas.openxmlformats.org/officeDocument/2006/relationships/hyperlink" Target="https://www.sec.gov/Archives/edgar/data/1581990/000104746913007875/a2216069zex-3_3.htm" TargetMode="External"/><Relationship Id="rId31" Type="http://schemas.openxmlformats.org/officeDocument/2006/relationships/hyperlink" Target="https://www.sec.gov/Archives/edgar/data/1070423/000107042322000006/paa202110-kexhibite69.htm" TargetMode="External"/><Relationship Id="rId32" Type="http://schemas.openxmlformats.org/officeDocument/2006/relationships/hyperlink" Target="https://www.sec.gov/Archives/edgar/data/1070423/000089924302002834/dex41.txt" TargetMode="External"/><Relationship Id="rId33" Type="http://schemas.openxmlformats.org/officeDocument/2006/relationships/hyperlink" Target="https://www.sec.gov/Archives/edgar/data/1070423/000110465906034368/a06-11663_1ex4d1.htm" TargetMode="External"/><Relationship Id="rId34" Type="http://schemas.openxmlformats.org/officeDocument/2006/relationships/hyperlink" Target="https://www.sec.gov/Archives/edgar/data/1070423/000095012906009235/h40667exv4w2.htm" TargetMode="External"/><Relationship Id="rId35" Type="http://schemas.openxmlformats.org/officeDocument/2006/relationships/hyperlink" Target="https://www.sec.gov/Archives/edgar/data/1070423/000119312512132295/d321017dex43.htm" TargetMode="External"/><Relationship Id="rId36" Type="http://schemas.openxmlformats.org/officeDocument/2006/relationships/hyperlink" Target="https://www.sec.gov/Archives/edgar/data/1070423/000119312512499932/d453762dex43.htm" TargetMode="External"/><Relationship Id="rId37" Type="http://schemas.openxmlformats.org/officeDocument/2006/relationships/hyperlink" Target="https://www.sec.gov/Archives/edgar/data/1070423/000119312514164183/d713938dex41.htm" TargetMode="External"/><Relationship Id="rId38" Type="http://schemas.openxmlformats.org/officeDocument/2006/relationships/hyperlink" Target="https://www.sec.gov/Archives/edgar/data/1070423/000119312514440007/d833885dex43.htm" TargetMode="External"/><Relationship Id="rId39" Type="http://schemas.openxmlformats.org/officeDocument/2006/relationships/hyperlink" Target="https://www.sec.gov/Archives/edgar/data/1070423/000119312515302829/d45393dex41.htm" TargetMode="External"/><Relationship Id="rId40" Type="http://schemas.openxmlformats.org/officeDocument/2006/relationships/hyperlink" Target="https://www.sec.gov/Archives/edgar/data/1070423/000110465916159593/a16-22232_1ex4d1.htm" TargetMode="External"/><Relationship Id="rId41" Type="http://schemas.openxmlformats.org/officeDocument/2006/relationships/hyperlink" Target="https://www.sec.gov/Archives/edgar/data/1070423/000141057819001281/tv529555_ex4-1.htm" TargetMode="External"/><Relationship Id="rId42" Type="http://schemas.openxmlformats.org/officeDocument/2006/relationships/hyperlink" Target="https://www.sec.gov/Archives/edgar/data/1070423/000110465920072270/tm2022235d1_ex4-1.htm" TargetMode="External"/><Relationship Id="rId43" Type="http://schemas.openxmlformats.org/officeDocument/2006/relationships/hyperlink" Target="https://www.sec.gov/Archives/edgar/data/1070423/000110465924075672/tm2418387d1_ex4-1.htm" TargetMode="External"/><Relationship Id="rId44" Type="http://schemas.openxmlformats.org/officeDocument/2006/relationships/hyperlink" Target="https://www.sec.gov/Archives/edgar/data/1070423/000110465924075672/tm2418387d1_ex4-1.htm" TargetMode="External"/><Relationship Id="rId45" Type="http://schemas.openxmlformats.org/officeDocument/2006/relationships/hyperlink" Target="https://www.sec.gov/Archives/edgar/data/1070423/000110465924075672/tm2418387d1_ex4-1.htm" TargetMode="External"/><Relationship Id="rId46" Type="http://schemas.openxmlformats.org/officeDocument/2006/relationships/hyperlink" Target="https://www.sec.gov/Archives/edgar/data/1070423/000110465924075672/tm2418387d1_ex4-1.htm" TargetMode="External"/><Relationship Id="rId47" Type="http://schemas.openxmlformats.org/officeDocument/2006/relationships/hyperlink" Target="https://www.sec.gov/Archives/edgar/data/1070423/000110465924075672/tm2418387d1_ex4-1.htm" TargetMode="External"/><Relationship Id="rId48" Type="http://schemas.openxmlformats.org/officeDocument/2006/relationships/hyperlink" Target="https://www.sec.gov/Archives/edgar/data/1070423/000110465924075672/tm2418387d1_ex4-1.htm" TargetMode="External"/><Relationship Id="rId49" Type="http://schemas.openxmlformats.org/officeDocument/2006/relationships/hyperlink" Target="https://www.sec.gov/Archives/edgar/data/1070423/000110465924075672/tm2418387d1_ex4-1.htm" TargetMode="External"/><Relationship Id="rId50" Type="http://schemas.openxmlformats.org/officeDocument/2006/relationships/hyperlink" Target="https://www.sec.gov/Archives/edgar/data/1070423/000110465924075672/tm2418387d1_ex4-1.htm" TargetMode="External"/><Relationship Id="rId51" Type="http://schemas.openxmlformats.org/officeDocument/2006/relationships/hyperlink" Target="https://www.sec.gov/Archives/edgar/data/1070423/000110465924075672/tm2418387d1_ex4-1.htm" TargetMode="External"/><Relationship Id="rId52" Type="http://schemas.openxmlformats.org/officeDocument/2006/relationships/hyperlink" Target="https://www.sec.gov/Archives/edgar/data/1070423/000110465924075672/tm2418387d1_ex4-1.htm" TargetMode="External"/><Relationship Id="rId53" Type="http://schemas.openxmlformats.org/officeDocument/2006/relationships/hyperlink" Target="https://www.sec.gov/Archives/edgar/data/1070423/000110465924075672/tm2418387d1_ex4-1.htm" TargetMode="External"/><Relationship Id="rId54" Type="http://schemas.openxmlformats.org/officeDocument/2006/relationships/hyperlink" Target="https://www.sec.gov/Archives/edgar/data/1070423/000110465924075672/tm2418387d1_ex4-1.htm" TargetMode="External"/><Relationship Id="rId55" Type="http://schemas.openxmlformats.org/officeDocument/2006/relationships/hyperlink" Target="https://www.sec.gov/Archives/edgar/data/1070423/000110465924075672/tm2418387d1_ex4-1.htm" TargetMode="External"/><Relationship Id="rId56" Type="http://schemas.openxmlformats.org/officeDocument/2006/relationships/hyperlink" Target="https://www.sec.gov/Archives/edgar/data/1070423/000110465924075672/tm2418387d1_ex4-1.htm" TargetMode="External"/><Relationship Id="rId57" Type="http://schemas.openxmlformats.org/officeDocument/2006/relationships/hyperlink" Target="https://www.sec.gov/Archives/edgar/data/1070423/000110465924075672/tm2418387d1_ex4-1.htm" TargetMode="External"/><Relationship Id="rId58" Type="http://schemas.openxmlformats.org/officeDocument/2006/relationships/hyperlink" Target="https://www.sec.gov/Archives/edgar/data/1070423/000110465924075672/tm2418387d1_ex4-1.htm" TargetMode="External"/><Relationship Id="rId59" Type="http://schemas.openxmlformats.org/officeDocument/2006/relationships/hyperlink" Target="https://www.sec.gov/Archives/edgar/data/1070423/000110465924075672/tm2418387d1_ex4-1.htm" TargetMode="External"/><Relationship Id="rId60" Type="http://schemas.openxmlformats.org/officeDocument/2006/relationships/hyperlink" Target="https://www.sec.gov/Archives/edgar/data/1070423/000110465925003785/tm253436d1_ex4-1.htm" TargetMode="External"/><Relationship Id="rId61" Type="http://schemas.openxmlformats.org/officeDocument/2006/relationships/hyperlink" Target="https://www.sec.gov/Archives/edgar/data/1070423/000110465925003785/tm253436d1_ex4-1.htm" TargetMode="External"/><Relationship Id="rId62" Type="http://schemas.openxmlformats.org/officeDocument/2006/relationships/hyperlink" Target="https://www.sec.gov/Archives/edgar/data/1070423/000110465925003785/tm253436d1_ex4-1.htm" TargetMode="External"/><Relationship Id="rId63" Type="http://schemas.openxmlformats.org/officeDocument/2006/relationships/hyperlink" Target="https://www.sec.gov/Archives/edgar/data/1070423/000110465925003785/tm253436d1_ex4-1.htm" TargetMode="External"/><Relationship Id="rId64" Type="http://schemas.openxmlformats.org/officeDocument/2006/relationships/hyperlink" Target="https://www.sec.gov/Archives/edgar/data/1070423/000110465925003785/tm253436d1_ex4-1.htm" TargetMode="External"/><Relationship Id="rId65" Type="http://schemas.openxmlformats.org/officeDocument/2006/relationships/hyperlink" Target="https://www.sec.gov/Archives/edgar/data/1070423/000110465925003785/tm253436d1_ex4-1.htm" TargetMode="External"/><Relationship Id="rId66" Type="http://schemas.openxmlformats.org/officeDocument/2006/relationships/hyperlink" Target="https://www.sec.gov/Archives/edgar/data/1070423/000110465925003785/tm253436d1_ex4-1.htm" TargetMode="External"/><Relationship Id="rId67" Type="http://schemas.openxmlformats.org/officeDocument/2006/relationships/hyperlink" Target="https://www.sec.gov/Archives/edgar/data/1070423/000110465925003785/tm253436d1_ex4-1.htm" TargetMode="External"/><Relationship Id="rId68" Type="http://schemas.openxmlformats.org/officeDocument/2006/relationships/hyperlink" Target="https://www.sec.gov/Archives/edgar/data/1070423/000110465925003785/tm253436d1_ex4-1.htm" TargetMode="External"/><Relationship Id="rId69" Type="http://schemas.openxmlformats.org/officeDocument/2006/relationships/hyperlink" Target="https://www.sec.gov/Archives/edgar/data/1070423/000110465925003785/tm253436d1_ex4-1.htm" TargetMode="External"/><Relationship Id="rId70" Type="http://schemas.openxmlformats.org/officeDocument/2006/relationships/hyperlink" Target="https://www.sec.gov/Archives/edgar/data/1070423/000110465925003785/tm253436d1_ex4-1.htm" TargetMode="External"/><Relationship Id="rId71" Type="http://schemas.openxmlformats.org/officeDocument/2006/relationships/hyperlink" Target="https://www.sec.gov/Archives/edgar/data/1070423/000110465925003785/tm253436d1_ex4-1.htm" TargetMode="External"/><Relationship Id="rId72" Type="http://schemas.openxmlformats.org/officeDocument/2006/relationships/hyperlink" Target="https://www.sec.gov/Archives/edgar/data/1070423/000110465925003785/tm253436d1_ex4-1.htm" TargetMode="External"/><Relationship Id="rId73" Type="http://schemas.openxmlformats.org/officeDocument/2006/relationships/hyperlink" Target="https://www.sec.gov/Archives/edgar/data/1070423/000110465925003785/tm253436d1_ex4-1.htm" TargetMode="External"/><Relationship Id="rId74" Type="http://schemas.openxmlformats.org/officeDocument/2006/relationships/hyperlink" Target="https://www.sec.gov/Archives/edgar/data/1070423/000110465925003785/tm253436d1_ex4-1.htm" TargetMode="External"/><Relationship Id="rId75" Type="http://schemas.openxmlformats.org/officeDocument/2006/relationships/hyperlink" Target="https://www.sec.gov/Archives/edgar/data/1070423/000095012309050401/h68193exv4w1.htm" TargetMode="External"/><Relationship Id="rId76" Type="http://schemas.openxmlformats.org/officeDocument/2006/relationships/hyperlink" Target="https://www.sec.gov/Archives/edgar/data/1070423/000110465916093299/a16-3362_1ex4d1.htm" TargetMode="External"/><Relationship Id="rId77" Type="http://schemas.openxmlformats.org/officeDocument/2006/relationships/hyperlink" Target="https://www.sec.gov/Archives/edgar/data/1070423/000110465916158355/a16-21841_1ex10d4.htm" TargetMode="External"/><Relationship Id="rId78" Type="http://schemas.openxmlformats.org/officeDocument/2006/relationships/hyperlink" Target="https://www.sec.gov/Archives/edgar/data/1070423/000110465921109829/tm2125729d3_ex10-1.htm" TargetMode="External"/><Relationship Id="rId79" Type="http://schemas.openxmlformats.org/officeDocument/2006/relationships/hyperlink" Target="https://www.sec.gov/Archives/edgar/data/1070423/000110465922094478/tm2224524d1_ex10-1.htm" TargetMode="External"/><Relationship Id="rId80" Type="http://schemas.openxmlformats.org/officeDocument/2006/relationships/hyperlink" Target="https://www.sec.gov/Archives/edgar/data/1070423/000110465924092056/tm2422213d1_ex10-1.htm" TargetMode="External"/><Relationship Id="rId81" Type="http://schemas.openxmlformats.org/officeDocument/2006/relationships/hyperlink" Target="https://www.sec.gov/Archives/edgar/data/1070423/000110465921109829/tm2125729d3_ex10-2.htm" TargetMode="External"/><Relationship Id="rId82" Type="http://schemas.openxmlformats.org/officeDocument/2006/relationships/hyperlink" Target="https://www.sec.gov/Archives/edgar/data/1070423/000110465922094478/tm2224524d1_ex10-2.htm" TargetMode="External"/><Relationship Id="rId83" Type="http://schemas.openxmlformats.org/officeDocument/2006/relationships/hyperlink" Target="https://www.sec.gov/Archives/edgar/data/1070423/000110465924092056/tm2422213d1_ex10-2.htm" TargetMode="External"/><Relationship Id="rId84" Type="http://schemas.openxmlformats.org/officeDocument/2006/relationships/hyperlink" Target="https://www.sec.gov/Archives/edgar/data/1070423/000095012908000071/h52770exv10w2.htm" TargetMode="External"/><Relationship Id="rId85" Type="http://schemas.openxmlformats.org/officeDocument/2006/relationships/hyperlink" Target="https://www.sec.gov/Archives/edgar/data/1070423/000110465916158355/a16-21841_1ex10d1.htm" TargetMode="External"/><Relationship Id="rId86" Type="http://schemas.openxmlformats.org/officeDocument/2006/relationships/hyperlink" Target="https://www.sec.gov/Archives/edgar/data/1070423/000110465916158355/a16-21841_1ex10d2.htm" TargetMode="External"/><Relationship Id="rId87" Type="http://schemas.openxmlformats.org/officeDocument/2006/relationships/hyperlink" Target="https://www.sec.gov/Archives/edgar/data/1070423/000089924301501783/dex101.txt" TargetMode="External"/><Relationship Id="rId88" Type="http://schemas.openxmlformats.org/officeDocument/2006/relationships/hyperlink" Target="https://www.sec.gov/Archives/edgar/data/1070423/000104746909001897/a2190434zex-10_49.htm" TargetMode="External"/><Relationship Id="rId89" Type="http://schemas.openxmlformats.org/officeDocument/2006/relationships/hyperlink" Target="https://www.sec.gov/Archives/edgar/data/1070423/000110465911010359/a11-2319_1ex10d31.htm" TargetMode="External"/><Relationship Id="rId90" Type="http://schemas.openxmlformats.org/officeDocument/2006/relationships/hyperlink" Target="https://www.sec.gov/Archives/edgar/data/1070423/000110465913078056/a13-22862_1ex10d2.htm" TargetMode="External"/><Relationship Id="rId91" Type="http://schemas.openxmlformats.org/officeDocument/2006/relationships/hyperlink" Target="https://www.sec.gov/Archives/edgar/data/1070423/000107042318000015/paaq32018exhibit106.htm" TargetMode="External"/><Relationship Id="rId92" Type="http://schemas.openxmlformats.org/officeDocument/2006/relationships/hyperlink" Target="https://www.sec.gov/Archives/edgar/data/1070423/000107042320000004/paa201910-kexhibit1031.htm" TargetMode="External"/><Relationship Id="rId93" Type="http://schemas.openxmlformats.org/officeDocument/2006/relationships/hyperlink" Target="https://www.sec.gov/Archives/edgar/data/1070423/000107042322000006/paa202110-kexhibit1012.htm" TargetMode="External"/><Relationship Id="rId94" Type="http://schemas.openxmlformats.org/officeDocument/2006/relationships/hyperlink" Target="https://www.sec.gov/Archives/edgar/data/1070423/000089924301501783/dex102.txt" TargetMode="External"/><Relationship Id="rId95" Type="http://schemas.openxmlformats.org/officeDocument/2006/relationships/hyperlink" Target="https://www.sec.gov/Archives/edgar/data/1070423/000104746909001897/a2190434zex-10_50.htm" TargetMode="External"/><Relationship Id="rId96" Type="http://schemas.openxmlformats.org/officeDocument/2006/relationships/hyperlink" Target="https://www.sec.gov/Archives/edgar/data/1070423/000107042319000013/paaq32019exhibit101.htm" TargetMode="External"/><Relationship Id="rId97" Type="http://schemas.openxmlformats.org/officeDocument/2006/relationships/hyperlink" Target="https://www.sec.gov/Archives/edgar/data/1070423/000110465911010359/a11-2319_1ex10d32.htm" TargetMode="External"/><Relationship Id="rId98" Type="http://schemas.openxmlformats.org/officeDocument/2006/relationships/hyperlink" Target="https://www.sec.gov/Archives/edgar/data/1070423/000110465913078056/a13-22862_1ex10d3.htm" TargetMode="External"/><Relationship Id="rId99" Type="http://schemas.openxmlformats.org/officeDocument/2006/relationships/hyperlink" Target="https://www.sec.gov/Archives/edgar/data/1070423/000110465916100030/a15-24557_1ex10d53.htm" TargetMode="External"/><Relationship Id="rId100" Type="http://schemas.openxmlformats.org/officeDocument/2006/relationships/hyperlink" Target="https://www.sec.gov/Archives/edgar/data/1070423/000107042318000015/paaq32018exhibit107.htm" TargetMode="External"/><Relationship Id="rId101" Type="http://schemas.openxmlformats.org/officeDocument/2006/relationships/hyperlink" Target="https://www.sec.gov/Archives/edgar/data/1070423/000107042318000015/paaq32018exhibit108.htm" TargetMode="External"/><Relationship Id="rId102" Type="http://schemas.openxmlformats.org/officeDocument/2006/relationships/hyperlink" Target="https://www.sec.gov/Archives/edgar/data/1070423/000110465913093006/a13-26950_1ex4d4.htm" TargetMode="External"/><Relationship Id="rId103" Type="http://schemas.openxmlformats.org/officeDocument/2006/relationships/hyperlink" Target="https://www.sec.gov/Archives/edgar/data/1481506/000095012310047963/h72950exv10w2.htm" TargetMode="External"/><Relationship Id="rId104" Type="http://schemas.openxmlformats.org/officeDocument/2006/relationships/hyperlink" Target="https://www.sec.gov/Archives/edgar/data/1581990/000110465913078057/a13-22338_2ex10d3.htm" TargetMode="External"/><Relationship Id="rId105" Type="http://schemas.openxmlformats.org/officeDocument/2006/relationships/hyperlink" Target="https://www.sec.gov/Archives/edgar/data/1070423/000107042319000013/paaq32019exhibit102.htm" TargetMode="External"/><Relationship Id="rId106" Type="http://schemas.openxmlformats.org/officeDocument/2006/relationships/hyperlink" Target="https://www.sec.gov/Archives/edgar/data/1070423/000107042320000031/paaq3202010-qexhibit102.htm" TargetMode="External"/><Relationship Id="rId107" Type="http://schemas.openxmlformats.org/officeDocument/2006/relationships/hyperlink" Target="https://www.sec.gov/Archives/edgar/data/1070423/000107042321000008/paa202010-kexhibit1053.htm" TargetMode="External"/><Relationship Id="rId108" Type="http://schemas.openxmlformats.org/officeDocument/2006/relationships/hyperlink" Target="https://www.sec.gov/Archives/edgar/data/1070423/000107042322000012/paaq12022exhibit101.htm" TargetMode="External"/><Relationship Id="rId109" Type="http://schemas.openxmlformats.org/officeDocument/2006/relationships/hyperlink" Target="https://www.sec.gov/Archives/edgar/data/1070423/000107042321000028/paaq3202110-qexhibit103.htm" TargetMode="External"/><Relationship Id="rId110" Type="http://schemas.openxmlformats.org/officeDocument/2006/relationships/hyperlink" Target="https://www.sec.gov/Archives/edgar/data/1070423/000107042321000028/paaq3202110-qexhibit104.htm" TargetMode="External"/><Relationship Id="rId111" Type="http://schemas.openxmlformats.org/officeDocument/2006/relationships/hyperlink" Target="https://www.sec.gov/Archives/edgar/data/1070423/000107042322000026/paaq3202210-qexhibit104.htm" TargetMode="External"/><Relationship Id="rId112" Type="http://schemas.openxmlformats.org/officeDocument/2006/relationships/hyperlink" Target="https://www.sec.gov/Archives/edgar/data/1070423/000107042323000024/paaq32023exhibit101.htm" TargetMode="External"/><Relationship Id="rId113" Type="http://schemas.openxmlformats.org/officeDocument/2006/relationships/hyperlink" Target="https://www.sec.gov/Archives/edgar/data/1070423/000107042323000024/paaq32023exhibit102.htm" TargetMode="External"/><Relationship Id="rId114" Type="http://schemas.openxmlformats.org/officeDocument/2006/relationships/hyperlink" Target="https://www.sec.gov/Archives/edgar/data/1070423/000107042324000027/paaq32024exhibit103.htm" TargetMode="External"/><Relationship Id="rId115" Type="http://schemas.openxmlformats.org/officeDocument/2006/relationships/hyperlink" Target="https://www.sec.gov/Archives/edgar/data/1070423/000107042324000027/paaq32024exhibit103.htm" TargetMode="External"/><Relationship Id="rId116" Type="http://schemas.openxmlformats.org/officeDocument/2006/relationships/hyperlink" Target="https://www.sec.gov/Archives/edgar/data/1070423/000107042324000027/paaq32024exhibit103.htm" TargetMode="External"/><Relationship Id="rId117" Type="http://schemas.openxmlformats.org/officeDocument/2006/relationships/hyperlink" Target="https://www.sec.gov/Archives/edgar/data/1070423/000107042324000027/paaq32024exhibit103.htm" TargetMode="External"/><Relationship Id="rId118" Type="http://schemas.openxmlformats.org/officeDocument/2006/relationships/hyperlink" Target="https://www.sec.gov/Archives/edgar/data/1070423/000107042324000027/paaq32024exhibit103.htm" TargetMode="External"/><Relationship Id="rId119" Type="http://schemas.openxmlformats.org/officeDocument/2006/relationships/hyperlink" Target="https://www.sec.gov/Archives/edgar/data/1070423/000107042324000027/paaq32024exhibit103.htm" TargetMode="External"/><Relationship Id="rId120" Type="http://schemas.openxmlformats.org/officeDocument/2006/relationships/hyperlink" Target="https://www.sec.gov/Archives/edgar/data/1070423/000107042324000027/paaq32024exhibit103.htm" TargetMode="External"/><Relationship Id="rId121" Type="http://schemas.openxmlformats.org/officeDocument/2006/relationships/hyperlink" Target="https://www.sec.gov/Archives/edgar/data/1070423/000107042324000027/paaq32024exhibit103.htm" TargetMode="External"/><Relationship Id="rId122" Type="http://schemas.openxmlformats.org/officeDocument/2006/relationships/hyperlink" Target="https://www.sec.gov/Archives/edgar/data/1070423/000107042324000027/paaq32024exhibit104.htm" TargetMode="External"/><Relationship Id="rId123" Type="http://schemas.openxmlformats.org/officeDocument/2006/relationships/hyperlink" Target="https://www.sec.gov/Archives/edgar/data/1070423/000107042324000027/paaq32024exhibit104.htm" TargetMode="External"/><Relationship Id="rId124" Type="http://schemas.openxmlformats.org/officeDocument/2006/relationships/hyperlink" Target="https://www.sec.gov/Archives/edgar/data/1070423/000107042324000027/paaq32024exhibit104.htm" TargetMode="External"/><Relationship Id="rId125" Type="http://schemas.openxmlformats.org/officeDocument/2006/relationships/hyperlink" Target="https://www.sec.gov/Archives/edgar/data/1070423/000107042324000027/paaq32024exhibit104.htm" TargetMode="External"/><Relationship Id="rId126" Type="http://schemas.openxmlformats.org/officeDocument/2006/relationships/hyperlink" Target="https://www.sec.gov/Archives/edgar/data/1070423/000107042324000027/paaq32024exhibit104.htm" TargetMode="External"/><Relationship Id="rId127" Type="http://schemas.openxmlformats.org/officeDocument/2006/relationships/hyperlink" Target="https://www.sec.gov/Archives/edgar/data/1070423/000107042324000027/paaq32024exhibit104.htm" TargetMode="External"/><Relationship Id="rId128" Type="http://schemas.openxmlformats.org/officeDocument/2006/relationships/hyperlink" Target="https://www.sec.gov/Archives/edgar/data/1070423/000107042324000008/paa202310-kexhibit971.htm" TargetMode="External"/><Relationship Id="rId129" Type="http://schemas.openxmlformats.org/officeDocument/2006/relationships/hyperlink" Target="https://www.sec.gov/Archives/edgar/data/1070423/000107042324000008/paa202310-kexhibit971.htm" TargetMode="External"/><Relationship Id="rId130" Type="http://schemas.openxmlformats.org/officeDocument/2006/relationships/hyperlink" Target="https://www.sec.gov/Archives/edgar/data/1070423/000107042324000008/paa202310-kexhibit971.htm" TargetMode="External"/><Relationship Id="rId131" Type="http://schemas.openxmlformats.org/officeDocument/2006/relationships/fontTable" Target="fontTable.xml"/><Relationship Id="rId1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106943</Words>
  <Characters>591483</Characters>
  <CharactersWithSpaces>693322</CharactersWithSpaces>
  <Paragraphs>7196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