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349250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306070</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880" w:right="1560" w:hanging="3872"/>
        <w:spacing w:after="0" w:line="402" w:lineRule="auto"/>
        <w:tabs>
          <w:tab w:leader="none" w:pos="46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30"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4" w:lineRule="exact"/>
        <w:rPr>
          <w:sz w:val="24"/>
          <w:szCs w:val="24"/>
          <w:color w:val="auto"/>
        </w:rPr>
      </w:pPr>
    </w:p>
    <w:p>
      <w:pPr>
        <w:sectPr>
          <w:pgSz w:w="11900" w:h="16838" w:orient="portrait"/>
          <w:cols w:equalWidth="0" w:num="2">
            <w:col w:w="7240" w:space="720"/>
            <w:col w:w="3220"/>
          </w:cols>
          <w:pgMar w:left="320" w:top="233" w:right="39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33" w:right="399" w:bottom="1440" w:gutter="0" w:footer="0" w:header="0"/>
          <w:type w:val="continuous"/>
        </w:sectPr>
      </w:pPr>
    </w:p>
    <w:p>
      <w:pPr>
        <w:spacing w:after="0" w:line="1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ind w:left="250"/>
              <w:spacing w:after="0"/>
              <w:rPr>
                <w:sz w:val="20"/>
                <w:szCs w:val="20"/>
                <w:color w:val="auto"/>
              </w:rPr>
            </w:pPr>
            <w:r>
              <w:rPr>
                <w:rFonts w:ascii="Arial" w:cs="Arial" w:eastAsia="Arial" w:hAnsi="Arial"/>
                <w:sz w:val="18"/>
                <w:szCs w:val="18"/>
                <w:color w:val="auto"/>
                <w:w w:val="90"/>
              </w:rPr>
              <w:t>Title of each class</w:t>
            </w:r>
          </w:p>
        </w:tc>
        <w:tc>
          <w:tcPr>
            <w:tcW w:w="2740" w:type="dxa"/>
            <w:vAlign w:val="bottom"/>
            <w:tcBorders>
              <w:top w:val="single" w:sz="8" w:color="auto"/>
              <w:bottom w:val="single" w:sz="8" w:color="auto"/>
              <w:right w:val="single" w:sz="8" w:color="auto"/>
            </w:tcBorders>
          </w:tcPr>
          <w:p>
            <w:pPr>
              <w:jc w:val="center"/>
              <w:ind w:left="210"/>
              <w:spacing w:after="0"/>
              <w:rPr>
                <w:sz w:val="20"/>
                <w:szCs w:val="20"/>
                <w:color w:val="auto"/>
              </w:rPr>
            </w:pPr>
            <w:r>
              <w:rPr>
                <w:rFonts w:ascii="Arial" w:cs="Arial" w:eastAsia="Arial" w:hAnsi="Arial"/>
                <w:sz w:val="18"/>
                <w:szCs w:val="18"/>
                <w:color w:val="auto"/>
                <w:w w:val="92"/>
              </w:rPr>
              <w:t>Trading Symbol(s)</w:t>
            </w:r>
          </w:p>
        </w:tc>
        <w:tc>
          <w:tcPr>
            <w:tcW w:w="3960" w:type="dxa"/>
            <w:vAlign w:val="bottom"/>
            <w:tcBorders>
              <w:top w:val="single" w:sz="8" w:color="auto"/>
              <w:bottom w:val="single" w:sz="8" w:color="auto"/>
              <w:right w:val="single" w:sz="8" w:color="auto"/>
            </w:tcBorders>
          </w:tcPr>
          <w:p>
            <w:pPr>
              <w:jc w:val="center"/>
              <w:ind w:left="21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ind w:left="230"/>
              <w:spacing w:after="0"/>
              <w:rPr>
                <w:sz w:val="20"/>
                <w:szCs w:val="20"/>
                <w:color w:val="auto"/>
              </w:rPr>
            </w:pPr>
            <w:r>
              <w:rPr>
                <w:rFonts w:ascii="Arial" w:cs="Arial" w:eastAsia="Arial" w:hAnsi="Arial"/>
                <w:sz w:val="18"/>
                <w:szCs w:val="18"/>
                <w:color w:val="auto"/>
                <w:w w:val="87"/>
              </w:rPr>
              <w:t>Class A Shares</w:t>
            </w:r>
          </w:p>
        </w:tc>
        <w:tc>
          <w:tcPr>
            <w:tcW w:w="2740" w:type="dxa"/>
            <w:vAlign w:val="bottom"/>
            <w:tcBorders>
              <w:bottom w:val="single" w:sz="8" w:color="auto"/>
              <w:right w:val="single" w:sz="8" w:color="auto"/>
            </w:tcBorders>
          </w:tcPr>
          <w:p>
            <w:pPr>
              <w:jc w:val="center"/>
              <w:ind w:left="210"/>
              <w:spacing w:after="0"/>
              <w:rPr>
                <w:sz w:val="20"/>
                <w:szCs w:val="20"/>
                <w:color w:val="auto"/>
              </w:rPr>
            </w:pPr>
            <w:r>
              <w:rPr>
                <w:rFonts w:ascii="Arial" w:cs="Arial" w:eastAsia="Arial" w:hAnsi="Arial"/>
                <w:sz w:val="18"/>
                <w:szCs w:val="18"/>
                <w:color w:val="auto"/>
                <w:w w:val="87"/>
              </w:rPr>
              <w:t>PAGP</w:t>
            </w:r>
          </w:p>
        </w:tc>
        <w:tc>
          <w:tcPr>
            <w:tcW w:w="3960" w:type="dxa"/>
            <w:vAlign w:val="bottom"/>
            <w:tcBorders>
              <w:bottom w:val="single" w:sz="8" w:color="auto"/>
              <w:right w:val="single" w:sz="8" w:color="auto"/>
            </w:tcBorders>
          </w:tcPr>
          <w:p>
            <w:pPr>
              <w:jc w:val="center"/>
              <w:ind w:left="210"/>
              <w:spacing w:after="0"/>
              <w:rPr>
                <w:sz w:val="20"/>
                <w:szCs w:val="20"/>
                <w:color w:val="auto"/>
              </w:rPr>
            </w:pPr>
            <w:r>
              <w:rPr>
                <w:rFonts w:ascii="Arial" w:cs="Arial" w:eastAsia="Arial" w:hAnsi="Arial"/>
                <w:sz w:val="18"/>
                <w:szCs w:val="18"/>
                <w:color w:val="auto"/>
                <w:w w:val="86"/>
              </w:rPr>
              <w:t>Nasdaq</w:t>
            </w:r>
          </w:p>
        </w:tc>
      </w:tr>
    </w:tbl>
    <w:p>
      <w:pPr>
        <w:spacing w:after="0" w:line="323"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760" w:type="dxa"/>
        <w:tblCellMar>
          <w:top w:w="0" w:type="dxa"/>
          <w:left w:w="0" w:type="dxa"/>
          <w:bottom w:w="0" w:type="dxa"/>
          <w:right w:w="0" w:type="dxa"/>
        </w:tblCellMar>
      </w:tblPr>
      <w:tr>
        <w:trPr>
          <w:trHeight w:val="249"/>
        </w:trPr>
        <w:tc>
          <w:tcPr>
            <w:tcW w:w="1780" w:type="dxa"/>
            <w:vAlign w:val="bottom"/>
          </w:tcPr>
          <w:p>
            <w:pPr>
              <w:jc w:val="right"/>
              <w:ind w:right="90"/>
              <w:spacing w:after="0"/>
              <w:rPr>
                <w:sz w:val="20"/>
                <w:szCs w:val="20"/>
                <w:color w:val="auto"/>
              </w:rPr>
            </w:pPr>
            <w:r>
              <w:rPr>
                <w:rFonts w:ascii="Arial" w:cs="Arial" w:eastAsia="Arial" w:hAnsi="Arial"/>
                <w:sz w:val="18"/>
                <w:szCs w:val="18"/>
                <w:color w:val="auto"/>
                <w:w w:val="88"/>
              </w:rPr>
              <w:t>Large accelerated filer</w:t>
            </w:r>
          </w:p>
        </w:tc>
        <w:tc>
          <w:tcPr>
            <w:tcW w:w="20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1780" w:type="dxa"/>
            <w:vAlign w:val="bottom"/>
          </w:tcPr>
          <w:p>
            <w:pPr>
              <w:jc w:val="right"/>
              <w:ind w:right="90"/>
              <w:spacing w:after="0"/>
              <w:rPr>
                <w:sz w:val="20"/>
                <w:szCs w:val="20"/>
                <w:color w:val="auto"/>
              </w:rPr>
            </w:pPr>
            <w:r>
              <w:rPr>
                <w:rFonts w:ascii="Arial" w:cs="Arial" w:eastAsia="Arial" w:hAnsi="Arial"/>
                <w:sz w:val="18"/>
                <w:szCs w:val="18"/>
                <w:color w:val="auto"/>
                <w:w w:val="95"/>
              </w:rPr>
              <w:t>Non-accelerated filer</w:t>
            </w:r>
          </w:p>
        </w:tc>
        <w:tc>
          <w:tcPr>
            <w:tcW w:w="20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rPr>
              <w:t>☐</w:t>
            </w: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1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60" w:type="dxa"/>
            <w:vAlign w:val="bottom"/>
          </w:tcPr>
          <w:p>
            <w:pPr>
              <w:jc w:val="right"/>
              <w:ind w:right="9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18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68" w:lineRule="exact"/>
        <w:rPr>
          <w:sz w:val="24"/>
          <w:szCs w:val="24"/>
          <w:color w:val="auto"/>
        </w:r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7"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July 29, 2022, there were 194,228,477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6772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10200" w:type="dxa"/>
            <w:vAlign w:val="bottom"/>
            <w:gridSpan w:val="29"/>
          </w:tcPr>
          <w:p>
            <w:pPr>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0"/>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Item 1. UNAUDITED CONDENSED CONSOLIDATED FINANCIAL STATEMENTS:</w:t>
              </w:r>
            </w:hyperlink>
          </w:p>
        </w:tc>
        <w:tc>
          <w:tcPr>
            <w:tcW w:w="378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June 30, 2022 and December 31, 2021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and six months ended June 30, 2022 and 2021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 xml:space="preserve">Condensed Consolidated Statements of Comprehensive </w:t>
              </w:r>
            </w:hyperlink>
            <w:r>
              <w:rPr>
                <w:rFonts w:ascii="Arial" w:cs="Arial" w:eastAsia="Arial" w:hAnsi="Arial"/>
                <w:sz w:val="18"/>
                <w:szCs w:val="18"/>
                <w:color w:val="0000FF"/>
                <w:w w:val="94"/>
              </w:rPr>
              <w:t xml:space="preserve">Income/(Loss): </w:t>
            </w:r>
            <w:hyperlink w:anchor="page4">
              <w:r>
                <w:rPr>
                  <w:rFonts w:ascii="Arial" w:cs="Arial" w:eastAsia="Arial" w:hAnsi="Arial"/>
                  <w:sz w:val="18"/>
                  <w:szCs w:val="18"/>
                  <w:color w:val="0000FF"/>
                  <w:w w:val="94"/>
                </w:rPr>
                <w:t>For the three and six months ended June 30, 2022 and 2021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Changes in Accumulated Other Comprehensive Income/(Loss): For the three and six months ended</w:t>
              </w:r>
            </w:hyperlink>
          </w:p>
        </w:tc>
        <w:tc>
          <w:tcPr>
            <w:tcW w:w="102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8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June 30, 2022 and 2021</w:t>
              </w:r>
            </w:hyperlink>
          </w:p>
        </w:tc>
        <w:tc>
          <w:tcPr>
            <w:tcW w:w="4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7380" w:type="dxa"/>
            <w:vAlign w:val="bottom"/>
            <w:gridSpan w:val="2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Cash Flows: For the six months ended June 30, 2022 and 2021</w:t>
              </w:r>
            </w:hyperlink>
          </w:p>
        </w:tc>
        <w:tc>
          <w:tcPr>
            <w:tcW w:w="2680" w:type="dxa"/>
            <w:vAlign w:val="bottom"/>
            <w:gridSpan w:val="6"/>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w w:val="96"/>
              </w:rPr>
            </w:pPr>
            <w:hyperlink w:anchor="page6">
              <w:r>
                <w:rPr>
                  <w:rFonts w:ascii="Arial" w:cs="Arial" w:eastAsia="Arial" w:hAnsi="Arial"/>
                  <w:sz w:val="18"/>
                  <w:szCs w:val="18"/>
                  <w:color w:val="0000FF"/>
                  <w:w w:val="96"/>
                </w:rPr>
                <w:t>Condensed Consolidated Statements of Changes in Partners’ Capital: For the three and six months ended June 30, 2022 and 2021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9300" w:type="dxa"/>
            <w:vAlign w:val="bottom"/>
            <w:tcBorders>
              <w:top w:val="single" w:sz="8" w:color="0000FF"/>
            </w:tcBorders>
            <w:gridSpan w:val="24"/>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Condensed Consolidated Financial Statements:</w:t>
              </w:r>
            </w:hyperlink>
          </w:p>
        </w:tc>
        <w:tc>
          <w:tcPr>
            <w:tcW w:w="760" w:type="dxa"/>
            <w:vAlign w:val="bottom"/>
            <w:gridSpan w:val="4"/>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1.</w:t>
              </w:r>
            </w:hyperlink>
          </w:p>
        </w:tc>
        <w:tc>
          <w:tcPr>
            <w:tcW w:w="4200" w:type="dxa"/>
            <w:vAlign w:val="bottom"/>
            <w:gridSpan w:val="15"/>
          </w:tcPr>
          <w:p>
            <w:pPr>
              <w:ind w:left="20"/>
              <w:spacing w:after="0"/>
              <w:rPr>
                <w:rFonts w:ascii="Arial" w:cs="Arial" w:eastAsia="Arial" w:hAnsi="Arial"/>
                <w:sz w:val="18"/>
                <w:szCs w:val="18"/>
                <w:color w:val="0000FF"/>
                <w:w w:val="90"/>
              </w:rPr>
            </w:pPr>
            <w:hyperlink w:anchor="page9">
              <w:r>
                <w:rPr>
                  <w:rFonts w:ascii="Arial" w:cs="Arial" w:eastAsia="Arial" w:hAnsi="Arial"/>
                  <w:sz w:val="18"/>
                  <w:szCs w:val="18"/>
                  <w:color w:val="0000FF"/>
                  <w:w w:val="90"/>
                </w:rPr>
                <w:t>Organization and Basis of Consolidation and Presentation</w:t>
              </w:r>
            </w:hyperlink>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2.</w:t>
              </w:r>
            </w:hyperlink>
          </w:p>
        </w:tc>
        <w:tc>
          <w:tcPr>
            <w:tcW w:w="3260" w:type="dxa"/>
            <w:vAlign w:val="bottom"/>
            <w:gridSpan w:val="12"/>
          </w:tcPr>
          <w:p>
            <w:pPr>
              <w:ind w:left="20"/>
              <w:spacing w:after="0"/>
              <w:rPr>
                <w:rFonts w:ascii="Arial" w:cs="Arial" w:eastAsia="Arial" w:hAnsi="Arial"/>
                <w:sz w:val="18"/>
                <w:szCs w:val="18"/>
                <w:color w:val="0000FF"/>
                <w:w w:val="93"/>
              </w:rPr>
            </w:pPr>
            <w:hyperlink w:anchor="page11">
              <w:r>
                <w:rPr>
                  <w:rFonts w:ascii="Arial" w:cs="Arial" w:eastAsia="Arial" w:hAnsi="Arial"/>
                  <w:sz w:val="18"/>
                  <w:szCs w:val="18"/>
                  <w:color w:val="0000FF"/>
                  <w:w w:val="93"/>
                </w:rPr>
                <w:t>Summary of Significant Accounting Policies</w:t>
              </w:r>
            </w:hyperlink>
          </w:p>
        </w:tc>
        <w:tc>
          <w:tcPr>
            <w:tcW w:w="940" w:type="dxa"/>
            <w:vAlign w:val="bottom"/>
            <w:gridSpan w:val="3"/>
          </w:tcPr>
          <w:p>
            <w:pPr>
              <w:spacing w:after="0"/>
              <w:rPr>
                <w:sz w:val="18"/>
                <w:szCs w:val="18"/>
                <w:color w:val="auto"/>
              </w:rPr>
            </w:pPr>
          </w:p>
        </w:tc>
        <w:tc>
          <w:tcPr>
            <w:tcW w:w="5520" w:type="dxa"/>
            <w:vAlign w:val="bottom"/>
            <w:gridSpan w:val="11"/>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11</w:t>
              </w:r>
            </w:hyperlink>
          </w:p>
        </w:tc>
        <w:tc>
          <w:tcPr>
            <w:tcW w:w="0" w:type="dxa"/>
            <w:vAlign w:val="bottom"/>
          </w:tcPr>
          <w:p>
            <w:pPr>
              <w:spacing w:after="0"/>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Borders>
              <w:top w:val="single" w:sz="8" w:color="0000FF"/>
            </w:tcBorders>
          </w:tcPr>
          <w:p>
            <w:pPr>
              <w:ind w:lef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3.</w:t>
              </w:r>
            </w:hyperlink>
          </w:p>
        </w:tc>
        <w:tc>
          <w:tcPr>
            <w:tcW w:w="3260" w:type="dxa"/>
            <w:vAlign w:val="bottom"/>
            <w:tcBorders>
              <w:top w:val="single" w:sz="8" w:color="0000FF"/>
            </w:tcBorders>
            <w:gridSpan w:val="12"/>
          </w:tcPr>
          <w:p>
            <w:pPr>
              <w:ind w:left="20"/>
              <w:spacing w:after="0"/>
              <w:rPr>
                <w:rFonts w:ascii="Arial" w:cs="Arial" w:eastAsia="Arial" w:hAnsi="Arial"/>
                <w:sz w:val="18"/>
                <w:szCs w:val="18"/>
                <w:color w:val="0000FF"/>
              </w:rPr>
            </w:pPr>
            <w:hyperlink w:anchor="page11">
              <w:r>
                <w:rPr>
                  <w:rFonts w:ascii="Arial" w:cs="Arial" w:eastAsia="Arial" w:hAnsi="Arial"/>
                  <w:sz w:val="18"/>
                  <w:szCs w:val="18"/>
                  <w:color w:val="0000FF"/>
                </w:rPr>
                <w:t>Revenues and Accounts Receivable</w:t>
              </w:r>
            </w:hyperlink>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12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4.</w:t>
              </w:r>
            </w:hyperlink>
          </w:p>
        </w:tc>
        <w:tc>
          <w:tcPr>
            <w:tcW w:w="9720" w:type="dxa"/>
            <w:vAlign w:val="bottom"/>
            <w:gridSpan w:val="26"/>
          </w:tcPr>
          <w:p>
            <w:pPr>
              <w:ind w:left="20"/>
              <w:spacing w:after="0"/>
              <w:rPr>
                <w:rFonts w:ascii="Arial" w:cs="Arial" w:eastAsia="Arial" w:hAnsi="Arial"/>
                <w:sz w:val="18"/>
                <w:szCs w:val="18"/>
                <w:color w:val="0000FF"/>
              </w:rPr>
            </w:pPr>
            <w:hyperlink w:anchor="page15">
              <w:r>
                <w:rPr>
                  <w:rFonts w:ascii="Arial" w:cs="Arial" w:eastAsia="Arial" w:hAnsi="Arial"/>
                  <w:sz w:val="18"/>
                  <w:szCs w:val="18"/>
                  <w:color w:val="0000FF"/>
                </w:rPr>
                <w:t>Net Income/(Loss) Per Class A Share</w:t>
              </w:r>
            </w:hyperlink>
          </w:p>
        </w:tc>
        <w:tc>
          <w:tcPr>
            <w:tcW w:w="100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5.</w:t>
              </w:r>
            </w:hyperlink>
          </w:p>
        </w:tc>
        <w:tc>
          <w:tcPr>
            <w:tcW w:w="3220" w:type="dxa"/>
            <w:vAlign w:val="bottom"/>
            <w:tcBorders>
              <w:bottom w:val="single" w:sz="8" w:color="0000FF"/>
            </w:tcBorders>
            <w:gridSpan w:val="11"/>
          </w:tcPr>
          <w:p>
            <w:pPr>
              <w:ind w:left="20"/>
              <w:spacing w:after="0"/>
              <w:rPr>
                <w:rFonts w:ascii="Arial" w:cs="Arial" w:eastAsia="Arial" w:hAnsi="Arial"/>
                <w:sz w:val="18"/>
                <w:szCs w:val="18"/>
                <w:color w:val="0000FF"/>
                <w:w w:val="94"/>
              </w:rPr>
            </w:pPr>
            <w:hyperlink w:anchor="page16">
              <w:r>
                <w:rPr>
                  <w:rFonts w:ascii="Arial" w:cs="Arial" w:eastAsia="Arial" w:hAnsi="Arial"/>
                  <w:sz w:val="18"/>
                  <w:szCs w:val="18"/>
                  <w:color w:val="0000FF"/>
                  <w:w w:val="94"/>
                </w:rPr>
                <w:t>Inventory, Linefill and Long-term Inventory</w:t>
              </w:r>
            </w:hyperlink>
          </w:p>
        </w:tc>
        <w:tc>
          <w:tcPr>
            <w:tcW w:w="650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6.</w:t>
              </w:r>
            </w:hyperlink>
          </w:p>
        </w:tc>
        <w:tc>
          <w:tcPr>
            <w:tcW w:w="380" w:type="dxa"/>
            <w:vAlign w:val="bottom"/>
            <w:tcBorders>
              <w:bottom w:val="single" w:sz="8" w:color="0000FF"/>
            </w:tcBorders>
          </w:tcPr>
          <w:p>
            <w:pPr>
              <w:ind w:left="2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Debt</w:t>
              </w:r>
            </w:hyperlink>
          </w:p>
        </w:tc>
        <w:tc>
          <w:tcPr>
            <w:tcW w:w="9340" w:type="dxa"/>
            <w:vAlign w:val="bottom"/>
            <w:gridSpan w:val="2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7.</w:t>
              </w:r>
            </w:hyperlink>
          </w:p>
        </w:tc>
        <w:tc>
          <w:tcPr>
            <w:tcW w:w="2580" w:type="dxa"/>
            <w:vAlign w:val="bottom"/>
            <w:tcBorders>
              <w:bottom w:val="single" w:sz="8" w:color="0000FF"/>
            </w:tcBorders>
            <w:gridSpan w:val="9"/>
          </w:tcPr>
          <w:p>
            <w:pPr>
              <w:ind w:left="20"/>
              <w:spacing w:after="0"/>
              <w:rPr>
                <w:rFonts w:ascii="Arial" w:cs="Arial" w:eastAsia="Arial" w:hAnsi="Arial"/>
                <w:sz w:val="18"/>
                <w:szCs w:val="18"/>
                <w:color w:val="0000FF"/>
                <w:w w:val="92"/>
              </w:rPr>
            </w:pPr>
            <w:hyperlink w:anchor="page17">
              <w:r>
                <w:rPr>
                  <w:rFonts w:ascii="Arial" w:cs="Arial" w:eastAsia="Arial" w:hAnsi="Arial"/>
                  <w:sz w:val="18"/>
                  <w:szCs w:val="18"/>
                  <w:color w:val="0000FF"/>
                  <w:w w:val="92"/>
                </w:rPr>
                <w:t>Partners’ Capital and Distributions</w:t>
              </w:r>
            </w:hyperlink>
          </w:p>
        </w:tc>
        <w:tc>
          <w:tcPr>
            <w:tcW w:w="714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8.</w:t>
              </w:r>
            </w:hyperlink>
          </w:p>
        </w:tc>
        <w:tc>
          <w:tcPr>
            <w:tcW w:w="3280" w:type="dxa"/>
            <w:vAlign w:val="bottom"/>
            <w:tcBorders>
              <w:bottom w:val="single" w:sz="8" w:color="0000FF"/>
            </w:tcBorders>
            <w:gridSpan w:val="13"/>
          </w:tcPr>
          <w:p>
            <w:pPr>
              <w:ind w:left="20"/>
              <w:spacing w:after="0"/>
              <w:rPr>
                <w:rFonts w:ascii="Arial" w:cs="Arial" w:eastAsia="Arial" w:hAnsi="Arial"/>
                <w:sz w:val="18"/>
                <w:szCs w:val="18"/>
                <w:color w:val="0000FF"/>
                <w:w w:val="92"/>
              </w:rPr>
            </w:pPr>
            <w:hyperlink w:anchor="page20">
              <w:r>
                <w:rPr>
                  <w:rFonts w:ascii="Arial" w:cs="Arial" w:eastAsia="Arial" w:hAnsi="Arial"/>
                  <w:sz w:val="18"/>
                  <w:szCs w:val="18"/>
                  <w:color w:val="0000FF"/>
                  <w:w w:val="92"/>
                </w:rPr>
                <w:t>Derivatives and Risk Management Activities</w:t>
              </w:r>
            </w:hyperlink>
          </w:p>
        </w:tc>
        <w:tc>
          <w:tcPr>
            <w:tcW w:w="644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9.</w:t>
              </w:r>
            </w:hyperlink>
          </w:p>
        </w:tc>
        <w:tc>
          <w:tcPr>
            <w:tcW w:w="9720" w:type="dxa"/>
            <w:vAlign w:val="bottom"/>
            <w:gridSpan w:val="26"/>
          </w:tcPr>
          <w:p>
            <w:pPr>
              <w:ind w:left="20"/>
              <w:spacing w:after="0"/>
              <w:rPr>
                <w:rFonts w:ascii="Arial" w:cs="Arial" w:eastAsia="Arial" w:hAnsi="Arial"/>
                <w:sz w:val="18"/>
                <w:szCs w:val="18"/>
                <w:color w:val="0000FF"/>
              </w:rPr>
            </w:pPr>
            <w:hyperlink w:anchor="page25">
              <w:r>
                <w:rPr>
                  <w:rFonts w:ascii="Arial" w:cs="Arial" w:eastAsia="Arial" w:hAnsi="Arial"/>
                  <w:sz w:val="18"/>
                  <w:szCs w:val="18"/>
                  <w:color w:val="0000FF"/>
                </w:rPr>
                <w:t>Related Party Transactions</w:t>
              </w:r>
            </w:hyperlink>
          </w:p>
        </w:tc>
        <w:tc>
          <w:tcPr>
            <w:tcW w:w="100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Borders>
              <w:bottom w:val="single" w:sz="8" w:color="0000FF"/>
            </w:tcBorders>
            <w:gridSpan w:val="9"/>
          </w:tcPr>
          <w:p>
            <w:pPr>
              <w:ind w:left="20"/>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10. Commitments and Contingencies</w:t>
              </w:r>
            </w:hyperlink>
          </w:p>
        </w:tc>
        <w:tc>
          <w:tcPr>
            <w:tcW w:w="720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80" w:type="dxa"/>
            <w:vAlign w:val="bottom"/>
            <w:gridSpan w:val="27"/>
          </w:tcPr>
          <w:p>
            <w:pPr>
              <w:ind w:left="20"/>
              <w:spacing w:after="0"/>
              <w:rPr>
                <w:rFonts w:ascii="Arial" w:cs="Arial" w:eastAsia="Arial" w:hAnsi="Arial"/>
                <w:sz w:val="18"/>
                <w:szCs w:val="18"/>
                <w:color w:val="0000FF"/>
              </w:rPr>
            </w:pPr>
            <w:hyperlink w:anchor="page30">
              <w:r>
                <w:rPr>
                  <w:rFonts w:ascii="Arial" w:cs="Arial" w:eastAsia="Arial" w:hAnsi="Arial"/>
                  <w:sz w:val="18"/>
                  <w:szCs w:val="18"/>
                  <w:color w:val="0000FF"/>
                </w:rPr>
                <w:t>11. Segment Information</w:t>
              </w:r>
            </w:hyperlink>
          </w:p>
        </w:tc>
        <w:tc>
          <w:tcPr>
            <w:tcW w:w="100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80" w:type="dxa"/>
            <w:vAlign w:val="bottom"/>
            <w:tcBorders>
              <w:bottom w:val="single" w:sz="8" w:color="0000FF"/>
            </w:tcBorders>
            <w:gridSpan w:val="26"/>
          </w:tcPr>
          <w:p>
            <w:pPr>
              <w:spacing w:after="0"/>
              <w:rPr>
                <w:rFonts w:ascii="Arial" w:cs="Arial" w:eastAsia="Arial" w:hAnsi="Arial"/>
                <w:sz w:val="18"/>
                <w:szCs w:val="18"/>
                <w:color w:val="0000FF"/>
                <w:w w:val="96"/>
              </w:rPr>
            </w:pPr>
            <w:hyperlink w:anchor="page34">
              <w:r>
                <w:rPr>
                  <w:rFonts w:ascii="Arial" w:cs="Arial" w:eastAsia="Arial" w:hAnsi="Arial"/>
                  <w:sz w:val="18"/>
                  <w:szCs w:val="18"/>
                  <w:color w:val="0000FF"/>
                  <w:w w:val="96"/>
                </w:rPr>
                <w:t>Item 2. MANAGEMENT’S DISCUSSION AND ANALYSIS OF FINANCIAL CONDITION AND RESULTS OF OPERATIONS</w:t>
              </w:r>
            </w:hyperlink>
          </w:p>
        </w:tc>
        <w:tc>
          <w:tcPr>
            <w:tcW w:w="72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0000FF"/>
            </w:tcBorders>
            <w:gridSpan w:val="22"/>
          </w:tcPr>
          <w:p>
            <w:pPr>
              <w:spacing w:after="0"/>
              <w:rPr>
                <w:rFonts w:ascii="Arial" w:cs="Arial" w:eastAsia="Arial" w:hAnsi="Arial"/>
                <w:sz w:val="18"/>
                <w:szCs w:val="18"/>
                <w:color w:val="0000FF"/>
                <w:w w:val="97"/>
              </w:rPr>
            </w:pPr>
            <w:hyperlink w:anchor="page53">
              <w:r>
                <w:rPr>
                  <w:rFonts w:ascii="Arial" w:cs="Arial" w:eastAsia="Arial" w:hAnsi="Arial"/>
                  <w:sz w:val="18"/>
                  <w:szCs w:val="18"/>
                  <w:color w:val="0000FF"/>
                  <w:w w:val="97"/>
                </w:rPr>
                <w:t>Item 3. QUANTITATIVE AND QUALITATIVE DISCLOSURES ABOUT MARKET RISK</w:t>
              </w:r>
            </w:hyperlink>
          </w:p>
        </w:tc>
        <w:tc>
          <w:tcPr>
            <w:tcW w:w="3500" w:type="dxa"/>
            <w:vAlign w:val="bottom"/>
            <w:gridSpan w:val="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0000FF"/>
            </w:tcBorders>
            <w:gridSpan w:val="13"/>
          </w:tcPr>
          <w:p>
            <w:pPr>
              <w:spacing w:after="0"/>
              <w:rPr>
                <w:rFonts w:ascii="Arial" w:cs="Arial" w:eastAsia="Arial" w:hAnsi="Arial"/>
                <w:sz w:val="18"/>
                <w:szCs w:val="18"/>
                <w:color w:val="0000FF"/>
                <w:w w:val="94"/>
              </w:rPr>
            </w:pPr>
            <w:hyperlink w:anchor="page55">
              <w:r>
                <w:rPr>
                  <w:rFonts w:ascii="Arial" w:cs="Arial" w:eastAsia="Arial" w:hAnsi="Arial"/>
                  <w:sz w:val="18"/>
                  <w:szCs w:val="18"/>
                  <w:color w:val="0000FF"/>
                  <w:w w:val="94"/>
                </w:rPr>
                <w:t>Item 4. CONTROLS AND PROCEDURES</w:t>
              </w:r>
            </w:hyperlink>
          </w:p>
        </w:tc>
        <w:tc>
          <w:tcPr>
            <w:tcW w:w="700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29"/>
          </w:tcPr>
          <w:p>
            <w:pPr>
              <w:spacing w:after="0"/>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PART II. OTHER INFORMATION</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4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4"/>
              </w:rPr>
            </w:pPr>
            <w:hyperlink w:anchor="page56">
              <w:r>
                <w:rPr>
                  <w:rFonts w:ascii="Arial" w:cs="Arial" w:eastAsia="Arial" w:hAnsi="Arial"/>
                  <w:sz w:val="18"/>
                  <w:szCs w:val="18"/>
                  <w:color w:val="0000FF"/>
                  <w:w w:val="94"/>
                </w:rPr>
                <w:t>Item 1. LEGAL PROCEEDINGS</w:t>
              </w:r>
            </w:hyperlink>
          </w:p>
        </w:tc>
        <w:tc>
          <w:tcPr>
            <w:tcW w:w="320" w:type="dxa"/>
            <w:vAlign w:val="bottom"/>
            <w:tcBorders>
              <w:top w:val="single" w:sz="8" w:color="0000FF"/>
            </w:tcBorders>
          </w:tcPr>
          <w:p>
            <w:pPr>
              <w:spacing w:after="0"/>
              <w:rPr>
                <w:sz w:val="18"/>
                <w:szCs w:val="18"/>
                <w:color w:val="auto"/>
              </w:rPr>
            </w:pPr>
          </w:p>
        </w:tc>
        <w:tc>
          <w:tcPr>
            <w:tcW w:w="7440" w:type="dxa"/>
            <w:vAlign w:val="bottom"/>
            <w:gridSpan w:val="1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Borders>
              <w:bottom w:val="single" w:sz="8" w:color="0000FF"/>
            </w:tcBorders>
            <w:gridSpan w:val="7"/>
          </w:tcPr>
          <w:p>
            <w:pPr>
              <w:spacing w:after="0"/>
              <w:rPr>
                <w:rFonts w:ascii="Arial" w:cs="Arial" w:eastAsia="Arial" w:hAnsi="Arial"/>
                <w:sz w:val="18"/>
                <w:szCs w:val="18"/>
                <w:color w:val="0000FF"/>
                <w:w w:val="95"/>
              </w:rPr>
            </w:pPr>
            <w:hyperlink w:anchor="page56">
              <w:r>
                <w:rPr>
                  <w:rFonts w:ascii="Arial" w:cs="Arial" w:eastAsia="Arial" w:hAnsi="Arial"/>
                  <w:sz w:val="18"/>
                  <w:szCs w:val="18"/>
                  <w:color w:val="0000FF"/>
                  <w:w w:val="95"/>
                </w:rPr>
                <w:t>Item 1A. RISK FACTORS</w:t>
              </w:r>
            </w:hyperlink>
          </w:p>
        </w:tc>
        <w:tc>
          <w:tcPr>
            <w:tcW w:w="8200" w:type="dxa"/>
            <w:vAlign w:val="bottom"/>
            <w:gridSpan w:val="22"/>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2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2. UNREGISTERED SALES OF EQUITY SECURITIES AND USE OF PROCEEDS</w:t>
              </w:r>
            </w:hyperlink>
          </w:p>
        </w:tc>
        <w:tc>
          <w:tcPr>
            <w:tcW w:w="1000" w:type="dxa"/>
            <w:vAlign w:val="bottom"/>
            <w:gridSpan w:val="3"/>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0000FF"/>
            </w:tcBorders>
            <w:gridSpan w:val="21"/>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3. DEFAULTS UPON SENIOR SECURITIES</w:t>
              </w:r>
            </w:hyperlink>
          </w:p>
        </w:tc>
        <w:tc>
          <w:tcPr>
            <w:tcW w:w="358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4"/>
              </w:rPr>
            </w:pPr>
            <w:hyperlink w:anchor="page56">
              <w:r>
                <w:rPr>
                  <w:rFonts w:ascii="Arial" w:cs="Arial" w:eastAsia="Arial" w:hAnsi="Arial"/>
                  <w:sz w:val="18"/>
                  <w:szCs w:val="18"/>
                  <w:color w:val="0000FF"/>
                  <w:w w:val="94"/>
                </w:rPr>
                <w:t>Item 4. MINE SAFETY DISCLOSURES</w:t>
              </w:r>
            </w:hyperlink>
          </w:p>
        </w:tc>
        <w:tc>
          <w:tcPr>
            <w:tcW w:w="740" w:type="dxa"/>
            <w:vAlign w:val="bottom"/>
            <w:tcBorders>
              <w:top w:val="single" w:sz="8" w:color="0000FF"/>
            </w:tcBorders>
            <w:gridSpan w:val="4"/>
          </w:tcPr>
          <w:p>
            <w:pPr>
              <w:spacing w:after="0"/>
              <w:rPr>
                <w:sz w:val="18"/>
                <w:szCs w:val="18"/>
                <w:color w:val="auto"/>
              </w:rPr>
            </w:pP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2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5. OTHER INFORMATION</w:t>
              </w:r>
            </w:hyperlink>
          </w:p>
        </w:tc>
        <w:tc>
          <w:tcPr>
            <w:tcW w:w="1000" w:type="dxa"/>
            <w:vAlign w:val="bottom"/>
            <w:gridSpan w:val="3"/>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6. EXHIBITS</w:t>
              </w:r>
            </w:hyperlink>
          </w:p>
        </w:tc>
        <w:tc>
          <w:tcPr>
            <w:tcW w:w="776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0000FF"/>
            </w:tcBorders>
            <w:gridSpan w:val="6"/>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SIGNATURES</w:t>
              </w:r>
            </w:hyperlink>
          </w:p>
        </w:tc>
        <w:tc>
          <w:tcPr>
            <w:tcW w:w="8820" w:type="dxa"/>
            <w:vAlign w:val="bottom"/>
            <w:gridSpan w:val="2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60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data)</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191"/>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(unaudited)</w:t>
            </w: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08"/>
        </w:trPr>
        <w:tc>
          <w:tcPr>
            <w:tcW w:w="8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270</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452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Inventory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6,664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6,140</w:t>
            </w:r>
          </w:p>
        </w:tc>
      </w:tr>
      <w:tr>
        <w:trPr>
          <w:trHeight w:val="88"/>
        </w:trPr>
        <w:tc>
          <w:tcPr>
            <w:tcW w:w="8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19,364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19,292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(4,383)</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Property and equipment, net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14,677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14,909</w:t>
            </w:r>
          </w:p>
        </w:tc>
      </w:tr>
      <w:tr>
        <w:trPr>
          <w:trHeight w:val="88"/>
        </w:trPr>
        <w:tc>
          <w:tcPr>
            <w:tcW w:w="8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OTHER ASSETS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1,960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Linefill</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r>
      <w:tr>
        <w:trPr>
          <w:trHeight w:val="210"/>
        </w:trPr>
        <w:tc>
          <w:tcPr>
            <w:tcW w:w="8240" w:type="dxa"/>
            <w:vAlign w:val="bottom"/>
          </w:tcPr>
          <w:p>
            <w:pPr>
              <w:ind w:left="1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30,228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29,978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5"/>
        </w:trPr>
        <w:tc>
          <w:tcPr>
            <w:tcW w:w="82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08"/>
        </w:trPr>
        <w:tc>
          <w:tcPr>
            <w:tcW w:w="8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4,811</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Short-term debt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822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r>
      <w:tr>
        <w:trPr>
          <w:trHeight w:val="21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6,234</w:t>
            </w:r>
          </w:p>
        </w:tc>
      </w:tr>
      <w:tr>
        <w:trPr>
          <w:trHeight w:val="88"/>
        </w:trPr>
        <w:tc>
          <w:tcPr>
            <w:tcW w:w="8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8,329</w:t>
            </w:r>
          </w:p>
        </w:tc>
      </w:tr>
      <w:tr>
        <w:trPr>
          <w:trHeight w:val="230"/>
        </w:trPr>
        <w:tc>
          <w:tcPr>
            <w:tcW w:w="824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9,293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9,567</w:t>
            </w:r>
          </w:p>
        </w:tc>
      </w:tr>
      <w:tr>
        <w:trPr>
          <w:trHeight w:val="88"/>
        </w:trPr>
        <w:tc>
          <w:tcPr>
            <w:tcW w:w="8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10)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08"/>
        </w:trPr>
        <w:tc>
          <w:tcPr>
            <w:tcW w:w="8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PARTNERS’ CAPITAL</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Class A shareholders (194,228,477 and 194,192,777 shares outstanding, respectively)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1,533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12,542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12,644</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partners’ capital</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14,059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14,177</w:t>
            </w:r>
          </w:p>
        </w:tc>
      </w:tr>
      <w:tr>
        <w:trPr>
          <w:trHeight w:val="23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liabilities and partners’ capital</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30,228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29,978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8"/>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5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Product sales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16,007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29,388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17,706</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18,313</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16,669</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18,027</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62"/>
        </w:trPr>
        <w:tc>
          <w:tcPr>
            <w:tcW w:w="5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w w:val="92"/>
              </w:rPr>
              <w:t>Interest expense (net of capitalized interest of $1, $5, $2 and $10, respectively)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(expense)/benefit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(income)/loss attributable to noncontrolling interests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ATTRIBUTABLE TO PAGP</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5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OUTSTANDING</w:t>
            </w: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INCOME/(LOSS)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14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860" w:type="dxa"/>
            <w:vAlign w:val="bottom"/>
          </w:tcPr>
          <w:p>
            <w:pPr>
              <w:spacing w:after="0"/>
              <w:rPr>
                <w:sz w:val="14"/>
                <w:szCs w:val="14"/>
                <w:color w:val="auto"/>
              </w:rPr>
            </w:pPr>
          </w:p>
        </w:tc>
      </w:tr>
      <w:tr>
        <w:trPr>
          <w:trHeight w:val="188"/>
        </w:trPr>
        <w:tc>
          <w:tcPr>
            <w:tcW w:w="56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56"/>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56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9"/>
              </w:rPr>
              <w:t>2021</w:t>
            </w:r>
          </w:p>
        </w:tc>
      </w:tr>
      <w:tr>
        <w:trPr>
          <w:trHeight w:val="183"/>
        </w:trPr>
        <w:tc>
          <w:tcPr>
            <w:tcW w:w="5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3"/>
          </w:tcPr>
          <w:p>
            <w:pPr>
              <w:jc w:val="center"/>
              <w:ind w:right="256"/>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15"/>
                <w:szCs w:val="15"/>
                <w:color w:val="auto"/>
              </w:rPr>
            </w:pPr>
          </w:p>
        </w:tc>
      </w:tr>
      <w:tr>
        <w:trPr>
          <w:trHeight w:val="23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Other comprehensive income/(loss)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8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(212)</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9"/>
              </w:rPr>
              <w:t>Comprehensive (income)/loss attributable to noncontrolling interests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(170)</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PAGP</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0"/>
              </w:rPr>
              <w:t>(3)</w:t>
            </w:r>
          </w:p>
        </w:tc>
        <w:tc>
          <w:tcPr>
            <w:tcW w:w="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Unrealized gain on hedges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0"/>
              </w:rPr>
              <w:t>(2)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period activity</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0"/>
              </w:rPr>
              <w:t>(2)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0"/>
              </w:rPr>
              <w:t>(5)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52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(3)</w:t>
            </w:r>
          </w:p>
        </w:tc>
        <w:tc>
          <w:tcPr>
            <w:tcW w:w="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Unrealized gain on hedges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period activity</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9"/>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6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Six Months Ended</w:t>
      </w:r>
    </w:p>
    <w:p>
      <w:pPr>
        <w:jc w:val="center"/>
        <w:ind w:left="822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183"/>
        </w:trPr>
        <w:tc>
          <w:tcPr>
            <w:tcW w:w="8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Deferred income tax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sales of linefill</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(Gain)/loss on foreign currency revaluation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8)</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 of acquisitions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r>
      <w:tr>
        <w:trPr>
          <w:trHeight w:val="88"/>
        </w:trPr>
        <w:tc>
          <w:tcPr>
            <w:tcW w:w="8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in connection with acquisitions, net of cash acquired</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 equipment and other</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paid for purchases of linefill</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Cash received from sales of linefill</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88"/>
        </w:trPr>
        <w:tc>
          <w:tcPr>
            <w:tcW w:w="8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borrowings/(repayments) under PAA commercial paper program (Note 6)</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repayments under PAA senior secured hedged inventory facility (Note 6)</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PAA senior notes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Repurchase of common units by a subsidiary (Note 7)</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paid to Class A shareholders (Note 7)</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Distributions paid to noncontrolling interests (Note 7)</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(1,193)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r>
      <w:tr>
        <w:trPr>
          <w:trHeight w:val="88"/>
        </w:trPr>
        <w:tc>
          <w:tcPr>
            <w:tcW w:w="8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Effect of translation adjustment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08"/>
        </w:trPr>
        <w:tc>
          <w:tcPr>
            <w:tcW w:w="82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 and restricted cash</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86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5"/>
        </w:trPr>
        <w:tc>
          <w:tcPr>
            <w:tcW w:w="82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net of amounts capitalized</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8240" w:type="dxa"/>
            <w:vAlign w:val="bottom"/>
          </w:tcPr>
          <w:p>
            <w:pPr>
              <w:ind w:left="80"/>
              <w:spacing w:after="0"/>
              <w:rPr>
                <w:sz w:val="20"/>
                <w:szCs w:val="20"/>
                <w:color w:val="auto"/>
              </w:rPr>
            </w:pPr>
            <w:r>
              <w:rPr>
                <w:rFonts w:ascii="Arial" w:cs="Arial" w:eastAsia="Arial" w:hAnsi="Arial"/>
                <w:sz w:val="18"/>
                <w:szCs w:val="18"/>
                <w:color w:val="auto"/>
              </w:rPr>
              <w:t>Income taxes, net of amounts refunded</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14"/>
                <w:szCs w:val="14"/>
                <w:color w:val="auto"/>
              </w:rPr>
            </w:pPr>
          </w:p>
        </w:tc>
        <w:tc>
          <w:tcPr>
            <w:tcW w:w="134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5"/>
              </w:rPr>
              <w:t>Partners’ Capital</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395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(Note 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Repurchase of common units by a subsidiary (Note 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14,059</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24"/>
                <w:szCs w:val="24"/>
                <w:color w:val="auto"/>
              </w:rPr>
            </w:pPr>
          </w:p>
        </w:tc>
        <w:tc>
          <w:tcPr>
            <w:tcW w:w="134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5"/>
              </w:rPr>
              <w:t>Partners’ Capital</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208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(Note 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Repurchase of common units by a subsidiary (Note 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14,059</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Class A Shareholders</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Partners’ Capital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180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Repurchase of common units by a subsidiary (Note 7)</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56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6460" w:type="dxa"/>
            <w:vAlign w:val="bottom"/>
          </w:tcPr>
          <w:p>
            <w:pPr>
              <w:spacing w:after="0"/>
              <w:rPr>
                <w:sz w:val="24"/>
                <w:szCs w:val="24"/>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Class A Shareholders</w:t>
            </w: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Noncontrolling</w:t>
            </w: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Partners’ Capital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loss</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(143)</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Repurchase of common units by a subsidiary (Note 7)</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56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Plains GP Holdings, L.P. (“PAGP”) is a Delaware limited partnership formed in 2013 that has elected to be taxed as a corporation for United States federal income tax purposes. PAGP does not directly own any operating assets; as of June 30, 2022,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June 30, 2022, PAGP owned (i) a 100% managing member interest in Plains All American GP LLC (“GP LLC”), an entity that has also elected to be taxed as a corporation for United States federal income tax purposes and (ii) an approximate 81% limited partner interest in Plains AAP, L.P. (“AAP”) through our direct ownership of approximately 193.2 million Class A units of AAP (“AAP units”) and indirect ownership of approximately 1.0 million AAP units through GP LLC. GP LLC is a Delaware limited liability company that also holds the non-economic general partner interest in AAP. AAP is a Delaware limited partnership that, as of June 30, 2022, directly owned a limited partner interest in PAA through its ownership of approximately 241.5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and conducted through two operating segments: Crude Oil and NGL. See Note 11 for further discussion of our operating segments.</w:t>
      </w:r>
    </w:p>
    <w:p>
      <w:pPr>
        <w:spacing w:after="0" w:line="219"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2021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2021 was derived from audited financial statements, but does not include all disclosures required by GAAP. The results of operations for the three and six months ended June 30, 2022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including the reclassifications discussed further below.</w:t>
      </w:r>
    </w:p>
    <w:p>
      <w:pPr>
        <w:spacing w:after="0" w:line="19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4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10"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97"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97"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With the exception of a deferred tax asset of $1.335 billion and $1.362 billion as of June 30, 2022 and December 31, 2021, respectively, substantially all assets and liabilities presented on PAGP’s Condensed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six months ended June 30, 2022 or the year ended December 31, 2021. See Note 17 to our Consolidated Financial Statements included in Part IV of our 2021 Annual Report on Form 10-K for information regarding the Omnibus Agreement entered into by the Plains Entities on November 15,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 of Prior Period Information</w:t>
      </w:r>
    </w:p>
    <w:p>
      <w:pPr>
        <w:spacing w:after="0" w:line="25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During the fourth quarter of 2021, we effected changes in the primary financial information provided to our CODM (our Chief Executive Officer) for assessing performance and allocating resources to present two operating segments, Crude Oil and NGL. Prior to the fourth quarter of 2021, this information was organized into three operating segments: Transportation, Facilities and Supply and Logistics. See Note 11 for further discussion of our operating segments. In connection with this change, we changed the presentation of Revenues on our Condensed Consolidated Statements of Operations. “Product sales revenues” include amounts that were previously presented as “Supply and Logistics segment revenues,” while “Services revenues” includes amounts previously presented as “Transportation segment revenues” and “Facilities segment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Except as discussed below and in our 2021 Annual Report on Form 10-K, there have been no new accounting pronouncements that have become effective or have been issued during the six months ended June 30, 2022 that are of significance or potential significance to us.</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August 2020, the FASB issued ASU 2020-06, Debt—Debt with Conversion and Other Options (Subtopic 470-20) and Derivatives and Hedging —Contracts in Entity’s Own Equity (Subtopic 815-40): Accounting for Convertible Instruments and Contracts in an Entity’s Own Equity, which simplifies accounting for certain financial instruments with characteristics of liabilities and equity, including convertible instruments and contracts on an entity’s own equity, by eliminating two of the three models that require separate accounting for embedded conversion features and the settlement assessment that entities are required to perform to determine whether a contract qualifies for equity classification. This guidance is effective for interim and annual periods beginning after December 15, 2021, with early adoption permitted. We adopted this guidance effective January 1, 2022, and our adoption did not have a material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disaggregate our revenues by segment and type of activity. These categories depict how the nature, amount, timing and uncertainty of revenues and cash flows are affected by economic factors. See Note 3 to our Consolidated Financial Statements included in Part IV of our 2021 Annual Report on Form 10-K for additional information regarding our types of revenues and policies for revenue recognition.</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Revenues from Contracts with Customers. </w:t>
      </w:r>
      <w:r>
        <w:rPr>
          <w:rFonts w:ascii="Arial" w:cs="Arial" w:eastAsia="Arial" w:hAnsi="Arial"/>
          <w:sz w:val="18"/>
          <w:szCs w:val="18"/>
          <w:color w:val="auto"/>
        </w:rPr>
        <w:t>The following tables present our revenues from contracts with customers disaggregated by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type of activity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34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Crude Oil segment revenues from contracts with customers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840" w:type="dxa"/>
            <w:vAlign w:val="bottom"/>
          </w:tcPr>
          <w:p>
            <w:pPr>
              <w:ind w:left="180"/>
              <w:spacing w:after="0"/>
              <w:rPr>
                <w:sz w:val="20"/>
                <w:szCs w:val="20"/>
                <w:color w:val="auto"/>
              </w:rPr>
            </w:pPr>
            <w:r>
              <w:rPr>
                <w:rFonts w:ascii="Arial" w:cs="Arial" w:eastAsia="Arial" w:hAnsi="Arial"/>
                <w:sz w:val="18"/>
                <w:szCs w:val="18"/>
                <w:color w:val="auto"/>
              </w:rPr>
              <w:t>Sales</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15,576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28,433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17,349</w:t>
            </w: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Terminalling, Storage and Other</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Crude Oil segment revenues from contracts with customers</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3"/>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24"/>
                <w:szCs w:val="24"/>
                <w:color w:val="auto"/>
              </w:rPr>
            </w:pPr>
          </w:p>
        </w:tc>
        <w:tc>
          <w:tcPr>
            <w:tcW w:w="234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 segment revenues from contracts with customers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Sales</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1,128</w:t>
            </w: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Terminalling, Storage and Other</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NGL segment revenues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The following disclosures only include information regarding revenues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June 30, 2022</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16,367</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16,510</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00"/>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June 30, 2021</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10,233</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10,009</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 2022</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30,348</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30,323</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30,053</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00"/>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 2021</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18,980</w:t>
            </w: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r>
      <w:tr>
        <w:trPr>
          <w:trHeight w:val="223"/>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 of reportable segments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18,501</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Minimum Volume Commitments. </w:t>
      </w:r>
      <w:r>
        <w:rPr>
          <w:rFonts w:ascii="Arial" w:cs="Arial" w:eastAsia="Arial" w:hAnsi="Arial"/>
          <w:sz w:val="18"/>
          <w:szCs w:val="18"/>
          <w:color w:val="auto"/>
        </w:rPr>
        <w:t>We have certain agreements that require counterparties to transport or throughput a minimum volume over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Deficiencies</w:t>
            </w:r>
          </w:p>
        </w:tc>
        <w:tc>
          <w:tcPr>
            <w:tcW w:w="3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Financial Statement Classification</w:t>
            </w:r>
          </w:p>
        </w:tc>
        <w:tc>
          <w:tcPr>
            <w:tcW w:w="1300" w:type="dxa"/>
            <w:vAlign w:val="bottom"/>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3800" w:type="dxa"/>
            <w:vAlign w:val="bottom"/>
            <w:gridSpan w:val="3"/>
            <w:vMerge w:val="continue"/>
          </w:tcPr>
          <w:p>
            <w:pPr>
              <w:spacing w:after="0"/>
              <w:rPr>
                <w:sz w:val="16"/>
                <w:szCs w:val="16"/>
                <w:color w:val="auto"/>
              </w:rPr>
            </w:pPr>
          </w:p>
        </w:tc>
        <w:tc>
          <w:tcPr>
            <w:tcW w:w="1300" w:type="dxa"/>
            <w:vAlign w:val="bottom"/>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Billed and collected</w:t>
            </w:r>
          </w:p>
        </w:tc>
        <w:tc>
          <w:tcPr>
            <w:tcW w:w="14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4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Unbilled </w:t>
            </w:r>
            <w:r>
              <w:rPr>
                <w:rFonts w:ascii="Arial" w:cs="Arial" w:eastAsia="Arial" w:hAnsi="Arial"/>
                <w:sz w:val="23"/>
                <w:szCs w:val="23"/>
                <w:color w:val="auto"/>
                <w:vertAlign w:val="superscript"/>
              </w:rPr>
              <w:t>(1)</w:t>
            </w:r>
          </w:p>
        </w:tc>
        <w:tc>
          <w:tcPr>
            <w:tcW w:w="38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N/A</w:t>
            </w:r>
          </w:p>
        </w:tc>
        <w:tc>
          <w:tcPr>
            <w:tcW w:w="1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260" w:hanging="652"/>
        <w:spacing w:after="0" w:line="227"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Amounts were related to deficiencies for which the counterparties had not met their contractual minimum commitments and are not reflected in our Condensed Consolidated Financial Statements as we had not yet billed or collected such amounts.</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Our contract balances consist of amounts received associated with services or sales for which we have not yet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performance obligation. The following table presents the change in the liability balance associated with contracts with customers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4"/>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Amounts recognized as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The information below includes the amount of consideration allocated to partially and wholly unsatisfied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June 30, 2022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b w:val="1"/>
                <w:bCs w:val="1"/>
                <w:color w:val="auto"/>
              </w:rPr>
              <w:t>2027 and</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42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Pipeline revenues supported by minimum volume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2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Terminalling, storage and other agreement revenues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83"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Short-term contracts and those with variable consideration, due to the election of practical expedients;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21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June 30, 2022 and December 31, 2021,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496"/>
              <w:spacing w:after="0"/>
              <w:rPr>
                <w:sz w:val="20"/>
                <w:szCs w:val="20"/>
                <w:color w:val="auto"/>
              </w:rPr>
            </w:pPr>
            <w:r>
              <w:rPr>
                <w:rFonts w:ascii="Arial" w:cs="Arial" w:eastAsia="Arial" w:hAnsi="Arial"/>
                <w:sz w:val="18"/>
                <w:szCs w:val="18"/>
                <w:color w:val="auto"/>
                <w:w w:val="88"/>
              </w:rPr>
              <w:t>5,279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88"/>
              </w:rPr>
              <w:t>4,031</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40" w:type="dxa"/>
            <w:vAlign w:val="bottom"/>
          </w:tcPr>
          <w:p>
            <w:pPr>
              <w:jc w:val="center"/>
              <w:ind w:left="496"/>
              <w:spacing w:after="0"/>
              <w:rPr>
                <w:sz w:val="20"/>
                <w:szCs w:val="20"/>
                <w:color w:val="auto"/>
              </w:rPr>
            </w:pPr>
            <w:r>
              <w:rPr>
                <w:rFonts w:ascii="Arial" w:cs="Arial" w:eastAsia="Arial" w:hAnsi="Arial"/>
                <w:sz w:val="18"/>
                <w:szCs w:val="18"/>
                <w:color w:val="auto"/>
                <w:w w:val="88"/>
              </w:rPr>
              <w:t>8,107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left="654"/>
              <w:spacing w:after="0"/>
              <w:rPr>
                <w:sz w:val="20"/>
                <w:szCs w:val="20"/>
                <w:color w:val="auto"/>
              </w:rPr>
            </w:pPr>
            <w:r>
              <w:rPr>
                <w:rFonts w:ascii="Arial" w:cs="Arial" w:eastAsia="Arial" w:hAnsi="Arial"/>
                <w:sz w:val="18"/>
                <w:szCs w:val="18"/>
                <w:color w:val="auto"/>
                <w:w w:val="88"/>
              </w:rPr>
              <w:t>5,126</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76"/>
              <w:spacing w:after="0"/>
              <w:rPr>
                <w:sz w:val="20"/>
                <w:szCs w:val="20"/>
                <w:color w:val="auto"/>
              </w:rPr>
            </w:pPr>
            <w:r>
              <w:rPr>
                <w:rFonts w:ascii="Arial" w:cs="Arial" w:eastAsia="Arial" w:hAnsi="Arial"/>
                <w:sz w:val="18"/>
                <w:szCs w:val="18"/>
                <w:color w:val="auto"/>
                <w:w w:val="94"/>
              </w:rPr>
              <w:t>(7,805)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4"/>
              </w:rPr>
              <w:t>(4,452)</w:t>
            </w:r>
          </w:p>
        </w:tc>
        <w:tc>
          <w:tcPr>
            <w:tcW w:w="0" w:type="dxa"/>
            <w:vAlign w:val="bottom"/>
          </w:tcPr>
          <w:p>
            <w:pPr>
              <w:spacing w:after="0"/>
              <w:rPr>
                <w:sz w:val="1"/>
                <w:szCs w:val="1"/>
                <w:color w:val="auto"/>
              </w:rPr>
            </w:pPr>
          </w:p>
        </w:tc>
      </w:tr>
      <w:tr>
        <w:trPr>
          <w:trHeight w:val="223"/>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Trade accounts receivable and other receivables,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496"/>
              <w:spacing w:after="0"/>
              <w:rPr>
                <w:sz w:val="20"/>
                <w:szCs w:val="20"/>
                <w:color w:val="auto"/>
              </w:rPr>
            </w:pPr>
            <w:r>
              <w:rPr>
                <w:rFonts w:ascii="Arial" w:cs="Arial" w:eastAsia="Arial" w:hAnsi="Arial"/>
                <w:sz w:val="18"/>
                <w:szCs w:val="18"/>
                <w:color w:val="auto"/>
                <w:w w:val="88"/>
              </w:rPr>
              <w:t>5,581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88"/>
              </w:rPr>
              <w:t>4,705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ASC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Class A Share</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Basic net income/(loss) per Class A share is determined by dividing net income/(loss)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8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Diluted net income/(loss) per Class A share is determined by dividing net income/(loss) attributable to PAGP by the diluted weighted average number of Class A shares outstanding during the period. For purposes of calculating diluted net income/(loss) per Class A share, both the net income/(loss) attributable to PAGP and the diluted weighted average number of Class A shares outstanding consider the impact of possible future exchanges of (i) AAP units and the associated Class B shares into our Class A shares and (ii)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2021 Annual Report on Form 10-K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18 to our Consolidated Financial Statements included in Part IV of our 2021 Annual Report on Form 10-K for information regarding PAGP LTIP awards.</w:t>
      </w:r>
    </w:p>
    <w:p>
      <w:pPr>
        <w:spacing w:after="0" w:line="21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On a weighted-average basis, for each of the three and six months ended June 30, 2022, the possible exchange of 47 million AAP units would not have had a dilutive effect on basic net income per Class A share. For each of the three and six months ended June 30, 2021, the possible exchange of</w:t>
      </w:r>
    </w:p>
    <w:p>
      <w:pPr>
        <w:ind w:right="80"/>
        <w:spacing w:after="0" w:line="252" w:lineRule="auto"/>
        <w:rPr>
          <w:sz w:val="20"/>
          <w:szCs w:val="20"/>
          <w:color w:val="auto"/>
        </w:rPr>
      </w:pPr>
      <w:r>
        <w:rPr>
          <w:rFonts w:ascii="Arial" w:cs="Arial" w:eastAsia="Arial" w:hAnsi="Arial"/>
          <w:sz w:val="18"/>
          <w:szCs w:val="18"/>
          <w:color w:val="auto"/>
        </w:rPr>
        <w:t>51 million would not have had a dilutive effect on basic net income/(loss) per Class A share. For each of the three and six months ended June 30, 2022 and 2021, the possible exchange of less than 1 million AAP Management Units would not have had a dilutive effect on basic net income/(loss) per Class A share on a weighted-average basis. For the three months ended June 30, 2021, our PAGP LTIP awards were antidilutive. For each of the three and six months ended June 30, 2022, and for the six months ended June 30, 2021, our PAGP LTIP awards were dilutive; however, there were less than 0.1 million dilutive LTIP awards, which did not change the presentation of diluted weighted average Class A shares outstanding or diluted net income/(loss) per Class A share.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sets forth the computation of basic and diluted net income/(loss) per Class A share (in millions, except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6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8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840" w:type="dxa"/>
            <w:vAlign w:val="bottom"/>
          </w:tcPr>
          <w:p>
            <w:pPr>
              <w:ind w:left="100"/>
              <w:spacing w:after="0"/>
              <w:rPr>
                <w:sz w:val="20"/>
                <w:szCs w:val="20"/>
                <w:color w:val="auto"/>
              </w:rPr>
            </w:pPr>
            <w:r>
              <w:rPr>
                <w:rFonts w:ascii="Arial" w:cs="Arial" w:eastAsia="Arial" w:hAnsi="Arial"/>
                <w:sz w:val="18"/>
                <w:szCs w:val="18"/>
                <w:color w:val="auto"/>
              </w:rPr>
              <w:t>Net income/(loss) attributable to PAGP</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 weighted average Class A shares outstanding</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56"/>
        </w:trPr>
        <w:tc>
          <w:tcPr>
            <w:tcW w:w="5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5"/>
        </w:trPr>
        <w:tc>
          <w:tcPr>
            <w:tcW w:w="5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 and diluted net income/(loss) per Class A share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Long-term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linefill and long-term inventory consisted of the following (barrels in thousands and carrying value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4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4"/>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6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94"/>
              <w:spacing w:after="0" w:line="135"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91"/>
              </w:rPr>
              <w:t xml:space="preserve">Unit </w:t>
            </w:r>
            <w:r>
              <w:rPr>
                <w:rFonts w:ascii="Arial" w:cs="Arial" w:eastAsia="Arial" w:hAnsi="Arial"/>
                <w:sz w:val="18"/>
                <w:szCs w:val="18"/>
                <w:b w:val="1"/>
                <w:bCs w:val="1"/>
                <w:color w:val="auto"/>
                <w:w w:val="91"/>
                <w:vertAlign w:val="superscript"/>
              </w:rPr>
              <w:t>(1)</w:t>
            </w: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74"/>
              <w:spacing w:after="0" w:line="189"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2,704</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101.33</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8,041</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right w:val="single" w:sz="8" w:color="auto"/>
            </w:tcBorders>
            <w:gridSpan w:val="2"/>
          </w:tcPr>
          <w:p>
            <w:pPr>
              <w:ind w:left="42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Linefill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15,239</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57.29</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15,199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Linefill subtotal</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Long-term inventory</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NGL</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43.84</w:t>
            </w:r>
          </w:p>
        </w:tc>
        <w:tc>
          <w:tcPr>
            <w:tcW w:w="12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9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360" w:hanging="652"/>
        <w:spacing w:after="0" w:line="227" w:lineRule="auto"/>
        <w:tabs>
          <w:tab w:leader="none" w:pos="6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6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4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211"/>
        </w:trPr>
        <w:tc>
          <w:tcPr>
            <w:tcW w:w="4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83"/>
        </w:trPr>
        <w:tc>
          <w:tcPr>
            <w:tcW w:w="40" w:type="dxa"/>
            <w:vAlign w:val="bottom"/>
          </w:tcPr>
          <w:p>
            <w:pPr>
              <w:spacing w:after="0"/>
              <w:rPr>
                <w:sz w:val="24"/>
                <w:szCs w:val="24"/>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 xml:space="preserve">PAA commercial paper notes, bearing a weighted-average interest rate of 2.1% </w:t>
            </w:r>
            <w:r>
              <w:rPr>
                <w:rFonts w:ascii="Arial" w:cs="Arial" w:eastAsia="Arial" w:hAnsi="Arial"/>
                <w:sz w:val="23"/>
                <w:szCs w:val="23"/>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PAA senior notes: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3.65% senior notes due June 2022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2.85% senior notes due January 2023</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8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40" w:type="dxa"/>
            <w:vAlign w:val="bottom"/>
          </w:tcPr>
          <w:p>
            <w:pPr>
              <w:spacing w:after="0"/>
              <w:rPr>
                <w:sz w:val="19"/>
                <w:szCs w:val="19"/>
                <w:color w:val="auto"/>
              </w:rPr>
            </w:pPr>
          </w:p>
        </w:tc>
        <w:tc>
          <w:tcPr>
            <w:tcW w:w="8400" w:type="dxa"/>
            <w:vAlign w:val="bottom"/>
            <w:gridSpan w:val="2"/>
            <w:shd w:val="clear" w:color="auto" w:fill="CCEEFF"/>
          </w:tcPr>
          <w:p>
            <w:pPr>
              <w:jc w:val="center"/>
              <w:ind w:right="6440"/>
              <w:spacing w:after="0"/>
              <w:rPr>
                <w:sz w:val="20"/>
                <w:szCs w:val="20"/>
                <w:color w:val="auto"/>
              </w:rPr>
            </w:pPr>
            <w:r>
              <w:rPr>
                <w:rFonts w:ascii="Arial" w:cs="Arial" w:eastAsia="Arial" w:hAnsi="Arial"/>
                <w:sz w:val="18"/>
                <w:szCs w:val="18"/>
                <w:color w:val="auto"/>
                <w:w w:val="90"/>
              </w:rPr>
              <w:t>Total short-term debt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57"/>
        </w:trPr>
        <w:tc>
          <w:tcPr>
            <w:tcW w:w="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PAA senior notes, net of unamortized discounts and debt issuance costs of $50 and $54, respectively</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8,329</w:t>
            </w:r>
          </w:p>
        </w:tc>
      </w:tr>
      <w:tr>
        <w:trPr>
          <w:trHeight w:val="229"/>
        </w:trPr>
        <w:tc>
          <w:tcPr>
            <w:tcW w:w="40" w:type="dxa"/>
            <w:vAlign w:val="bottom"/>
          </w:tcPr>
          <w:p>
            <w:pPr>
              <w:spacing w:after="0"/>
              <w:rPr>
                <w:sz w:val="19"/>
                <w:szCs w:val="19"/>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40" w:type="dxa"/>
            <w:vAlign w:val="bottom"/>
          </w:tcPr>
          <w:p>
            <w:pPr>
              <w:spacing w:after="0"/>
              <w:rPr>
                <w:sz w:val="19"/>
                <w:szCs w:val="19"/>
                <w:color w:val="auto"/>
              </w:rPr>
            </w:pPr>
          </w:p>
        </w:tc>
        <w:tc>
          <w:tcPr>
            <w:tcW w:w="8400" w:type="dxa"/>
            <w:vAlign w:val="bottom"/>
            <w:tcBorders>
              <w:bottom w:val="single" w:sz="8" w:color="CCEEFF"/>
            </w:tcBorders>
            <w:gridSpan w:val="2"/>
          </w:tcPr>
          <w:p>
            <w:pPr>
              <w:jc w:val="center"/>
              <w:ind w:right="6480"/>
              <w:spacing w:after="0"/>
              <w:rPr>
                <w:sz w:val="20"/>
                <w:szCs w:val="20"/>
                <w:color w:val="auto"/>
              </w:rPr>
            </w:pPr>
            <w:r>
              <w:rPr>
                <w:rFonts w:ascii="Arial" w:cs="Arial" w:eastAsia="Arial" w:hAnsi="Arial"/>
                <w:sz w:val="18"/>
                <w:szCs w:val="18"/>
                <w:color w:val="auto"/>
                <w:w w:val="91"/>
              </w:rPr>
              <w:t>Total long-term debt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8,398</w:t>
            </w:r>
          </w:p>
        </w:tc>
      </w:tr>
      <w:tr>
        <w:trPr>
          <w:trHeight w:val="248"/>
        </w:trPr>
        <w:tc>
          <w:tcPr>
            <w:tcW w:w="4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jc w:val="center"/>
              <w:ind w:right="6420"/>
              <w:spacing w:after="0" w:line="223" w:lineRule="exact"/>
              <w:rPr>
                <w:sz w:val="20"/>
                <w:szCs w:val="20"/>
                <w:color w:val="auto"/>
              </w:rPr>
            </w:pPr>
            <w:r>
              <w:rPr>
                <w:rFonts w:ascii="Arial" w:cs="Arial" w:eastAsia="Arial" w:hAnsi="Arial"/>
                <w:sz w:val="18"/>
                <w:szCs w:val="18"/>
                <w:color w:val="auto"/>
                <w:w w:val="86"/>
              </w:rPr>
              <w:t xml:space="preserve">Total debt </w:t>
            </w:r>
            <w:r>
              <w:rPr>
                <w:rFonts w:ascii="Arial" w:cs="Arial" w:eastAsia="Arial" w:hAnsi="Arial"/>
                <w:sz w:val="23"/>
                <w:szCs w:val="23"/>
                <w:color w:val="auto"/>
                <w:w w:val="86"/>
                <w:vertAlign w:val="superscript"/>
              </w:rPr>
              <w:t>(3)</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c>
          <w:tcPr>
            <w:tcW w:w="4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spacing w:after="0" w:line="67"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ind w:left="20" w:right="40" w:hanging="11"/>
        <w:spacing w:after="0" w:line="263" w:lineRule="auto"/>
        <w:rPr>
          <w:sz w:val="20"/>
          <w:szCs w:val="20"/>
          <w:color w:val="auto"/>
        </w:rPr>
      </w:pPr>
      <w:r>
        <w:rPr>
          <w:rFonts w:ascii="Arial" w:cs="Arial" w:eastAsia="Arial" w:hAnsi="Arial"/>
          <w:sz w:val="18"/>
          <w:szCs w:val="18"/>
          <w:color w:val="auto"/>
        </w:rPr>
        <w:t>We classified these PAA commercial paper notes as short-term as of June 30, 2022, as these notes were primarily designated as working capital borrowings, were required to be repaid within one year and were primarily for hedged NGL and crude oil inventory and NYMEX and ICE margin deposits.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These senior notes were redeemed on March 1, 2022.</w:t>
      </w:r>
    </w:p>
    <w:p>
      <w:pPr>
        <w:spacing w:after="0" w:line="117" w:lineRule="exact"/>
        <w:rPr>
          <w:sz w:val="20"/>
          <w:szCs w:val="20"/>
          <w:color w:val="auto"/>
        </w:rPr>
      </w:pPr>
    </w:p>
    <w:p>
      <w:pPr>
        <w:ind w:left="20" w:hanging="11"/>
        <w:spacing w:after="0" w:line="254" w:lineRule="auto"/>
        <w:rPr>
          <w:sz w:val="20"/>
          <w:szCs w:val="20"/>
          <w:color w:val="auto"/>
        </w:rPr>
      </w:pPr>
      <w:r>
        <w:rPr>
          <w:rFonts w:ascii="Arial" w:cs="Arial" w:eastAsia="Arial" w:hAnsi="Arial"/>
          <w:sz w:val="18"/>
          <w:szCs w:val="18"/>
          <w:color w:val="auto"/>
        </w:rPr>
        <w:t>PAA’s fixed-rate senior notes had a face value of approximately $8.4 billion and $9.1 billion as of June 30, 2022 and December 31, 2021, respectively. We estimated the aggregate fair value of these notes as of June 30, 2022 and December 31, 2021 to be approximately $7.7 billion and $9.9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commercial paper program approximates fair value as interest rates reflect current market rates. The fair value estimates for PAA’s senior notes and commercial paper notes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Total borrowings under the PAA credit facilities and commercial paper program for the six months ended June 30, 2022 and 2021 were approximately $16.4 billion and $26.1 billion, respectively. Total repayments under the PAA credit facilities and commercial paper program were approximately $16.3 billion and $26.4 billion for the six months ended June 30, 2022 and 2021, respectively. The variance in total gross borrowings and repayments is impacted by various business and financial factors including, but not limited to, the timing, average term and method of general partnership borrowing activities.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1, 2022, PAA redeemed its 3.65%, $750 million senior notes due June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June 30, 2022 and December 31, 2021, we had outstanding letters of credit of $34 million and $98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194,192,777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46,645,514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534,596,831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tcBorders>
              <w:top w:val="single" w:sz="8" w:color="CCEEFF"/>
            </w:tcBorders>
            <w:gridSpan w:val="2"/>
            <w:vMerge w:val="continue"/>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205,024</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(11,957)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7"/>
              </w:rPr>
              <w:t>Repurchase of common units by a subsidiary under the Common Equity Repurchase</w:t>
            </w: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(2,375,299)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Program</w:t>
            </w:r>
          </w:p>
        </w:tc>
        <w:tc>
          <w:tcPr>
            <w:tcW w:w="1540" w:type="dxa"/>
            <w:vAlign w:val="bottom"/>
            <w:gridSpan w:val="2"/>
            <w:vMerge w:val="continue"/>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March 31, 2022</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194,228,477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46,802,881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532,285,426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vMerge w:val="restart"/>
          </w:tcPr>
          <w:p>
            <w:pPr>
              <w:ind w:left="14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tcBorders>
              <w:top w:val="single" w:sz="8" w:color="CCEEFF"/>
            </w:tcBorders>
            <w:gridSpan w:val="2"/>
            <w:vMerge w:val="continue"/>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53,023</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1"/>
              </w:rPr>
              <w:t>Repurchase of common units by a subsidiary under Common Equity Repurchase Program</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(4,876,062)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147,830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June 30, 2022</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194,228,477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46,855,904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527,557,194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194,051,436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50,640,192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547,717,762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700" w:type="dxa"/>
            <w:vAlign w:val="bottom"/>
            <w:tcBorders>
              <w:top w:val="single" w:sz="8" w:color="CCEEFF"/>
            </w:tcBorders>
            <w:gridSpan w:val="2"/>
            <w:vMerge w:val="continue"/>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414,608</w:t>
            </w:r>
          </w:p>
        </w:tc>
        <w:tc>
          <w:tcPr>
            <w:tcW w:w="120" w:type="dxa"/>
            <w:vAlign w:val="bottom"/>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(229,931)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229,931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97"/>
              </w:rPr>
              <w:t>Repurchase of common units by a subsidiary under the Common Equity Repurchase</w:t>
            </w: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Program</w:t>
            </w:r>
          </w:p>
        </w:tc>
        <w:tc>
          <w:tcPr>
            <w:tcW w:w="1540" w:type="dxa"/>
            <w:vAlign w:val="bottom"/>
            <w:gridSpan w:val="2"/>
            <w:vMerge w:val="continue"/>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25,431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194,098,315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50,777,990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547,623,124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ind w:left="140"/>
              <w:spacing w:after="0" w:line="243"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25,554</w:t>
            </w: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(25,554)</w:t>
            </w: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w w:val="91"/>
              </w:rPr>
              <w:t>Repurchase of common units by a subsidiary under Common Equity Repurchase Program</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(4,940,592)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Outstanding at June 30, 2021</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194,123,869</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50,217,427</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543,473,862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2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340" w:hanging="652"/>
        <w:spacing w:after="0" w:line="227"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See Note 12 to our Consolidated Financial Statements included in Part IV of our 2021 Annual Report on Form 10-K for information regarding conversions of AAP Management Units, Exchange Rights and Redemption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1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details distributions to our Class A shareholders paid during or pertaining to the first six months of 2022 (in millions,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2060" w:type="dxa"/>
            <w:vAlign w:val="bottom"/>
          </w:tcPr>
          <w:p>
            <w:pPr>
              <w:jc w:val="right"/>
              <w:ind w:right="257"/>
              <w:spacing w:after="0"/>
              <w:rPr>
                <w:sz w:val="20"/>
                <w:szCs w:val="20"/>
                <w:color w:val="auto"/>
              </w:rPr>
            </w:pPr>
            <w:r>
              <w:rPr>
                <w:rFonts w:ascii="Arial" w:cs="Arial" w:eastAsia="Arial" w:hAnsi="Arial"/>
                <w:sz w:val="14"/>
                <w:szCs w:val="14"/>
                <w:b w:val="1"/>
                <w:bCs w:val="1"/>
                <w:color w:val="auto"/>
              </w:rPr>
              <w:t>Distributions to</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tcPr>
          <w:p>
            <w:pPr>
              <w:jc w:val="right"/>
              <w:ind w:right="637"/>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88"/>
        </w:trPr>
        <w:tc>
          <w:tcPr>
            <w:tcW w:w="6140" w:type="dxa"/>
            <w:vAlign w:val="bottom"/>
            <w:gridSpan w:val="3"/>
            <w:vMerge w:val="continue"/>
          </w:tcPr>
          <w:p>
            <w:pPr>
              <w:spacing w:after="0"/>
              <w:rPr>
                <w:sz w:val="16"/>
                <w:szCs w:val="16"/>
                <w:color w:val="auto"/>
              </w:rPr>
            </w:pPr>
          </w:p>
        </w:tc>
        <w:tc>
          <w:tcPr>
            <w:tcW w:w="2060" w:type="dxa"/>
            <w:vAlign w:val="bottom"/>
          </w:tcPr>
          <w:p>
            <w:pPr>
              <w:jc w:val="right"/>
              <w:ind w:right="97"/>
              <w:spacing w:after="0"/>
              <w:rPr>
                <w:sz w:val="20"/>
                <w:szCs w:val="20"/>
                <w:color w:val="auto"/>
              </w:rPr>
            </w:pPr>
            <w:r>
              <w:rPr>
                <w:rFonts w:ascii="Arial" w:cs="Arial" w:eastAsia="Arial" w:hAnsi="Arial"/>
                <w:sz w:val="14"/>
                <w:szCs w:val="14"/>
                <w:b w:val="1"/>
                <w:bCs w:val="1"/>
                <w:color w:val="auto"/>
              </w:rPr>
              <w:t>Class A Shareholders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tcPr>
          <w:p>
            <w:pPr>
              <w:jc w:val="right"/>
              <w:ind w:right="757"/>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24"/>
        </w:trPr>
        <w:tc>
          <w:tcPr>
            <w:tcW w:w="602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August 12, 2022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187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0.2175</w:t>
            </w:r>
          </w:p>
        </w:tc>
        <w:tc>
          <w:tcPr>
            <w:tcW w:w="0" w:type="dxa"/>
            <w:vAlign w:val="bottom"/>
          </w:tcPr>
          <w:p>
            <w:pPr>
              <w:spacing w:after="0"/>
              <w:rPr>
                <w:sz w:val="1"/>
                <w:szCs w:val="1"/>
                <w:color w:val="auto"/>
              </w:rPr>
            </w:pPr>
          </w:p>
        </w:tc>
      </w:tr>
      <w:tr>
        <w:trPr>
          <w:trHeight w:val="230"/>
        </w:trPr>
        <w:tc>
          <w:tcPr>
            <w:tcW w:w="6140" w:type="dxa"/>
            <w:vAlign w:val="bottom"/>
            <w:gridSpan w:val="3"/>
          </w:tcPr>
          <w:p>
            <w:pPr>
              <w:ind w:left="20"/>
              <w:spacing w:after="0"/>
              <w:rPr>
                <w:sz w:val="20"/>
                <w:szCs w:val="20"/>
                <w:color w:val="auto"/>
              </w:rPr>
            </w:pPr>
            <w:r>
              <w:rPr>
                <w:rFonts w:ascii="Arial" w:cs="Arial" w:eastAsia="Arial" w:hAnsi="Arial"/>
                <w:sz w:val="18"/>
                <w:szCs w:val="18"/>
                <w:color w:val="auto"/>
              </w:rPr>
              <w:t>May 13, 2022</w:t>
            </w:r>
          </w:p>
        </w:tc>
        <w:tc>
          <w:tcPr>
            <w:tcW w:w="2060" w:type="dxa"/>
            <w:vAlign w:val="bottom"/>
          </w:tcPr>
          <w:p>
            <w:pPr>
              <w:jc w:val="right"/>
              <w:ind w:right="187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0.2175</w:t>
            </w:r>
          </w:p>
        </w:tc>
        <w:tc>
          <w:tcPr>
            <w:tcW w:w="0" w:type="dxa"/>
            <w:vAlign w:val="bottom"/>
          </w:tcPr>
          <w:p>
            <w:pPr>
              <w:spacing w:after="0"/>
              <w:rPr>
                <w:sz w:val="1"/>
                <w:szCs w:val="1"/>
                <w:color w:val="auto"/>
              </w:rPr>
            </w:pPr>
          </w:p>
        </w:tc>
      </w:tr>
      <w:tr>
        <w:trPr>
          <w:trHeight w:val="229"/>
        </w:trPr>
        <w:tc>
          <w:tcPr>
            <w:tcW w:w="6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14, 2022</w:t>
            </w:r>
          </w:p>
        </w:tc>
        <w:tc>
          <w:tcPr>
            <w:tcW w:w="2060" w:type="dxa"/>
            <w:vAlign w:val="bottom"/>
            <w:shd w:val="clear" w:color="auto" w:fill="CCEEFF"/>
          </w:tcPr>
          <w:p>
            <w:pPr>
              <w:jc w:val="right"/>
              <w:ind w:right="187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0.1800</w:t>
            </w:r>
          </w:p>
        </w:tc>
        <w:tc>
          <w:tcPr>
            <w:tcW w:w="0" w:type="dxa"/>
            <w:vAlign w:val="bottom"/>
          </w:tcPr>
          <w:p>
            <w:pPr>
              <w:spacing w:after="0"/>
              <w:rPr>
                <w:sz w:val="1"/>
                <w:szCs w:val="1"/>
                <w:color w:val="auto"/>
              </w:rPr>
            </w:pPr>
          </w:p>
        </w:tc>
      </w:tr>
      <w:tr>
        <w:trPr>
          <w:trHeight w:val="176"/>
        </w:trPr>
        <w:tc>
          <w:tcPr>
            <w:tcW w:w="3880" w:type="dxa"/>
            <w:vAlign w:val="bottom"/>
            <w:tcBorders>
              <w:bottom w:val="single" w:sz="8" w:color="auto"/>
            </w:tcBorders>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20"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Payable to shareholders of record at the close of business on July 29, 2022 for the period from April 1, 2022 through June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June 30, 2022, noncontrolling interests in our subsidiaries consisted of (i) limited partner interests in PAA including a 69% interest in PAA’s common units and PAA’s Series A preferred units combined and 100% of PAA’s Series B preferred units, (ii) an approximate 19% limited partner interest in AAP, (iii) a 35% interest in Plains Oryx Permian Basin LLC (the “Permian JV”) and (iv) a 33% interest in Red River Pipeline Company LLC (“Red River LLC”).</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Equity Repurchase Program</w:t>
      </w:r>
    </w:p>
    <w:p>
      <w:pPr>
        <w:spacing w:after="0" w:line="23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PAA repurchased 7.3 million and 5.3 million common units under the Common Equity Repurchase Program (the “Program”) through open market purchases that settled during the six months ended June 30, 2022 and 2021, respectively, for a total purchase price of $74 million and $53 million, respectively, including commissions and fees. The repurchased PAA common units were canceled immediately upon acquisition, as were the Class C shares held by PAA associated with the repurchased common units. At June 30, 2022, the remaining available capacity under the Program was</w:t>
      </w:r>
    </w:p>
    <w:p>
      <w:pPr>
        <w:spacing w:after="0" w:line="1" w:lineRule="exact"/>
        <w:rPr>
          <w:sz w:val="20"/>
          <w:szCs w:val="20"/>
          <w:color w:val="auto"/>
        </w:rPr>
      </w:pPr>
    </w:p>
    <w:p>
      <w:pPr>
        <w:ind w:right="800"/>
        <w:spacing w:after="0" w:line="260" w:lineRule="auto"/>
        <w:rPr>
          <w:sz w:val="20"/>
          <w:szCs w:val="20"/>
          <w:color w:val="auto"/>
        </w:rPr>
      </w:pPr>
      <w:r>
        <w:rPr>
          <w:rFonts w:ascii="Arial" w:cs="Arial" w:eastAsia="Arial" w:hAnsi="Arial"/>
          <w:sz w:val="18"/>
          <w:szCs w:val="18"/>
          <w:color w:val="auto"/>
        </w:rPr>
        <w:t>$198 million. See Note 12 to our Consolidated Financial Statements included in Part IV of our 2021 Annual Report on Form 10-K for additional information regarding the Program.</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PAA Series A Preferred Unit Distributions</w:t>
      </w:r>
      <w:r>
        <w:rPr>
          <w:rFonts w:ascii="Arial" w:cs="Arial" w:eastAsia="Arial" w:hAnsi="Arial"/>
          <w:sz w:val="18"/>
          <w:szCs w:val="18"/>
          <w:color w:val="auto"/>
        </w:rPr>
        <w:t>. The following table details distributions to PAA’s Series A preferred unitholders paid during or</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first six months of 2022 (in millions, except per unit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5"/>
              <w:spacing w:after="0"/>
              <w:rPr>
                <w:sz w:val="20"/>
                <w:szCs w:val="20"/>
                <w:color w:val="auto"/>
              </w:rPr>
            </w:pPr>
            <w:r>
              <w:rPr>
                <w:rFonts w:ascii="Arial" w:cs="Arial" w:eastAsia="Arial" w:hAnsi="Arial"/>
                <w:sz w:val="14"/>
                <w:szCs w:val="14"/>
                <w:b w:val="1"/>
                <w:bCs w:val="1"/>
                <w:color w:val="auto"/>
              </w:rPr>
              <w:t>Series A Preferred Unitholders</w:t>
            </w:r>
          </w:p>
        </w:tc>
      </w:tr>
      <w:tr>
        <w:trPr>
          <w:trHeight w:val="188"/>
        </w:trPr>
        <w:tc>
          <w:tcPr>
            <w:tcW w:w="40" w:type="dxa"/>
            <w:vAlign w:val="bottom"/>
          </w:tcPr>
          <w:p>
            <w:pPr>
              <w:spacing w:after="0"/>
              <w:rPr>
                <w:sz w:val="16"/>
                <w:szCs w:val="16"/>
                <w:color w:val="auto"/>
              </w:rPr>
            </w:pPr>
          </w:p>
        </w:tc>
        <w:tc>
          <w:tcPr>
            <w:tcW w:w="7820" w:type="dxa"/>
            <w:vAlign w:val="bottom"/>
            <w:gridSpan w:val="3"/>
          </w:tcPr>
          <w:p>
            <w:pPr>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40" w:type="dxa"/>
            <w:vAlign w:val="bottom"/>
          </w:tcPr>
          <w:p>
            <w:pPr>
              <w:spacing w:after="0"/>
              <w:rPr>
                <w:sz w:val="19"/>
                <w:szCs w:val="19"/>
                <w:color w:val="auto"/>
              </w:rPr>
            </w:pPr>
          </w:p>
        </w:tc>
        <w:tc>
          <w:tcPr>
            <w:tcW w:w="7700" w:type="dxa"/>
            <w:vAlign w:val="bottom"/>
            <w:tcBorders>
              <w:top w:val="single" w:sz="8" w:color="auto"/>
            </w:tcBorders>
            <w:gridSpan w:val="2"/>
            <w:shd w:val="clear" w:color="auto" w:fill="CCEEFF"/>
          </w:tcPr>
          <w:p>
            <w:pPr>
              <w:spacing w:after="0" w:line="224" w:lineRule="exact"/>
              <w:rPr>
                <w:sz w:val="20"/>
                <w:szCs w:val="20"/>
                <w:color w:val="auto"/>
              </w:rPr>
            </w:pPr>
            <w:r>
              <w:rPr>
                <w:rFonts w:ascii="Arial" w:cs="Arial" w:eastAsia="Arial" w:hAnsi="Arial"/>
                <w:sz w:val="18"/>
                <w:szCs w:val="18"/>
                <w:color w:val="auto"/>
              </w:rPr>
              <w:t xml:space="preserve">August 12, 2022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230"/>
        </w:trPr>
        <w:tc>
          <w:tcPr>
            <w:tcW w:w="4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May 13,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0.525</w:t>
            </w:r>
          </w:p>
        </w:tc>
      </w:tr>
      <w:tr>
        <w:trPr>
          <w:trHeight w:val="229"/>
        </w:trPr>
        <w:tc>
          <w:tcPr>
            <w:tcW w:w="40" w:type="dxa"/>
            <w:vAlign w:val="bottom"/>
          </w:tcPr>
          <w:p>
            <w:pPr>
              <w:spacing w:after="0"/>
              <w:rPr>
                <w:sz w:val="19"/>
                <w:szCs w:val="19"/>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14,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176"/>
        </w:trPr>
        <w:tc>
          <w:tcPr>
            <w:tcW w:w="4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21" w:lineRule="exact"/>
        <w:rPr>
          <w:sz w:val="20"/>
          <w:szCs w:val="20"/>
          <w:color w:val="auto"/>
        </w:rPr>
      </w:pPr>
    </w:p>
    <w:p>
      <w:pPr>
        <w:ind w:left="660" w:right="320" w:hanging="652"/>
        <w:spacing w:after="0" w:line="267" w:lineRule="auto"/>
        <w:tabs>
          <w:tab w:leader="none" w:pos="64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July 29, 2022 for the period from April 1, 2022 through June 30, 2022. At June 30, 2022, such amount was accrued as distributions payable in “Other current liabilities” on our Condensed Consolidated Balance Sheet.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PAA Series B Preferred Unit Distributions</w:t>
      </w:r>
      <w:r>
        <w:rPr>
          <w:rFonts w:ascii="Arial" w:cs="Arial" w:eastAsia="Arial" w:hAnsi="Arial"/>
          <w:sz w:val="16"/>
          <w:szCs w:val="16"/>
          <w:color w:val="auto"/>
        </w:rPr>
        <w:t>. Distributions on PAA’s Series B preferred units are payable semi-annually in arrears on the 15th day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and November. The following table details distributions paid to PAA’s Series B preferred unitholders (in millions, except per unit data):</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9"/>
              <w:spacing w:after="0"/>
              <w:rPr>
                <w:sz w:val="20"/>
                <w:szCs w:val="20"/>
                <w:color w:val="auto"/>
              </w:rPr>
            </w:pPr>
            <w:r>
              <w:rPr>
                <w:rFonts w:ascii="Arial" w:cs="Arial" w:eastAsia="Arial" w:hAnsi="Arial"/>
                <w:sz w:val="14"/>
                <w:szCs w:val="14"/>
                <w:b w:val="1"/>
                <w:bCs w:val="1"/>
                <w:color w:val="auto"/>
              </w:rPr>
              <w:t>Series B Preferred Unitholders</w:t>
            </w:r>
          </w:p>
        </w:tc>
      </w:tr>
      <w:tr>
        <w:trPr>
          <w:trHeight w:val="188"/>
        </w:trPr>
        <w:tc>
          <w:tcPr>
            <w:tcW w:w="7820" w:type="dxa"/>
            <w:vAlign w:val="bottom"/>
            <w:gridSpan w:val="2"/>
          </w:tcPr>
          <w:p>
            <w:pPr>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7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16, 2022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24.5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30.625</w:t>
            </w:r>
          </w:p>
        </w:tc>
      </w:tr>
    </w:tbl>
    <w:p>
      <w:pPr>
        <w:spacing w:after="0" w:line="37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At June 30, 2022, approximately $6 million of accrued distributions payable to PAA’s Series B preferred unitholders was included in “Other current liabilities”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distributions to PAA’s common unitholders paid during or pertaining to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2022 (in millions, except per unit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6"/>
        </w:trPr>
        <w:tc>
          <w:tcPr>
            <w:tcW w:w="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Common Unitholders</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Cash Distribution per</w:t>
            </w:r>
          </w:p>
        </w:tc>
      </w:tr>
      <w:tr>
        <w:trPr>
          <w:trHeight w:val="201"/>
        </w:trPr>
        <w:tc>
          <w:tcPr>
            <w:tcW w:w="40" w:type="dxa"/>
            <w:vAlign w:val="bottom"/>
          </w:tcPr>
          <w:p>
            <w:pPr>
              <w:spacing w:after="0"/>
              <w:rPr>
                <w:sz w:val="17"/>
                <w:szCs w:val="17"/>
                <w:color w:val="auto"/>
              </w:rPr>
            </w:pPr>
          </w:p>
        </w:tc>
        <w:tc>
          <w:tcPr>
            <w:tcW w:w="450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100" w:type="dxa"/>
            <w:vAlign w:val="bottom"/>
          </w:tcPr>
          <w:p>
            <w:pPr>
              <w:jc w:val="right"/>
              <w:ind w:right="57"/>
              <w:spacing w:after="0"/>
              <w:rPr>
                <w:sz w:val="20"/>
                <w:szCs w:val="20"/>
                <w:color w:val="auto"/>
              </w:rPr>
            </w:pPr>
            <w:r>
              <w:rPr>
                <w:rFonts w:ascii="Arial" w:cs="Arial" w:eastAsia="Arial" w:hAnsi="Arial"/>
                <w:sz w:val="14"/>
                <w:szCs w:val="14"/>
                <w:b w:val="1"/>
                <w:bCs w:val="1"/>
                <w:color w:val="auto"/>
              </w:rPr>
              <w:t>Public</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37"/>
              <w:spacing w:after="0"/>
              <w:rPr>
                <w:sz w:val="20"/>
                <w:szCs w:val="20"/>
                <w:color w:val="auto"/>
              </w:rPr>
            </w:pPr>
            <w:r>
              <w:rPr>
                <w:rFonts w:ascii="Arial" w:cs="Arial" w:eastAsia="Arial" w:hAnsi="Arial"/>
                <w:sz w:val="14"/>
                <w:szCs w:val="14"/>
                <w:b w:val="1"/>
                <w:bCs w:val="1"/>
                <w:color w:val="auto"/>
              </w:rPr>
              <w:t>AAP</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rPr>
              <w:t>Total Cash Distribution</w:t>
            </w:r>
          </w:p>
        </w:tc>
        <w:tc>
          <w:tcPr>
            <w:tcW w:w="120" w:type="dxa"/>
            <w:vAlign w:val="bottom"/>
          </w:tcPr>
          <w:p>
            <w:pPr>
              <w:spacing w:after="0"/>
              <w:rPr>
                <w:sz w:val="17"/>
                <w:szCs w:val="17"/>
                <w:color w:val="auto"/>
              </w:rPr>
            </w:pPr>
          </w:p>
        </w:tc>
        <w:tc>
          <w:tcPr>
            <w:tcW w:w="1460" w:type="dxa"/>
            <w:vAlign w:val="bottom"/>
          </w:tcPr>
          <w:p>
            <w:pPr>
              <w:jc w:val="right"/>
              <w:ind w:right="277"/>
              <w:spacing w:after="0"/>
              <w:rPr>
                <w:sz w:val="20"/>
                <w:szCs w:val="20"/>
                <w:color w:val="auto"/>
              </w:rPr>
            </w:pPr>
            <w:r>
              <w:rPr>
                <w:rFonts w:ascii="Arial" w:cs="Arial" w:eastAsia="Arial" w:hAnsi="Arial"/>
                <w:sz w:val="14"/>
                <w:szCs w:val="14"/>
                <w:b w:val="1"/>
                <w:bCs w:val="1"/>
                <w:color w:val="auto"/>
              </w:rPr>
              <w:t>Common Unit</w:t>
            </w:r>
          </w:p>
        </w:tc>
      </w:tr>
      <w:tr>
        <w:trPr>
          <w:trHeight w:val="224"/>
        </w:trPr>
        <w:tc>
          <w:tcPr>
            <w:tcW w:w="40" w:type="dxa"/>
            <w:vAlign w:val="bottom"/>
          </w:tcPr>
          <w:p>
            <w:pPr>
              <w:spacing w:after="0"/>
              <w:rPr>
                <w:sz w:val="19"/>
                <w:szCs w:val="19"/>
                <w:color w:val="auto"/>
              </w:rPr>
            </w:pPr>
          </w:p>
        </w:tc>
        <w:tc>
          <w:tcPr>
            <w:tcW w:w="438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August 12, 2022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7"/>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0.2175</w:t>
            </w:r>
          </w:p>
        </w:tc>
      </w:tr>
      <w:tr>
        <w:trPr>
          <w:trHeight w:val="229"/>
        </w:trPr>
        <w:tc>
          <w:tcPr>
            <w:tcW w:w="40" w:type="dxa"/>
            <w:vAlign w:val="bottom"/>
          </w:tcPr>
          <w:p>
            <w:pPr>
              <w:spacing w:after="0"/>
              <w:rPr>
                <w:sz w:val="19"/>
                <w:szCs w:val="19"/>
                <w:color w:val="auto"/>
              </w:rPr>
            </w:pPr>
          </w:p>
        </w:tc>
        <w:tc>
          <w:tcPr>
            <w:tcW w:w="4500" w:type="dxa"/>
            <w:vAlign w:val="bottom"/>
            <w:gridSpan w:val="3"/>
          </w:tcPr>
          <w:p>
            <w:pPr>
              <w:ind w:left="20"/>
              <w:spacing w:after="0"/>
              <w:rPr>
                <w:sz w:val="20"/>
                <w:szCs w:val="20"/>
                <w:color w:val="auto"/>
              </w:rPr>
            </w:pPr>
            <w:r>
              <w:rPr>
                <w:rFonts w:ascii="Arial" w:cs="Arial" w:eastAsia="Arial" w:hAnsi="Arial"/>
                <w:sz w:val="18"/>
                <w:szCs w:val="18"/>
                <w:color w:val="auto"/>
              </w:rPr>
              <w:t>May 13, 2022</w:t>
            </w:r>
          </w:p>
        </w:tc>
        <w:tc>
          <w:tcPr>
            <w:tcW w:w="1100" w:type="dxa"/>
            <w:vAlign w:val="bottom"/>
          </w:tcPr>
          <w:p>
            <w:pPr>
              <w:jc w:val="right"/>
              <w:ind w:right="917"/>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240" w:type="dxa"/>
            <w:vAlign w:val="bottom"/>
          </w:tcPr>
          <w:p>
            <w:pPr>
              <w:jc w:val="right"/>
              <w:ind w:right="1037"/>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680" w:type="dxa"/>
            <w:vAlign w:val="bottom"/>
          </w:tcPr>
          <w:p>
            <w:pPr>
              <w:jc w:val="right"/>
              <w:ind w:right="475"/>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0.2175</w:t>
            </w:r>
          </w:p>
        </w:tc>
      </w:tr>
      <w:tr>
        <w:trPr>
          <w:trHeight w:val="229"/>
        </w:trPr>
        <w:tc>
          <w:tcPr>
            <w:tcW w:w="40" w:type="dxa"/>
            <w:vAlign w:val="bottom"/>
          </w:tcPr>
          <w:p>
            <w:pPr>
              <w:spacing w:after="0"/>
              <w:rPr>
                <w:sz w:val="19"/>
                <w:szCs w:val="19"/>
                <w:color w:val="auto"/>
              </w:rPr>
            </w:pPr>
          </w:p>
        </w:tc>
        <w:tc>
          <w:tcPr>
            <w:tcW w:w="4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14, 2022</w:t>
            </w:r>
          </w:p>
        </w:tc>
        <w:tc>
          <w:tcPr>
            <w:tcW w:w="110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0.1800</w:t>
            </w:r>
          </w:p>
        </w:tc>
      </w:tr>
      <w:tr>
        <w:trPr>
          <w:trHeight w:val="176"/>
        </w:trPr>
        <w:tc>
          <w:tcPr>
            <w:tcW w:w="4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87"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July 29, 2022 for the period from April 1, 2022 through June 30, 2022.</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to AAP’s partners paid during or pertaining to the first six months of 2022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Distributions to AAP</w:t>
            </w:r>
            <w:r>
              <w:rPr>
                <w:rFonts w:ascii="Arial" w:cs="Arial" w:eastAsia="Arial" w:hAnsi="Arial"/>
                <w:sz w:val="17"/>
                <w:szCs w:val="17"/>
                <w:color w:val="auto"/>
                <w:w w:val="94"/>
              </w:rPr>
              <w:t>’</w:t>
            </w:r>
            <w:r>
              <w:rPr>
                <w:rFonts w:ascii="Arial" w:cs="Arial" w:eastAsia="Arial" w:hAnsi="Arial"/>
                <w:sz w:val="14"/>
                <w:szCs w:val="14"/>
                <w:b w:val="1"/>
                <w:bCs w:val="1"/>
                <w:color w:val="auto"/>
                <w:w w:val="94"/>
              </w:rPr>
              <w:t>s Partners</w:t>
            </w: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181"/>
        </w:trPr>
        <w:tc>
          <w:tcPr>
            <w:tcW w:w="20" w:type="dxa"/>
            <w:vAlign w:val="bottom"/>
          </w:tcPr>
          <w:p>
            <w:pPr>
              <w:spacing w:after="0"/>
              <w:rPr>
                <w:sz w:val="15"/>
                <w:szCs w:val="15"/>
                <w:color w:val="auto"/>
              </w:rPr>
            </w:pPr>
          </w:p>
        </w:tc>
        <w:tc>
          <w:tcPr>
            <w:tcW w:w="534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60" w:type="dxa"/>
            <w:vAlign w:val="bottom"/>
          </w:tcPr>
          <w:p>
            <w:pPr>
              <w:spacing w:after="0"/>
              <w:rPr>
                <w:sz w:val="15"/>
                <w:szCs w:val="15"/>
                <w:color w:val="auto"/>
              </w:rPr>
            </w:pPr>
          </w:p>
        </w:tc>
        <w:tc>
          <w:tcPr>
            <w:tcW w:w="172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Noncontrolling Interests</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PAGP</w:t>
            </w:r>
          </w:p>
        </w:tc>
        <w:tc>
          <w:tcPr>
            <w:tcW w:w="160" w:type="dxa"/>
            <w:vAlign w:val="bottom"/>
          </w:tcPr>
          <w:p>
            <w:pPr>
              <w:spacing w:after="0"/>
              <w:rPr>
                <w:sz w:val="15"/>
                <w:szCs w:val="15"/>
                <w:color w:val="auto"/>
              </w:rPr>
            </w:pPr>
          </w:p>
        </w:tc>
        <w:tc>
          <w:tcPr>
            <w:tcW w:w="172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Total Cash Distribution</w:t>
            </w:r>
          </w:p>
        </w:tc>
      </w:tr>
      <w:tr>
        <w:trPr>
          <w:trHeight w:val="224"/>
        </w:trPr>
        <w:tc>
          <w:tcPr>
            <w:tcW w:w="20" w:type="dxa"/>
            <w:vAlign w:val="bottom"/>
          </w:tcPr>
          <w:p>
            <w:pPr>
              <w:spacing w:after="0"/>
              <w:rPr>
                <w:sz w:val="19"/>
                <w:szCs w:val="19"/>
                <w:color w:val="auto"/>
              </w:rPr>
            </w:pPr>
          </w:p>
        </w:tc>
        <w:tc>
          <w:tcPr>
            <w:tcW w:w="524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August 12, 2022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20" w:type="dxa"/>
            <w:vAlign w:val="bottom"/>
          </w:tcPr>
          <w:p>
            <w:pPr>
              <w:spacing w:after="0"/>
              <w:rPr>
                <w:sz w:val="19"/>
                <w:szCs w:val="19"/>
                <w:color w:val="auto"/>
              </w:rPr>
            </w:pPr>
          </w:p>
        </w:tc>
        <w:tc>
          <w:tcPr>
            <w:tcW w:w="5340" w:type="dxa"/>
            <w:vAlign w:val="bottom"/>
            <w:gridSpan w:val="3"/>
          </w:tcPr>
          <w:p>
            <w:pPr>
              <w:ind w:left="20"/>
              <w:spacing w:after="0"/>
              <w:rPr>
                <w:sz w:val="20"/>
                <w:szCs w:val="20"/>
                <w:color w:val="auto"/>
              </w:rPr>
            </w:pPr>
            <w:r>
              <w:rPr>
                <w:rFonts w:ascii="Arial" w:cs="Arial" w:eastAsia="Arial" w:hAnsi="Arial"/>
                <w:sz w:val="18"/>
                <w:szCs w:val="18"/>
                <w:color w:val="auto"/>
              </w:rPr>
              <w:t>May 13, 2022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11</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20" w:type="dxa"/>
            <w:vAlign w:val="bottom"/>
          </w:tcPr>
          <w:p>
            <w:pPr>
              <w:spacing w:after="0"/>
              <w:rPr>
                <w:sz w:val="19"/>
                <w:szCs w:val="19"/>
                <w:color w:val="auto"/>
              </w:rPr>
            </w:pP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14,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176"/>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r>
    </w:tbl>
    <w:p>
      <w:pPr>
        <w:spacing w:after="0" w:line="100"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July 29, 2022 for the period from April 1, 2022 through June 30, 2022.</w:t>
      </w:r>
    </w:p>
    <w:p>
      <w:pPr>
        <w:spacing w:after="0" w:line="33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six months ended June 30, 2022, we paid distributions of $112 million and $9 million to noncontrolling interests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Permian JV and Red River LLC,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(i) commodity price risk,</w:t>
      </w:r>
    </w:p>
    <w:p>
      <w:pPr>
        <w:ind w:firstLine="8"/>
        <w:spacing w:after="0" w:line="268" w:lineRule="auto"/>
        <w:tabs>
          <w:tab w:leader="none" w:pos="26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interest rates or currency exchange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0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ind w:right="80" w:firstLine="607"/>
        <w:spacing w:after="0" w:line="311" w:lineRule="auto"/>
        <w:rPr>
          <w:sz w:val="20"/>
          <w:szCs w:val="20"/>
          <w:color w:val="auto"/>
        </w:rPr>
      </w:pPr>
      <w:r>
        <w:rPr>
          <w:rFonts w:ascii="Arial" w:cs="Arial" w:eastAsia="Arial" w:hAnsi="Arial"/>
          <w:sz w:val="16"/>
          <w:szCs w:val="16"/>
          <w:color w:val="auto"/>
        </w:rPr>
        <w:t>At June 30, 2022 and December 31, 2021,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can be divided into the following general categories:</w:t>
      </w:r>
    </w:p>
    <w:p>
      <w:pPr>
        <w:spacing w:after="0" w:line="15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June 30, 2022, net derivative positions related to these activities included:</w:t>
      </w:r>
    </w:p>
    <w:p>
      <w:pPr>
        <w:spacing w:after="0" w:line="146" w:lineRule="exact"/>
        <w:rPr>
          <w:sz w:val="20"/>
          <w:szCs w:val="20"/>
          <w:color w:val="auto"/>
        </w:rPr>
      </w:pPr>
    </w:p>
    <w:p>
      <w:pPr>
        <w:ind w:left="980" w:right="40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long position of 9.3 million barrels associated with our crude oil purchases, which was unwound ratably during July 2022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short time spread position of 6.6 million barrels, which hedges a portion of our anticipated crude oil lease gathering purchases through September 2023.</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crude oil basis spread position of 2.1 million barrels at multiple locations through December 2024. These derivatives allow us to lock in grade and location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net short position of 12.7 million barrels through December 2023 related to anticipated net sales of crude oil and NGL inventory.</w:t>
      </w:r>
    </w:p>
    <w:p>
      <w:pPr>
        <w:spacing w:after="0" w:line="23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June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Notional Volume</w:t>
            </w:r>
          </w:p>
        </w:tc>
        <w:tc>
          <w:tcPr>
            <w:tcW w:w="2180" w:type="dxa"/>
            <w:vAlign w:val="bottom"/>
          </w:tcPr>
          <w:p>
            <w:pPr>
              <w:spacing w:after="0"/>
              <w:rPr>
                <w:sz w:val="16"/>
                <w:szCs w:val="16"/>
                <w:color w:val="auto"/>
              </w:rPr>
            </w:pPr>
          </w:p>
        </w:tc>
      </w:tr>
      <w:tr>
        <w:trPr>
          <w:trHeight w:val="195"/>
        </w:trPr>
        <w:tc>
          <w:tcPr>
            <w:tcW w:w="6780" w:type="dxa"/>
            <w:vAlign w:val="bottom"/>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(Short)/Long</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29"/>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81.5 Bcf</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(16.0)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(3.3)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Condensate sales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(1.1)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r>
      <w:tr>
        <w:trPr>
          <w:trHeight w:val="230"/>
        </w:trPr>
        <w:tc>
          <w:tcPr>
            <w:tcW w:w="6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10.9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2023</w:t>
            </w:r>
          </w:p>
        </w:tc>
      </w:tr>
      <w:tr>
        <w:trPr>
          <w:trHeight w:val="304"/>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0.6 TWh</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2459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38"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22" w:lineRule="exact"/>
        <w:rPr>
          <w:rFonts w:ascii="Arial" w:cs="Arial" w:eastAsia="Arial" w:hAnsi="Arial"/>
          <w:sz w:val="22"/>
          <w:szCs w:val="22"/>
          <w:color w:val="auto"/>
          <w:vertAlign w:val="superscript"/>
        </w:rPr>
      </w:pPr>
    </w:p>
    <w:p>
      <w:pPr>
        <w:ind w:left="5540"/>
        <w:spacing w:after="0"/>
        <w:rPr>
          <w:rFonts w:ascii="Arial" w:cs="Arial" w:eastAsia="Arial" w:hAnsi="Arial"/>
          <w:sz w:val="22"/>
          <w:szCs w:val="22"/>
          <w:color w:val="auto"/>
          <w:vertAlign w:val="superscript"/>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8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05"/>
        </w:trPr>
        <w:tc>
          <w:tcPr>
            <w:tcW w:w="58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48"/>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gain/(loss) from commodity derivative activity</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tbl>
      <w:tblPr>
        <w:tblLayout w:type="fixed"/>
        <w:tblInd w:w="0" w:type="dxa"/>
        <w:tblCellMar>
          <w:top w:w="0" w:type="dxa"/>
          <w:left w:w="0" w:type="dxa"/>
          <w:bottom w:w="0" w:type="dxa"/>
          <w:right w:w="0" w:type="dxa"/>
        </w:tblCellMar>
      </w:tblPr>
      <w:tr>
        <w:trPr>
          <w:trHeight w:val="145"/>
        </w:trPr>
        <w:tc>
          <w:tcPr>
            <w:tcW w:w="860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133</w:t>
            </w:r>
          </w:p>
        </w:tc>
      </w:tr>
      <w:tr>
        <w:trPr>
          <w:trHeight w:val="283"/>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w:t>
            </w:r>
          </w:p>
        </w:tc>
        <w:tc>
          <w:tcPr>
            <w:tcW w:w="9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ind w:left="760"/>
              <w:spacing w:after="0"/>
              <w:rPr>
                <w:sz w:val="20"/>
                <w:szCs w:val="20"/>
                <w:color w:val="auto"/>
              </w:rPr>
            </w:pPr>
            <w:r>
              <w:rPr>
                <w:rFonts w:ascii="Arial" w:cs="Arial" w:eastAsia="Arial" w:hAnsi="Arial"/>
                <w:sz w:val="18"/>
                <w:szCs w:val="18"/>
                <w:color w:val="auto"/>
              </w:rPr>
              <w:t>173</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9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3"/>
              </w:rPr>
              <w:t>(47)</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broker receivable</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259</w:t>
            </w:r>
          </w:p>
        </w:tc>
      </w:tr>
      <w:tr>
        <w:trPr>
          <w:trHeight w:val="20"/>
        </w:trPr>
        <w:tc>
          <w:tcPr>
            <w:tcW w:w="8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10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8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200" w:type="dxa"/>
            <w:vAlign w:val="bottom"/>
          </w:tcPr>
          <w:p>
            <w:pPr>
              <w:spacing w:after="0"/>
              <w:rPr>
                <w:sz w:val="11"/>
                <w:szCs w:val="11"/>
                <w:color w:val="auto"/>
              </w:rPr>
            </w:pPr>
          </w:p>
        </w:tc>
        <w:tc>
          <w:tcPr>
            <w:tcW w:w="18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2"/>
        </w:trPr>
        <w:tc>
          <w:tcPr>
            <w:tcW w:w="2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1060" w:type="dxa"/>
            <w:vAlign w:val="bottom"/>
            <w:gridSpan w:val="3"/>
          </w:tcPr>
          <w:p>
            <w:pPr>
              <w:jc w:val="center"/>
              <w:ind w:right="300"/>
              <w:spacing w:after="0" w:line="102" w:lineRule="exact"/>
              <w:rPr>
                <w:sz w:val="20"/>
                <w:szCs w:val="20"/>
                <w:color w:val="auto"/>
              </w:rPr>
            </w:pPr>
            <w:r>
              <w:rPr>
                <w:rFonts w:ascii="Arial" w:cs="Arial" w:eastAsia="Arial" w:hAnsi="Arial"/>
                <w:sz w:val="11"/>
                <w:szCs w:val="11"/>
                <w:b w:val="1"/>
                <w:bCs w:val="1"/>
                <w:color w:val="auto"/>
              </w:rPr>
              <w:t>the Balance</w:t>
            </w:r>
          </w:p>
        </w:tc>
        <w:tc>
          <w:tcPr>
            <w:tcW w:w="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201"/>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Sheet</w:t>
            </w:r>
          </w:p>
        </w:tc>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560" w:type="dxa"/>
            <w:vAlign w:val="bottom"/>
          </w:tcPr>
          <w:p>
            <w:pPr>
              <w:ind w:left="18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June 30, 2022 (notional amounts in millions):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Expected</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Average Rate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88"/>
        </w:trPr>
        <w:tc>
          <w:tcPr>
            <w:tcW w:w="2860" w:type="dxa"/>
            <w:vAlign w:val="bottom"/>
            <w:gridSpan w:val="2"/>
            <w:vMerge w:val="continue"/>
          </w:tcPr>
          <w:p>
            <w:pPr>
              <w:spacing w:after="0"/>
              <w:rPr>
                <w:sz w:val="16"/>
                <w:szCs w:val="16"/>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Derivatives Employed</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Termination Date</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Locked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7"/>
              </w:rPr>
              <w:t>Treatment</w:t>
            </w:r>
          </w:p>
        </w:tc>
        <w:tc>
          <w:tcPr>
            <w:tcW w:w="0" w:type="dxa"/>
            <w:vAlign w:val="bottom"/>
          </w:tcPr>
          <w:p>
            <w:pPr>
              <w:spacing w:after="0"/>
              <w:rPr>
                <w:sz w:val="1"/>
                <w:szCs w:val="1"/>
                <w:color w:val="auto"/>
              </w:rPr>
            </w:pPr>
          </w:p>
        </w:tc>
      </w:tr>
      <w:tr>
        <w:trPr>
          <w:trHeight w:val="170"/>
        </w:trPr>
        <w:tc>
          <w:tcPr>
            <w:tcW w:w="274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Anticipated interest payments</w:t>
            </w:r>
          </w:p>
        </w:tc>
        <w:tc>
          <w:tcPr>
            <w:tcW w:w="120" w:type="dxa"/>
            <w:vAlign w:val="bottom"/>
            <w:tcBorders>
              <w:top w:val="single" w:sz="8" w:color="CCEEFF"/>
            </w:tcBorders>
            <w:shd w:val="clear" w:color="auto" w:fill="CCEEFF"/>
          </w:tcPr>
          <w:p>
            <w:pPr>
              <w:spacing w:after="0"/>
              <w:rPr>
                <w:sz w:val="14"/>
                <w:szCs w:val="14"/>
                <w:color w:val="auto"/>
              </w:rPr>
            </w:pPr>
          </w:p>
        </w:tc>
        <w:tc>
          <w:tcPr>
            <w:tcW w:w="24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8 forward starting swaps</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2"/>
              </w:rPr>
              <w:t>6/15/2023</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1.38 %</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(30-year)</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5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8 forward starting swaps</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color w:val="auto"/>
                <w:w w:val="92"/>
              </w:rPr>
              <w:t>6/14/2024</w:t>
            </w:r>
          </w:p>
        </w:tc>
        <w:tc>
          <w:tcPr>
            <w:tcW w:w="1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0.73 %</w:t>
            </w:r>
          </w:p>
        </w:tc>
        <w:tc>
          <w:tcPr>
            <w:tcW w:w="100" w:type="dxa"/>
            <w:vAlign w:val="bottom"/>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(30-year)</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of June 30, 2022, there was a net loss of $134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2054 as the underlying hedged transactions impact earnings. A portion of these amounts is based on market prices as of June 30, 2022; thus, actual amounts to be reclassified will differ and could vary materially as a result of changes in market conditions.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2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39"/>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8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399"/>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82"/>
        </w:trPr>
        <w:tc>
          <w:tcPr>
            <w:tcW w:w="58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bl>
    <w:p>
      <w:pPr>
        <w:spacing w:after="0" w:line="31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At June 30, 2022, the net fair value of our interest rate hedges, which were included in “Other current assets” and “Other long-term assets, net” on our Condensed Consolidated Balance Sheet, totaled $57 million and $79 million, respectively. At December 31, 2021, the net fair value of these hedges totaled $65 million and was included in “Other long-term assets,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5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This embedded derivative is not designated in a hedging relationship for accounting purposes and corresponding changes in fair value are recognized in “Other expense, net” in our Condensed Consolidated Statement of Operations. For the three months ended June 30, 2022 and 2021, we recognized a loss of $103 million and a gain of $77 million, respectively. For the six months ended June 30, 2022 and 2021, we recognized a net loss of $147 million and a net gain of $9 million, respectively. The fair value of the Preferred Distribution Rate Reset Option, which was included in “Other long-term liabilities and deferred credits” on our Condensed Consolidated Balance Sheets, totaled $147 million and less than $1 million at June 30, 2022 and December 31, 2021, respectively. See Note 12 to our Consolidated Financial Statements included in Part IV of our 2021 Annual Report on Form 10-K for additional information regarding the PAA Series A preferred units and the Preferred Distribution Rate Reset Option.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23"/>
                <w:szCs w:val="23"/>
                <w:b w:val="1"/>
                <w:bCs w:val="1"/>
                <w:color w:val="auto"/>
                <w:vertAlign w:val="superscript"/>
              </w:rPr>
              <w:t>(1)</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w w:val="90"/>
              </w:rPr>
              <w:t>Fair Value as of June 30, 2022</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December 31, 2021</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44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center"/>
              <w:ind w:left="194"/>
              <w:spacing w:after="0"/>
              <w:rPr>
                <w:sz w:val="20"/>
                <w:szCs w:val="20"/>
                <w:color w:val="auto"/>
              </w:rPr>
            </w:pPr>
            <w:r>
              <w:rPr>
                <w:rFonts w:ascii="Arial" w:cs="Arial" w:eastAsia="Arial" w:hAnsi="Arial"/>
                <w:sz w:val="18"/>
                <w:szCs w:val="18"/>
                <w:color w:val="auto"/>
                <w:w w:val="93"/>
              </w:rPr>
              <w:t>(76)</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center"/>
              <w:ind w:left="34"/>
              <w:spacing w:after="0"/>
              <w:rPr>
                <w:sz w:val="20"/>
                <w:szCs w:val="20"/>
                <w:color w:val="auto"/>
              </w:rPr>
            </w:pPr>
            <w:r>
              <w:rPr>
                <w:rFonts w:ascii="Arial" w:cs="Arial" w:eastAsia="Arial" w:hAnsi="Arial"/>
                <w:sz w:val="18"/>
                <w:szCs w:val="18"/>
                <w:color w:val="auto"/>
                <w:w w:val="90"/>
              </w:rPr>
              <w:t>(103)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center"/>
              <w:ind w:left="136"/>
              <w:spacing w:after="0"/>
              <w:rPr>
                <w:sz w:val="20"/>
                <w:szCs w:val="20"/>
                <w:color w:val="auto"/>
              </w:rPr>
            </w:pPr>
            <w:r>
              <w:rPr>
                <w:rFonts w:ascii="Arial" w:cs="Arial" w:eastAsia="Arial" w:hAnsi="Arial"/>
                <w:sz w:val="18"/>
                <w:szCs w:val="18"/>
                <w:color w:val="auto"/>
                <w:w w:val="93"/>
              </w:rPr>
              <w:t>(17)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spacing w:after="0"/>
              <w:rPr>
                <w:sz w:val="19"/>
                <w:szCs w:val="19"/>
                <w:color w:val="auto"/>
              </w:rPr>
            </w:pPr>
          </w:p>
        </w:tc>
        <w:tc>
          <w:tcPr>
            <w:tcW w:w="580" w:type="dxa"/>
            <w:vAlign w:val="bottom"/>
          </w:tcPr>
          <w:p>
            <w:pPr>
              <w:jc w:val="center"/>
              <w:ind w:left="194"/>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jc w:val="center"/>
              <w:ind w:left="54"/>
              <w:spacing w:after="0"/>
              <w:rPr>
                <w:sz w:val="20"/>
                <w:szCs w:val="20"/>
                <w:color w:val="auto"/>
              </w:rPr>
            </w:pPr>
            <w:r>
              <w:rPr>
                <w:rFonts w:ascii="Arial" w:cs="Arial" w:eastAsia="Arial" w:hAnsi="Arial"/>
                <w:sz w:val="18"/>
                <w:szCs w:val="18"/>
                <w:color w:val="auto"/>
                <w:w w:val="93"/>
              </w:rPr>
              <w:t>136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center"/>
              <w:ind w:left="76"/>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Distribution Rate Reset Option and Other</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0"/>
              </w:rPr>
              <w:t>(147)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400" w:type="dxa"/>
            <w:vAlign w:val="bottom"/>
            <w:gridSpan w:val="3"/>
          </w:tcPr>
          <w:p>
            <w:pPr>
              <w:ind w:left="120"/>
              <w:spacing w:after="0"/>
              <w:rPr>
                <w:sz w:val="20"/>
                <w:szCs w:val="20"/>
                <w:color w:val="auto"/>
              </w:rPr>
            </w:pPr>
            <w:r>
              <w:rPr>
                <w:rFonts w:ascii="Arial" w:cs="Arial" w:eastAsia="Arial" w:hAnsi="Arial"/>
                <w:sz w:val="18"/>
                <w:szCs w:val="18"/>
                <w:color w:val="auto"/>
              </w:rPr>
              <w:t>Total net derivative asset/(liability)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center"/>
              <w:ind w:left="194"/>
              <w:spacing w:after="0"/>
              <w:rPr>
                <w:sz w:val="20"/>
                <w:szCs w:val="20"/>
                <w:color w:val="auto"/>
              </w:rPr>
            </w:pPr>
            <w:r>
              <w:rPr>
                <w:rFonts w:ascii="Arial" w:cs="Arial" w:eastAsia="Arial" w:hAnsi="Arial"/>
                <w:sz w:val="18"/>
                <w:szCs w:val="18"/>
                <w:color w:val="auto"/>
                <w:w w:val="93"/>
              </w:rPr>
              <w:t>(76)</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center"/>
              <w:ind w:left="34"/>
              <w:spacing w:after="0"/>
              <w:rPr>
                <w:sz w:val="20"/>
                <w:szCs w:val="20"/>
                <w:color w:val="auto"/>
              </w:rPr>
            </w:pPr>
            <w:r>
              <w:rPr>
                <w:rFonts w:ascii="Arial" w:cs="Arial" w:eastAsia="Arial" w:hAnsi="Arial"/>
                <w:sz w:val="18"/>
                <w:szCs w:val="18"/>
                <w:color w:val="auto"/>
                <w:w w:val="90"/>
              </w:rPr>
              <w:t>(114)</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center"/>
              <w:ind w:left="136"/>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69"/>
        </w:trPr>
        <w:tc>
          <w:tcPr>
            <w:tcW w:w="8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3"/>
          <w:szCs w:val="23"/>
          <w:color w:val="auto"/>
          <w:vertAlign w:val="superscript"/>
        </w:rPr>
      </w:pPr>
    </w:p>
    <w:p>
      <w:pPr>
        <w:ind w:left="660" w:right="80"/>
        <w:spacing w:after="0" w:line="311"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3"/>
          <w:szCs w:val="23"/>
          <w:color w:val="auto"/>
          <w:vertAlign w:val="superscript"/>
        </w:rPr>
      </w:pPr>
    </w:p>
    <w:p>
      <w:pPr>
        <w:ind w:left="660" w:right="860"/>
        <w:spacing w:after="0" w:line="342" w:lineRule="auto"/>
        <w:rPr>
          <w:rFonts w:ascii="Arial" w:cs="Arial" w:eastAsia="Arial" w:hAnsi="Arial"/>
          <w:sz w:val="23"/>
          <w:szCs w:val="23"/>
          <w:color w:val="auto"/>
          <w:vertAlign w:val="superscript"/>
        </w:rPr>
      </w:pPr>
      <w:r>
        <w:rPr>
          <w:rFonts w:ascii="Arial" w:cs="Arial" w:eastAsia="Arial" w:hAnsi="Arial"/>
          <w:sz w:val="16"/>
          <w:szCs w:val="16"/>
          <w:color w:val="auto"/>
        </w:rPr>
        <w:t>Level 3 of the fair value hierarchy includes certain physical commodity and other contracts, over-the-counter options and the Preferred Distribution Rate Reset Option contained in PAA’s partnership agreement which is classified as an embedded derivative.</w:t>
      </w:r>
    </w:p>
    <w:p>
      <w:pPr>
        <w:spacing w:after="0" w:line="123" w:lineRule="exact"/>
        <w:rPr>
          <w:rFonts w:ascii="Arial" w:cs="Arial" w:eastAsia="Arial" w:hAnsi="Arial"/>
          <w:sz w:val="23"/>
          <w:szCs w:val="23"/>
          <w:color w:val="auto"/>
          <w:vertAlign w:val="superscript"/>
        </w:rPr>
      </w:pPr>
    </w:p>
    <w:p>
      <w:pPr>
        <w:ind w:left="660" w:right="120"/>
        <w:spacing w:after="0" w:line="257" w:lineRule="auto"/>
        <w:rPr>
          <w:rFonts w:ascii="Arial" w:cs="Arial" w:eastAsia="Arial" w:hAnsi="Arial"/>
          <w:sz w:val="23"/>
          <w:szCs w:val="23"/>
          <w:color w:val="auto"/>
          <w:vertAlign w:val="superscript"/>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Product sales revenues.</w:t>
      </w:r>
    </w:p>
    <w:p>
      <w:pPr>
        <w:spacing w:after="0" w:line="214" w:lineRule="exact"/>
        <w:rPr>
          <w:rFonts w:ascii="Arial" w:cs="Arial" w:eastAsia="Arial" w:hAnsi="Arial"/>
          <w:sz w:val="23"/>
          <w:szCs w:val="23"/>
          <w:color w:val="auto"/>
          <w:vertAlign w:val="superscript"/>
        </w:rPr>
      </w:pPr>
    </w:p>
    <w:p>
      <w:pPr>
        <w:ind w:left="660" w:right="80"/>
        <w:spacing w:after="0" w:line="301" w:lineRule="auto"/>
        <w:rPr>
          <w:rFonts w:ascii="Arial" w:cs="Arial" w:eastAsia="Arial" w:hAnsi="Arial"/>
          <w:sz w:val="23"/>
          <w:szCs w:val="23"/>
          <w:color w:val="auto"/>
          <w:vertAlign w:val="superscript"/>
        </w:rPr>
      </w:pPr>
      <w:r>
        <w:rPr>
          <w:rFonts w:ascii="Arial" w:cs="Arial" w:eastAsia="Arial" w:hAnsi="Arial"/>
          <w:sz w:val="16"/>
          <w:szCs w:val="16"/>
          <w:color w:val="auto"/>
        </w:rPr>
        <w:t>The fair value of the embedded derivative feature contained in PAA’s partnership agreement is based on a valuation model that estimates the fair value of the PAA Series A preferred units with and without the Preferred Distribution Rate Reset Option. This model contains inputs, including PAA’s common unit price, ten-year U.S. Treasury rates, default probabilities and timing estimates, some of which involve management judgment. A significant change in these inputs could result in a material change in fair value to this embedded derivative feature.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4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5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Net gains/(losses) for the period included in earnings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(103)</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(147)</w:t>
            </w: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840" w:type="dxa"/>
            <w:vAlign w:val="bottom"/>
          </w:tcPr>
          <w:p>
            <w:pPr>
              <w:ind w:left="20"/>
              <w:spacing w:after="0" w:line="176" w:lineRule="exact"/>
              <w:rPr>
                <w:sz w:val="20"/>
                <w:szCs w:val="20"/>
                <w:color w:val="auto"/>
              </w:rPr>
            </w:pPr>
            <w:r>
              <w:rPr>
                <w:rFonts w:ascii="Arial" w:cs="Arial" w:eastAsia="Arial" w:hAnsi="Arial"/>
                <w:sz w:val="18"/>
                <w:szCs w:val="18"/>
                <w:color w:val="auto"/>
                <w:w w:val="96"/>
              </w:rPr>
              <w:t>Change in unrealized gains/(losses) included in earnings relating to Level 3</w:t>
            </w:r>
          </w:p>
        </w:tc>
        <w:tc>
          <w:tcPr>
            <w:tcW w:w="820" w:type="dxa"/>
            <w:vAlign w:val="bottom"/>
            <w:vMerge w:val="restart"/>
          </w:tcPr>
          <w:p>
            <w:pPr>
              <w:jc w:val="right"/>
              <w:ind w:right="637"/>
              <w:spacing w:after="0"/>
              <w:rPr>
                <w:sz w:val="20"/>
                <w:szCs w:val="20"/>
                <w:color w:val="auto"/>
              </w:rPr>
            </w:pPr>
            <w:r>
              <w:rPr>
                <w:rFonts w:ascii="Arial" w:cs="Arial" w:eastAsia="Arial" w:hAnsi="Arial"/>
                <w:sz w:val="18"/>
                <w:szCs w:val="18"/>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95"/>
              </w:rPr>
              <w:t>(103)</w:t>
            </w:r>
          </w:p>
        </w:tc>
        <w:tc>
          <w:tcPr>
            <w:tcW w:w="120" w:type="dxa"/>
            <w:vAlign w:val="bottom"/>
          </w:tcPr>
          <w:p>
            <w:pPr>
              <w:spacing w:after="0"/>
              <w:rPr>
                <w:sz w:val="15"/>
                <w:szCs w:val="15"/>
                <w:color w:val="auto"/>
              </w:rPr>
            </w:pPr>
          </w:p>
        </w:tc>
        <w:tc>
          <w:tcPr>
            <w:tcW w:w="860" w:type="dxa"/>
            <w:vAlign w:val="bottom"/>
            <w:vMerge w:val="restart"/>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derivatives still held at the end of the period</w:t>
            </w:r>
          </w:p>
        </w:tc>
        <w:tc>
          <w:tcPr>
            <w:tcW w:w="82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2021 Annual Report on Form 10-K for a complete discussion of related parties, including the determination of our related parties and nature of involvement with such related parties.</w:t>
      </w:r>
    </w:p>
    <w:p>
      <w:pPr>
        <w:spacing w:after="0" w:line="19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During the three and six months ended June 30, 2022 and 2021,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to our Condensed Consolidated Statements of Operations from these transactions is included below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6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8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related parties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5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 from related parties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bl>
    <w:p>
      <w:pPr>
        <w:spacing w:after="0" w:line="36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7"/>
        </w:trPr>
        <w:tc>
          <w:tcPr>
            <w:tcW w:w="388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8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176"/>
        </w:trPr>
        <w:tc>
          <w:tcPr>
            <w:tcW w:w="3880" w:type="dxa"/>
            <w:vAlign w:val="bottom"/>
            <w:tcBorders>
              <w:bottom w:val="single" w:sz="8" w:color="auto"/>
            </w:tcBorders>
          </w:tcPr>
          <w:p>
            <w:pPr>
              <w:spacing w:after="0"/>
              <w:rPr>
                <w:sz w:val="15"/>
                <w:szCs w:val="15"/>
                <w:color w:val="auto"/>
              </w:rPr>
            </w:pPr>
          </w:p>
        </w:tc>
        <w:tc>
          <w:tcPr>
            <w:tcW w:w="4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88" w:lineRule="exact"/>
        <w:rPr>
          <w:sz w:val="20"/>
          <w:szCs w:val="20"/>
          <w:color w:val="auto"/>
        </w:rPr>
      </w:pPr>
    </w:p>
    <w:p>
      <w:pPr>
        <w:ind w:left="660" w:right="80" w:hanging="652"/>
        <w:spacing w:after="0" w:line="227" w:lineRule="auto"/>
        <w:tabs>
          <w:tab w:leader="none" w:pos="64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40" w:lineRule="exact"/>
        <w:rPr>
          <w:rFonts w:ascii="Arial" w:cs="Arial" w:eastAsia="Arial" w:hAnsi="Arial"/>
          <w:sz w:val="23"/>
          <w:szCs w:val="23"/>
          <w:color w:val="auto"/>
          <w:vertAlign w:val="superscript"/>
        </w:rPr>
      </w:pPr>
    </w:p>
    <w:p>
      <w:pPr>
        <w:ind w:left="660" w:right="200" w:hanging="652"/>
        <w:spacing w:after="0" w:line="234" w:lineRule="auto"/>
        <w:tabs>
          <w:tab w:leader="none" w:pos="64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w:t>
      </w:r>
    </w:p>
    <w:p>
      <w:pPr>
        <w:spacing w:after="0" w:line="22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At June 30, 2022, our estimated undiscounted reserve for environmental liabilities (excluding liabilities related to the Line 901 incident, as discussed further below) totaled $58 million, of which $10 million was classified as short-term and $48 million was classified as long-term. At December 31, 2021, our estimated undiscounted reserve for environmental liabilities (excluding liabilities related to the Line 901 incident) totaled $57 million, of which $11 million was classified as short-term and $46 million was classified as long-term. Such short-term liabilities are reflected in “Other current liabilities” and long-term liabilities are reflected in “Other long-term liabilities and deferred credits” on our Condensed Consolidated Balance Sheets. At both June 30, 2022 and December 31, 2021, we had recorded receivables (excluding receivables related to the Line 901 incident) totaling $11 million, for amounts probable of recovery under insurance and from third parties under indemnification agreements, $1 million of which for each period is reflected in “Other long-term assets, net” and the remainder is reflected in “Trade accounts receivable and other receivables, net” on our Condensed Consolidated Balance Sheets.</w:t>
      </w:r>
    </w:p>
    <w:p>
      <w:pPr>
        <w:spacing w:after="0" w:line="19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also contains requirements for implementing certain agreed-upon injunctive relief, as well as requirements for potentially restarting Line 901 and the Sisquoc to Pentland portion of Line 903. The Consent Decree resolved all regulatory claims related to the incident.</w:t>
      </w:r>
    </w:p>
    <w:p>
      <w:pPr>
        <w:spacing w:after="0" w:line="19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spacing w:after="0" w:line="20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 pending in the United States District Court for the Central District of California. In the first proceeding, the plaintiffs claim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order to fully and finally resolve all claims and litigation for both classes, we have reached an agreement in principle to settle this case in exchange for a payment of $230 million (the “Class Action Settlement”). The Class Action Settlement is subject to final approval of the trial court. In the second proceeding, the plaintiffs seek a declaratory judgment that Plains’ right-of-way agreements would not allow Plains to lay a new pipeline to replace Line 901 and/or the non-operating segment of Line 903 without paying additional compensation. No trial date has been set in that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addition, after various other unitholder derivative lawsuits were either dismissed or consolidated, one proceeding remains pending in Delaware Chancery Court. Generally, the plaintiffs in the remaining derivative lawsuit claim that our Board of Directors failed to exercise proper oversight over PAA’s pipeline integrity efforts. In April 2022, Plains entered into a settlement agreement to settle this lawsuit, subject to court approval and notice to all PAA unitholders (the “Derivative Settlement”). Following preliminary court approval, on May 23, 2022 we filed a Current Report on Form 8-K with the SEC, and intend to follow up with a notice by mail to all current PAA unitholders. The key terms of the Derivative Settlement include a payment of Plaintiff’s attorneys’ fees by our insurers in the amount of approximately $2.0 million and the agreement of Plains to comply with various covenants regarding the implementation or continuation of certain Board oversight practices with respect to pipeline integrity.</w:t>
      </w:r>
    </w:p>
    <w:p>
      <w:pPr>
        <w:spacing w:after="0" w:line="20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also received several other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The following lawsuits remain: (i) a lawsuit filed in the United States District Court for the Central District of California that was remanded to the California Superior Court in Santa Barbara County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 including a lack of duty owed to the claimants to keep Line 901 in service.</w:t>
      </w:r>
    </w:p>
    <w:p>
      <w:pPr>
        <w:spacing w:after="0" w:line="21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connection with the foregoing, including the Class Action Settlement and the Derivative Settlement, we have made adjustments to our total estimated Line 901 costs and the portion of such costs that we believe are probable of recovery from insurance carriers, net of deductibles. Effective as of June 30, 2022, we estimate that the aggregate total costs we have incurred or will incur with respect to the Line 901 incident will be approximately $725 million, which includes actual and projected emergency response and clean-up costs, natural resource damage assessments, fines and penalties payable pursuant to the Consent Decree, certain third party claims settlements (including the Class Action Settlement and the Derivative Settlement),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As of June 30, 2022, we had a remaining undiscounted gross liability of approximately $330 million related to this event, which aggregate amount is reflected in “Trade accounts payable” and “Other current liabilities” on our Condensed Consolidated Balance Sheet. We maintain insurance coverage, which is subject to certain exclusions and deductibles, in the event of such environmental liabilities; however, after giving effect to the settlements described above and assuming full collection of costs that we believe are probable of recovery from insurance providers, net of deductibles, we will reach the limit of our $500 million 2015 insurance program applicable to the Line 901 incident. Through June 30, 2022, we had collected, subject to customary reservations, approximately $260 million out of the $500 million of release costs that we believe are probable of recovery from insurance carriers, net of deductibles. Therefore, as of June 30, 2022, we have recognized a receivable of approximately $240 million for the portion of the release costs that we believe is probable of recovery from insurance, net of deductibles and amounts already collected. Such amount is recognized as a current asset in “Trade accounts receivable and other receivables, net” on our Condensed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spacing w:after="0" w:line="21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Other Litigation Matters. </w:t>
      </w:r>
      <w:r>
        <w:rPr>
          <w:rFonts w:ascii="Arial" w:cs="Arial" w:eastAsia="Arial" w:hAnsi="Arial"/>
          <w:sz w:val="18"/>
          <w:szCs w:val="18"/>
          <w:color w:val="auto"/>
        </w:rPr>
        <w:t>On July 19, 2022 Hartree Natural Gas Storage, LLC (“Hartree”) filed a lawsuit under seal in the Superior Court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in the lawsuit.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25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11—Segment Information</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During the fourth quarter of 2021, we effected changes in the primary financial information provided to our CODM for assessing performance and allocating resources to present two operating segments, Crude Oil and NGL. Prior to the fourth quarter of 2021, this information was organized into three operating segments: Transportation, Facilities and Supply and Logistics. All segment data and related disclosures for earlier periods presented herein have been recast to reflect the new segment reporting structure. Our CODM evaluates segment performance based on measures including Segment Adjusted EBITDA (as defined below) and maintenance capital. During the fourth quarter of 2021, we modified our definition of Segment Adjusted EBITDA to exclude amounts attributable to noncontrolling interests in consolidated joint venture entities. In connection with the Permian JV formation in October 2021, our CODM determined this modification resulted in amounts that were more meaningful to evaluate segment performance. Amounts attributable to noncontrolling interests in consolidated joint venture entities for earlier periods presented herein have been recast to reflect this modification. See Note 20 to our Consolidated Financial Statements included in Part IV of our 2021 Annual Report on Form 10-K for additional information regarding the modifications to our segment reporting and for a full discussion of our basis for segmentation and performance measures.</w:t>
      </w:r>
    </w:p>
    <w:p>
      <w:pPr>
        <w:spacing w:after="0" w:line="19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(d) our proportionate share of the depreciation and amortization expense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in consolidated joint venture entities (“Adjusted EBITDA attributable to noncontrolling interests in 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Crude Oil</w:t>
            </w:r>
          </w:p>
        </w:tc>
        <w:tc>
          <w:tcPr>
            <w:tcW w:w="320" w:type="dxa"/>
            <w:vAlign w:val="bottom"/>
          </w:tcPr>
          <w:p>
            <w:pPr>
              <w:spacing w:after="0"/>
              <w:rPr>
                <w:sz w:val="11"/>
                <w:szCs w:val="11"/>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NGL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1"/>
                <w:szCs w:val="11"/>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2022</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16,007</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Months Ended June 30, 2021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9,623</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553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17,086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17,706</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1,027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40" w:hanging="652"/>
        <w:spacing w:after="0" w:line="234"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76"/>
        </w:trPr>
        <w:tc>
          <w:tcPr>
            <w:tcW w:w="586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3"/>
              </w:rPr>
              <w:t>Gains/(losses) from derivative activities and inventory valuation adjustments</w:t>
            </w:r>
          </w:p>
        </w:tc>
        <w:tc>
          <w:tcPr>
            <w:tcW w:w="8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95"/>
              </w:rPr>
              <w:t>(163)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2"/>
        </w:trPr>
        <w:tc>
          <w:tcPr>
            <w:tcW w:w="3880" w:type="dxa"/>
            <w:vAlign w:val="bottom"/>
          </w:tcPr>
          <w:p>
            <w:pPr>
              <w:ind w:left="360"/>
              <w:spacing w:after="0"/>
              <w:rPr>
                <w:sz w:val="20"/>
                <w:szCs w:val="20"/>
                <w:color w:val="auto"/>
              </w:rPr>
            </w:pPr>
            <w:r>
              <w:rPr>
                <w:rFonts w:ascii="Arial" w:cs="Arial" w:eastAsia="Arial" w:hAnsi="Arial"/>
                <w:sz w:val="12"/>
                <w:szCs w:val="12"/>
                <w:color w:val="auto"/>
              </w:rPr>
              <w:t>(3)</w:t>
            </w:r>
          </w:p>
        </w:tc>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58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8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(7)</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(8)</w:t>
            </w: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Significant transaction-related expenses </w:t>
            </w:r>
            <w:r>
              <w:rPr>
                <w:rFonts w:ascii="Arial" w:cs="Arial" w:eastAsia="Arial" w:hAnsi="Arial"/>
                <w:sz w:val="23"/>
                <w:szCs w:val="23"/>
                <w:color w:val="auto"/>
                <w:vertAlign w:val="superscript"/>
              </w:rPr>
              <w:t>(9)</w:t>
            </w: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6"/>
        </w:trPr>
        <w:tc>
          <w:tcPr>
            <w:tcW w:w="586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Adjusted EBITDA attributable to noncontrolling interests in consolidated</w:t>
            </w:r>
          </w:p>
        </w:tc>
        <w:tc>
          <w:tcPr>
            <w:tcW w:w="8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joint ventures </w:t>
            </w:r>
            <w:r>
              <w:rPr>
                <w:rFonts w:ascii="Arial" w:cs="Arial" w:eastAsia="Arial" w:hAnsi="Arial"/>
                <w:sz w:val="23"/>
                <w:szCs w:val="23"/>
                <w:color w:val="auto"/>
                <w:vertAlign w:val="superscript"/>
              </w:rPr>
              <w:t>(10)</w:t>
            </w:r>
          </w:p>
        </w:tc>
        <w:tc>
          <w:tcPr>
            <w:tcW w:w="8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Unallocated general and administrative expenses </w:t>
            </w:r>
            <w:r>
              <w:rPr>
                <w:rFonts w:ascii="Arial" w:cs="Arial" w:eastAsia="Arial" w:hAnsi="Arial"/>
                <w:sz w:val="23"/>
                <w:szCs w:val="23"/>
                <w:color w:val="auto"/>
                <w:vertAlign w:val="superscript"/>
              </w:rPr>
              <w:t>(11)</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(369)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income/(expense), net</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(118)</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Income/(loss) before tax</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(expense)/benefit</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(income)/loss attributable to noncontrolling interests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(208)</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PAGP</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ind w:left="20" w:right="940" w:hanging="11"/>
        <w:spacing w:after="0" w:line="277" w:lineRule="auto"/>
        <w:rPr>
          <w:sz w:val="20"/>
          <w:szCs w:val="20"/>
          <w:color w:val="auto"/>
        </w:rPr>
      </w:pPr>
      <w:r>
        <w:rPr>
          <w:rFonts w:ascii="Arial" w:cs="Arial" w:eastAsia="Arial" w:hAnsi="Arial"/>
          <w:sz w:val="18"/>
          <w:szCs w:val="18"/>
          <w:color w:val="auto"/>
        </w:rPr>
        <w:t>Includes our proportionate share of the depreciation and amortization expense (including write-downs related to cancelled projects) of unconsolidated entities.</w:t>
      </w:r>
    </w:p>
    <w:p>
      <w:pPr>
        <w:spacing w:after="0" w:line="62" w:lineRule="exact"/>
        <w:rPr>
          <w:sz w:val="20"/>
          <w:szCs w:val="20"/>
          <w:color w:val="auto"/>
        </w:rPr>
      </w:pPr>
    </w:p>
    <w:p>
      <w:pPr>
        <w:ind w:left="20" w:right="2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84" w:lineRule="exact"/>
        <w:rPr>
          <w:sz w:val="20"/>
          <w:szCs w:val="20"/>
          <w:color w:val="auto"/>
        </w:rPr>
      </w:pPr>
    </w:p>
    <w:p>
      <w:pPr>
        <w:ind w:left="20" w:right="4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39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80" w:hanging="11"/>
        <w:spacing w:after="0" w:line="287" w:lineRule="auto"/>
        <w:rPr>
          <w:sz w:val="20"/>
          <w:szCs w:val="20"/>
          <w:color w:val="auto"/>
        </w:rPr>
      </w:pPr>
      <w:r>
        <w:rPr>
          <w:rFonts w:ascii="Arial" w:cs="Arial" w:eastAsia="Arial" w:hAnsi="Arial"/>
          <w:sz w:val="16"/>
          <w:szCs w:val="16"/>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4" w:lineRule="exact"/>
        <w:rPr>
          <w:sz w:val="20"/>
          <w:szCs w:val="20"/>
          <w:color w:val="auto"/>
        </w:rPr>
      </w:pPr>
    </w:p>
    <w:p>
      <w:pPr>
        <w:ind w:right="20" w:hanging="11"/>
        <w:spacing w:after="0" w:line="254" w:lineRule="auto"/>
        <w:rPr>
          <w:sz w:val="20"/>
          <w:szCs w:val="20"/>
          <w:color w:val="auto"/>
        </w:rPr>
      </w:pPr>
      <w:r>
        <w:rPr>
          <w:rFonts w:ascii="Arial" w:cs="Arial" w:eastAsia="Arial" w:hAnsi="Arial"/>
          <w:sz w:val="18"/>
          <w:szCs w:val="18"/>
          <w:color w:val="auto"/>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settle in cash is not excluded in determining Segment Adjusted EBITDA. See Note 18 to our Consolidated Financial Statements included in Part IV of our 2021 Annual Report on Form 10-K for a discussion regarding our equity-indexed compensation plans.</w:t>
      </w:r>
    </w:p>
    <w:p>
      <w:pPr>
        <w:spacing w:after="0" w:line="87" w:lineRule="exact"/>
        <w:rPr>
          <w:sz w:val="20"/>
          <w:szCs w:val="20"/>
          <w:color w:val="auto"/>
        </w:rPr>
      </w:pPr>
    </w:p>
    <w:p>
      <w:pPr>
        <w:ind w:hanging="11"/>
        <w:spacing w:after="0" w:line="311" w:lineRule="auto"/>
        <w:rPr>
          <w:sz w:val="20"/>
          <w:szCs w:val="20"/>
          <w:color w:val="auto"/>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41" w:lineRule="exact"/>
        <w:rPr>
          <w:sz w:val="20"/>
          <w:szCs w:val="20"/>
          <w:color w:val="auto"/>
        </w:rPr>
      </w:pPr>
    </w:p>
    <w:p>
      <w:pPr>
        <w:ind w:right="100" w:hanging="11"/>
        <w:spacing w:after="0" w:line="277"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10 for additional information regarding the Line 901 incident.</w:t>
      </w:r>
    </w:p>
    <w:p>
      <w:pPr>
        <w:spacing w:after="0" w:line="62" w:lineRule="exact"/>
        <w:rPr>
          <w:sz w:val="20"/>
          <w:szCs w:val="20"/>
          <w:color w:val="auto"/>
        </w:rPr>
      </w:pPr>
    </w:p>
    <w:p>
      <w:pPr>
        <w:ind w:right="500" w:hanging="11"/>
        <w:spacing w:after="0" w:line="308" w:lineRule="auto"/>
        <w:rPr>
          <w:sz w:val="20"/>
          <w:szCs w:val="20"/>
          <w:color w:val="auto"/>
        </w:rPr>
      </w:pPr>
      <w:r>
        <w:rPr>
          <w:rFonts w:ascii="Arial" w:cs="Arial" w:eastAsia="Arial" w:hAnsi="Arial"/>
          <w:sz w:val="17"/>
          <w:szCs w:val="17"/>
          <w:color w:val="auto"/>
        </w:rPr>
        <w:t>Includes expenses associated with the Permian JV transaction announced in July 2021. See Note 7 to our Consolidated Financial Statements included in Part IV of our 2021 Annual Report on Form 10-K for further discussion of the joint venture transaction.</w:t>
      </w:r>
    </w:p>
    <w:p>
      <w:pPr>
        <w:spacing w:after="0" w:line="4"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ind w:left="640" w:hanging="632"/>
        <w:spacing w:after="0"/>
        <w:tabs>
          <w:tab w:leader="none" w:pos="64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Reflects amounts attributable to noncontrolling interests in the Permian JV and Red River LLC.</w:t>
      </w:r>
    </w:p>
    <w:p>
      <w:pPr>
        <w:spacing w:after="0" w:line="93" w:lineRule="exact"/>
        <w:rPr>
          <w:rFonts w:ascii="Arial" w:cs="Arial" w:eastAsia="Arial" w:hAnsi="Arial"/>
          <w:sz w:val="23"/>
          <w:szCs w:val="23"/>
          <w:color w:val="auto"/>
          <w:vertAlign w:val="superscript"/>
        </w:rPr>
      </w:pPr>
    </w:p>
    <w:p>
      <w:pPr>
        <w:ind w:left="660" w:right="320" w:hanging="652"/>
        <w:spacing w:after="0" w:line="227"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general and administrative expenses incremental to those of PAA, which are not allocated to our reporting segments in determining Segment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2021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a Delaware limited partnership that has elected to be taxed as a corporation for United States federal income tax purposes. As of June 30, 2022, our sole cash-generating assets consisted of (i) a 100% managing member interest in GP LLC and (ii) an approximate 81% limited partner interest in AAP through our direct ownership of AAP units and indirect ownership of AAP units through GP LLC, which also holds the non-economic general partner interest in AAP. As of June 30, 2022, AAP directly owned a limited partner interest in PAA through its ownership of approximately 241.5 million PAA common units (approximately 31% of PAA’s total outstanding common units and Series A preferred units combined). AAP is the sole member of PAA GP, which holds the non-economic general partner interest in PAA.</w:t>
      </w:r>
    </w:p>
    <w:p>
      <w:pPr>
        <w:spacing w:after="0" w:line="19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and transportation corridors and at major market hubs in the United States and Canada. PAA’s assets and the services it provides are primarily focused on crude oil and NGL.</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Changes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fourth quarter of 2021, we reorganized our historical operating segments into two operating segments: Crude Oil and NGL. Additionally, during the fourth quarter of 2021, we modified our definition of Segment Adjusted EBITDA to exclude amounts attributable to noncontrolling interests in consolidated joint venture entities. See Note 20 to our Consolidated Financial Statements included in Part IV of our 2021 Annual Report on Form 10-K for additional information. All segment data and related disclosures for earlier periods presented herein have been recast to reflect the new segment reporting structure and the modification to our definition of Segment Adjusted EBITDA.</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During the first six months of 2022, we recognized net income of $448 million compared to net income of $181 million recognized during the first six months of 2021. Results from our operations increased for the first six months of 2022 over the comparable 2021 period driven primarily by more favorable margins in our NGL segment and increased earnings from higher volumes on our crude oil pipelines. However, these items were partially offset by the impact from the sale of our natural gas storage facilities in the third quarter of 2021 and higher field operating costs in the 2022 period primarily from (i) an increase in estimated costs associated with the Line 901 incident and (ii) gains related to hedged power costs resulting from the extreme winter weather event that occurred in February 2021 (“Winter Storm Uri”) recognized in the first quarter of 2021.</w:t>
      </w:r>
    </w:p>
    <w:p>
      <w:pPr>
        <w:spacing w:after="0" w:line="205" w:lineRule="exact"/>
        <w:rPr>
          <w:sz w:val="20"/>
          <w:szCs w:val="20"/>
          <w:color w:val="auto"/>
        </w:rPr>
      </w:pPr>
    </w:p>
    <w:p>
      <w:pPr>
        <w:ind w:right="540" w:firstLine="648"/>
        <w:spacing w:after="0" w:line="263" w:lineRule="auto"/>
        <w:rPr>
          <w:sz w:val="20"/>
          <w:szCs w:val="20"/>
          <w:color w:val="auto"/>
        </w:rPr>
      </w:pPr>
      <w:r>
        <w:rPr>
          <w:rFonts w:ascii="Arial" w:cs="Arial" w:eastAsia="Arial" w:hAnsi="Arial"/>
          <w:sz w:val="18"/>
          <w:szCs w:val="18"/>
          <w:color w:val="auto"/>
        </w:rPr>
        <w:t>Results for the first six months of 2022 included a net gain on asset sales of $46 million, compared to a net loss on asset sales and asset impairments of $370 million included in results for the first six months of 2021. The 2022 period was also impacted by a loss on the mark-to-market adjustment of the Preferred Distribution Rate Reset Option and higher income tax expense.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“Results of Operations” section below for further discussion.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14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w w:val="99"/>
              </w:rPr>
              <w:t>Variance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16,007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Services revenues</w:t>
            </w:r>
          </w:p>
        </w:tc>
        <w:tc>
          <w:tcPr>
            <w:tcW w:w="160" w:type="dxa"/>
            <w:vAlign w:val="bottom"/>
          </w:tcPr>
          <w:p>
            <w:pPr>
              <w:spacing w:after="0"/>
              <w:rPr>
                <w:sz w:val="19"/>
                <w:szCs w:val="19"/>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related costs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(15,324)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(9,277)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16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impairments, net</w:t>
            </w:r>
          </w:p>
        </w:tc>
        <w:tc>
          <w:tcPr>
            <w:tcW w:w="16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tcPr>
          <w:p>
            <w:pPr>
              <w:spacing w:after="0"/>
              <w:rPr>
                <w:sz w:val="19"/>
                <w:szCs w:val="19"/>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tcPr>
          <w:p>
            <w:pPr>
              <w:spacing w:after="0"/>
              <w:rPr>
                <w:sz w:val="19"/>
                <w:szCs w:val="19"/>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16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(245)%</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Net income/(loss) attributable to PAGP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420" w:type="dxa"/>
            <w:vAlign w:val="bottom"/>
          </w:tcPr>
          <w:p>
            <w:pPr>
              <w:ind w:left="20"/>
              <w:spacing w:after="0" w:line="176" w:lineRule="exact"/>
              <w:rPr>
                <w:sz w:val="20"/>
                <w:szCs w:val="20"/>
                <w:color w:val="auto"/>
              </w:rPr>
            </w:pPr>
            <w:r>
              <w:rPr>
                <w:rFonts w:ascii="Arial" w:cs="Arial" w:eastAsia="Arial" w:hAnsi="Arial"/>
                <w:sz w:val="18"/>
                <w:szCs w:val="18"/>
                <w:color w:val="auto"/>
              </w:rPr>
              <w:t>Basic and diluted net income/(loss) per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146 %</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420" w:type="dxa"/>
            <w:vAlign w:val="bottom"/>
          </w:tcPr>
          <w:p>
            <w:pPr>
              <w:ind w:left="180"/>
              <w:spacing w:after="0"/>
              <w:rPr>
                <w:sz w:val="20"/>
                <w:szCs w:val="20"/>
                <w:color w:val="auto"/>
              </w:rPr>
            </w:pPr>
            <w:r>
              <w:rPr>
                <w:rFonts w:ascii="Arial" w:cs="Arial" w:eastAsia="Arial" w:hAnsi="Arial"/>
                <w:sz w:val="18"/>
                <w:szCs w:val="18"/>
                <w:color w:val="auto"/>
              </w:rPr>
              <w:t>Class A share</w:t>
            </w:r>
          </w:p>
        </w:tc>
        <w:tc>
          <w:tcPr>
            <w:tcW w:w="160" w:type="dxa"/>
            <w:vAlign w:val="bottom"/>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Basic and diluted weighted average Class A</w:t>
            </w:r>
          </w:p>
        </w:tc>
        <w:tc>
          <w:tcPr>
            <w:tcW w:w="16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3"/>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w:t>
            </w:r>
          </w:p>
        </w:tc>
        <w:tc>
          <w:tcPr>
            <w:tcW w:w="16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3"/>
            <w:vMerge w:val="continue"/>
            <w:shd w:val="clear" w:color="auto" w:fill="CCEEFF"/>
          </w:tcPr>
          <w:p>
            <w:pPr>
              <w:spacing w:after="0"/>
              <w:rPr>
                <w:sz w:val="19"/>
                <w:szCs w:val="19"/>
                <w:color w:val="auto"/>
              </w:rPr>
            </w:pPr>
          </w:p>
        </w:tc>
        <w:tc>
          <w:tcPr>
            <w:tcW w:w="74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Purchases</w:t>
      </w:r>
    </w:p>
    <w:p>
      <w:pPr>
        <w:spacing w:after="0" w:line="25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Both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NYMEX WTI</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8"/>
        </w:trPr>
        <w:tc>
          <w:tcPr>
            <w:tcW w:w="72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Crude Oil Price</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7240" w:type="dxa"/>
            <w:vAlign w:val="bottom"/>
          </w:tcPr>
          <w:p>
            <w:pPr>
              <w:spacing w:after="0"/>
              <w:rPr>
                <w:sz w:val="15"/>
                <w:szCs w:val="15"/>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rPr>
              <w:t>Low</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High</w:t>
            </w:r>
          </w:p>
        </w:tc>
        <w:tc>
          <w:tcPr>
            <w:tcW w:w="240" w:type="dxa"/>
            <w:vAlign w:val="bottom"/>
          </w:tcPr>
          <w:p>
            <w:pPr>
              <w:spacing w:after="0"/>
              <w:rPr>
                <w:sz w:val="15"/>
                <w:szCs w:val="15"/>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rPr>
              <w:t>Average</w:t>
            </w:r>
          </w:p>
        </w:tc>
      </w:tr>
      <w:tr>
        <w:trPr>
          <w:trHeight w:val="224"/>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2022</w:t>
            </w:r>
          </w:p>
        </w:tc>
        <w:tc>
          <w:tcPr>
            <w:tcW w:w="880" w:type="dxa"/>
            <w:vAlign w:val="bottom"/>
            <w:tcBorders>
              <w:top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Three Months Ended June 30, 2021</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Six Months Ended June 30, 2022</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2021</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bl>
    <w:p>
      <w:pPr>
        <w:spacing w:after="0" w:line="323"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Product sales revenues and purchases increased for the three and six months ended June 30, 2022, compared to the same periods in 2021 primarily due to higher prices and volumes in the 2022 periods.</w:t>
      </w:r>
    </w:p>
    <w:p>
      <w:pPr>
        <w:spacing w:after="0" w:line="19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Revenues from services increased for the three and six months ended June 30, 2022, compared to the same periods in 2021 primarily due to higher prices and volumes in the 2022 periods, partially offset by the impact of the sale of our natural gas storage facilities in the third quarter of 2021.</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further discussion of our net revenues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increase in general and administrative expenses for the three and six months ended June 30, 2022 compared to the same periods in 2021 was primarily due to (i) employee-related costs, including an increase in equity-indexed compensation expense on equity-classified awards (which is excluded in the calculation of Adjusted EBITDA and Segment Adjusted EBITDA) due to changes in plan assumptions, (ii) higher office rent due to an operating cost abatement in the prior year and (iii) reduced wage subsidies received by our Canadian subsidiary in the current periods. For the six months ended June 30, 2022, the increase was also attributed to costs associated with the formation of the Permian JV, a portion of which are transition related.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first quarter of 2022, we recognized a gain of $40 million related to the sale of land and buildings in California.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net loss on asset sales and asset impairments for 2021 primarily consisted of (i) an approximate $475 million non-cash impairment charge related to the write-down of our Pine Prairie and Southern Pines natural gas storage facilities upon classification as held for sale during the second quarter (these assets were sold in August 2021) and (ii) a gain of $106 million recognized in the second quarter related to the asset exchange agreement (the “Asset Exchange”) involving the sale of one of our crude oil pipelines in Canada in exchange for additional interests in certain Empress natural gas processing plants.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jc w:val="both"/>
        <w:ind w:right="240" w:firstLine="648"/>
        <w:spacing w:after="0" w:line="342" w:lineRule="auto"/>
        <w:rPr>
          <w:sz w:val="20"/>
          <w:szCs w:val="20"/>
          <w:color w:val="auto"/>
        </w:rPr>
      </w:pPr>
      <w:r>
        <w:rPr>
          <w:rFonts w:ascii="Arial" w:cs="Arial" w:eastAsia="Arial" w:hAnsi="Arial"/>
          <w:sz w:val="16"/>
          <w:szCs w:val="16"/>
          <w:color w:val="auto"/>
        </w:rPr>
        <w:t>The increase in depreciation and amortization expense for the three and six months ended June 30, 2022 compared to the same periods in 2021 was driven by depreciation expense on the assets contributed by Oryx Midstream Holdings LLC (“Oryx Midstream”) upon formation of the Permian JV.</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4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7"/>
        </w:trPr>
        <w:tc>
          <w:tcPr>
            <w:tcW w:w="59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w w:val="94"/>
              </w:rPr>
              <w:t>Gain/(loss) related to mark-to-market adjustment of Preferred Distribution Rate</w:t>
            </w:r>
          </w:p>
        </w:tc>
        <w:tc>
          <w:tcPr>
            <w:tcW w:w="800" w:type="dxa"/>
            <w:vAlign w:val="bottom"/>
            <w:vMerge w:val="restart"/>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(103)</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9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Reset Option </w:t>
            </w:r>
            <w:r>
              <w:rPr>
                <w:rFonts w:ascii="Arial" w:cs="Arial" w:eastAsia="Arial" w:hAnsi="Arial"/>
                <w:sz w:val="23"/>
                <w:szCs w:val="23"/>
                <w:color w:val="auto"/>
                <w:vertAlign w:val="superscript"/>
              </w:rPr>
              <w:t>(1)</w:t>
            </w:r>
          </w:p>
        </w:tc>
        <w:tc>
          <w:tcPr>
            <w:tcW w:w="80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(2)</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(118)</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See Note 8 to our Condensed Consolidated Financial Statements for additional information.</w:t>
      </w:r>
    </w:p>
    <w:p>
      <w:pPr>
        <w:spacing w:after="0" w:line="63" w:lineRule="exact"/>
        <w:rPr>
          <w:sz w:val="20"/>
          <w:szCs w:val="20"/>
          <w:color w:val="auto"/>
        </w:rPr>
      </w:pPr>
    </w:p>
    <w:p>
      <w:pPr>
        <w:ind w:left="20" w:right="580" w:hanging="11"/>
        <w:spacing w:after="0" w:line="277" w:lineRule="auto"/>
        <w:rPr>
          <w:sz w:val="20"/>
          <w:szCs w:val="20"/>
          <w:color w:val="auto"/>
        </w:rPr>
      </w:pPr>
      <w:r>
        <w:rPr>
          <w:rFonts w:ascii="Arial" w:cs="Arial" w:eastAsia="Arial" w:hAnsi="Arial"/>
          <w:sz w:val="18"/>
          <w:szCs w:val="18"/>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(Expense)/Benefit</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43"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The net unfavorable income tax variance for the three and six months ended June 30, 2022 compared to the same periods in 2021 was primarily a result of increased income in our Canadian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w:t>
      </w:r>
    </w:p>
    <w:p>
      <w:pPr>
        <w:spacing w:after="0" w:line="21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Adjusted EBITDA is defined as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Our definition and calculation of certain non-GAAP financial measures may not be comparable to similarly-titled measures of other companies. Adjusted EBITDA and Adjusted EBITDA attributable to PAA are reconciled to Net Income, the most directly comparable measure as reported in accordance with GAAP, and should be viewed in addition to, and not in lieu of, our Condensed Consolidated Financial Statements and accompanying notes.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provides additional information about our core operating performance, (ii) provides investors with the same financial analytical framework upon which management bases financial, operational, compensation and planning/budgeting decisions and (iii) presents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0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the reconciliation of the non-GAAP financial performance measures Adjusted EBITDA and Adjusted EBITDA attributable to PAA from Net Income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0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30"/>
        </w:trPr>
        <w:tc>
          <w:tcPr>
            <w:tcW w:w="354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expense/(benefit)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30"/>
        </w:trPr>
        <w:tc>
          <w:tcPr>
            <w:tcW w:w="35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(Gains)/losses on asset sales and asset</w:t>
            </w:r>
          </w:p>
        </w:tc>
        <w:tc>
          <w:tcPr>
            <w:tcW w:w="16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(101)%</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impairments, net</w:t>
            </w:r>
          </w:p>
        </w:tc>
        <w:tc>
          <w:tcPr>
            <w:tcW w:w="16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16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3540" w:type="dxa"/>
            <w:vAlign w:val="bottom"/>
          </w:tcPr>
          <w:p>
            <w:pPr>
              <w:ind w:left="320"/>
              <w:spacing w:after="0" w:line="230"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Unallocated general and administrative</w:t>
            </w:r>
          </w:p>
        </w:tc>
        <w:tc>
          <w:tcPr>
            <w:tcW w:w="16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3"/>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32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740" w:type="dxa"/>
            <w:vAlign w:val="bottom"/>
            <w:tcBorders>
              <w:right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Selected Items Impacting Comparability:</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6"/>
              </w:rPr>
              <w:t>(Gains)/losses from derivative activities and</w:t>
            </w:r>
          </w:p>
        </w:tc>
        <w:tc>
          <w:tcPr>
            <w:tcW w:w="16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inventory valuation adjustments</w:t>
            </w:r>
          </w:p>
        </w:tc>
        <w:tc>
          <w:tcPr>
            <w:tcW w:w="16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60"/>
              <w:spacing w:after="0"/>
              <w:rPr>
                <w:sz w:val="20"/>
                <w:szCs w:val="20"/>
                <w:color w:val="auto"/>
              </w:rPr>
            </w:pPr>
            <w:r>
              <w:rPr>
                <w:rFonts w:ascii="Arial" w:cs="Arial" w:eastAsia="Arial" w:hAnsi="Arial"/>
                <w:sz w:val="18"/>
                <w:szCs w:val="18"/>
                <w:color w:val="auto"/>
              </w:rPr>
              <w:t>Long-term inventory costing adjustments</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5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commitments, net</w:t>
            </w:r>
          </w:p>
        </w:tc>
        <w:tc>
          <w:tcPr>
            <w:tcW w:w="16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6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Net (gain)/loss on foreign currency</w:t>
            </w:r>
          </w:p>
        </w:tc>
        <w:tc>
          <w:tcPr>
            <w:tcW w:w="16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revaluation</w:t>
            </w:r>
          </w:p>
        </w:tc>
        <w:tc>
          <w:tcPr>
            <w:tcW w:w="16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60"/>
              <w:spacing w:after="0"/>
              <w:rPr>
                <w:sz w:val="20"/>
                <w:szCs w:val="20"/>
                <w:color w:val="auto"/>
              </w:rPr>
            </w:pPr>
            <w:r>
              <w:rPr>
                <w:rFonts w:ascii="Arial" w:cs="Arial" w:eastAsia="Arial" w:hAnsi="Arial"/>
                <w:sz w:val="18"/>
                <w:szCs w:val="18"/>
                <w:color w:val="auto"/>
              </w:rPr>
              <w:t>Line 901 incident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Significant transaction-related expenses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540" w:type="dxa"/>
            <w:vAlign w:val="bottom"/>
          </w:tcPr>
          <w:p>
            <w:pPr>
              <w:ind w:left="20"/>
              <w:spacing w:after="0" w:line="15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(3)</w:t>
            </w:r>
          </w:p>
        </w:tc>
        <w:tc>
          <w:tcPr>
            <w:tcW w:w="16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40" w:type="dxa"/>
            <w:vAlign w:val="bottom"/>
          </w:tcPr>
          <w:p>
            <w:pPr>
              <w:ind w:left="160"/>
              <w:spacing w:after="0" w:line="176" w:lineRule="exact"/>
              <w:rPr>
                <w:sz w:val="20"/>
                <w:szCs w:val="20"/>
                <w:color w:val="auto"/>
              </w:rPr>
            </w:pPr>
            <w:r>
              <w:rPr>
                <w:rFonts w:ascii="Arial" w:cs="Arial" w:eastAsia="Arial" w:hAnsi="Arial"/>
                <w:sz w:val="18"/>
                <w:szCs w:val="18"/>
                <w:color w:val="auto"/>
              </w:rPr>
              <w:t>Net (gain)/loss on foreign currency</w:t>
            </w:r>
          </w:p>
        </w:tc>
        <w:tc>
          <w:tcPr>
            <w:tcW w:w="160" w:type="dxa"/>
            <w:vAlign w:val="bottom"/>
          </w:tcPr>
          <w:p>
            <w:pPr>
              <w:spacing w:after="0"/>
              <w:rPr>
                <w:sz w:val="15"/>
                <w:szCs w:val="1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320"/>
              <w:spacing w:after="0" w:line="230"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3"/>
                <w:szCs w:val="23"/>
                <w:color w:val="auto"/>
                <w:vertAlign w:val="superscript"/>
              </w:rPr>
              <w:t>(5)</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54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rPr>
              <w:t>Selected Items Impacting Comparability -</w:t>
            </w:r>
          </w:p>
        </w:tc>
        <w:tc>
          <w:tcPr>
            <w:tcW w:w="16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Adjusted EBITDA attributable to</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noncontrolling interests in consolidated</w:t>
            </w:r>
          </w:p>
        </w:tc>
        <w:tc>
          <w:tcPr>
            <w:tcW w:w="16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320"/>
              <w:spacing w:after="0" w:line="230" w:lineRule="exact"/>
              <w:rPr>
                <w:sz w:val="20"/>
                <w:szCs w:val="20"/>
                <w:color w:val="auto"/>
              </w:rPr>
            </w:pPr>
            <w:r>
              <w:rPr>
                <w:rFonts w:ascii="Arial" w:cs="Arial" w:eastAsia="Arial" w:hAnsi="Arial"/>
                <w:sz w:val="18"/>
                <w:szCs w:val="18"/>
                <w:color w:val="auto"/>
              </w:rPr>
              <w:t xml:space="preserve">joint ventures </w:t>
            </w:r>
            <w:r>
              <w:rPr>
                <w:rFonts w:ascii="Arial" w:cs="Arial" w:eastAsia="Arial" w:hAnsi="Arial"/>
                <w:sz w:val="23"/>
                <w:szCs w:val="23"/>
                <w:color w:val="auto"/>
                <w:vertAlign w:val="superscript"/>
              </w:rPr>
              <w:t>(7)</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40" w:type="dxa"/>
            <w:vAlign w:val="bottom"/>
          </w:tcPr>
          <w:p>
            <w:pPr>
              <w:ind w:left="20"/>
              <w:spacing w:after="0"/>
              <w:rPr>
                <w:sz w:val="20"/>
                <w:szCs w:val="20"/>
                <w:color w:val="auto"/>
              </w:rPr>
            </w:pPr>
            <w:r>
              <w:rPr>
                <w:rFonts w:ascii="Arial" w:cs="Arial" w:eastAsia="Arial" w:hAnsi="Arial"/>
                <w:sz w:val="18"/>
                <w:szCs w:val="18"/>
                <w:color w:val="auto"/>
              </w:rPr>
              <w:t>Adjusted EBITDA attributable to PAA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69"/>
        </w:trPr>
        <w:tc>
          <w:tcPr>
            <w:tcW w:w="3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56" w:lineRule="exact"/>
        <w:rPr>
          <w:sz w:val="20"/>
          <w:szCs w:val="20"/>
          <w:color w:val="auto"/>
        </w:rPr>
      </w:pPr>
    </w:p>
    <w:p>
      <w:pPr>
        <w:ind w:left="660" w:right="340" w:hanging="652"/>
        <w:spacing w:after="0" w:line="219" w:lineRule="auto"/>
        <w:tabs>
          <w:tab w:leader="none" w:pos="64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We exclude our proportionate share of the depreciation and amortization expense (including write-downs related to cancelled projects) of such unconsolidated entities when reviewing Adjusted EBITDA, similar to our consolidated assets.</w:t>
      </w:r>
    </w:p>
    <w:p>
      <w:pPr>
        <w:spacing w:after="0" w:line="93" w:lineRule="exact"/>
        <w:rPr>
          <w:rFonts w:ascii="Arial" w:cs="Arial" w:eastAsia="Arial" w:hAnsi="Arial"/>
          <w:sz w:val="23"/>
          <w:szCs w:val="23"/>
          <w:color w:val="auto"/>
          <w:vertAlign w:val="superscript"/>
        </w:rPr>
      </w:pPr>
    </w:p>
    <w:p>
      <w:pPr>
        <w:ind w:left="660" w:right="320" w:hanging="652"/>
        <w:spacing w:after="0" w:line="238" w:lineRule="auto"/>
        <w:tabs>
          <w:tab w:leader="none" w:pos="648"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Represents general and administrative expenses incremental to those of PAA, which are not allocated to our reporting segments in determining Segment Adjusted EBITDA and are excluded in the non-GAAP financial performance measures utilized by management.</w:t>
      </w:r>
    </w:p>
    <w:p>
      <w:pPr>
        <w:spacing w:after="0" w:line="95" w:lineRule="exact"/>
        <w:rPr>
          <w:rFonts w:ascii="Arial" w:cs="Arial" w:eastAsia="Arial" w:hAnsi="Arial"/>
          <w:sz w:val="22"/>
          <w:szCs w:val="22"/>
          <w:color w:val="auto"/>
          <w:vertAlign w:val="superscript"/>
        </w:rPr>
      </w:pPr>
    </w:p>
    <w:p>
      <w:pPr>
        <w:ind w:left="660" w:right="20" w:hanging="652"/>
        <w:spacing w:after="0" w:line="227" w:lineRule="auto"/>
        <w:tabs>
          <w:tab w:leader="none" w:pos="64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For a more detailed discussion of these selected items impacting comparability, see the footnotes to the Segment Adjusted EBITDA Reconciliation table in Note 11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right="80" w:hanging="11"/>
        <w:spacing w:after="0" w:line="259" w:lineRule="auto"/>
        <w:rPr>
          <w:sz w:val="20"/>
          <w:szCs w:val="20"/>
          <w:color w:val="auto"/>
        </w:rPr>
      </w:pPr>
      <w:r>
        <w:rPr>
          <w:rFonts w:ascii="Arial" w:cs="Arial" w:eastAsia="Arial" w:hAnsi="Arial"/>
          <w:sz w:val="18"/>
          <w:szCs w:val="18"/>
          <w:color w:val="auto"/>
        </w:rPr>
        <w:t>The Preferred Distribution Rate Reset Option of PAA’s Series A preferred units is accounted for as an embedded derivative and recorded at fair value in our Condensed Consolidated Financial Statements. The associated gains and losses are not integral to our results and were thus classified as a selected item impacting comparability. See Note 8 to our Condensed Consolidated Financial Statements for additional information regarding the Preferred Distribution Rate Reset Option.</w:t>
      </w:r>
    </w:p>
    <w:p>
      <w:pPr>
        <w:spacing w:after="0" w:line="79" w:lineRule="exact"/>
        <w:rPr>
          <w:sz w:val="20"/>
          <w:szCs w:val="20"/>
          <w:color w:val="auto"/>
        </w:rPr>
      </w:pPr>
    </w:p>
    <w:p>
      <w:pPr>
        <w:ind w:left="20" w:hanging="11"/>
        <w:spacing w:after="0" w:line="311" w:lineRule="auto"/>
        <w:rPr>
          <w:sz w:val="20"/>
          <w:szCs w:val="20"/>
          <w:color w:val="auto"/>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41" w:lineRule="exact"/>
        <w:rPr>
          <w:sz w:val="20"/>
          <w:szCs w:val="20"/>
          <w:color w:val="auto"/>
        </w:rPr>
      </w:pPr>
    </w:p>
    <w:p>
      <w:pPr>
        <w:ind w:left="20" w:right="460" w:hanging="11"/>
        <w:spacing w:after="0" w:line="342" w:lineRule="auto"/>
        <w:rPr>
          <w:sz w:val="20"/>
          <w:szCs w:val="20"/>
          <w:color w:val="auto"/>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Reflects amounts attributable to noncontrolling interests in the Permian JV and Red River LLC.</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manage our operations through two operating segments: Crude Oil and NGL. Our CODM (our Chief Executive Officer) evaluates segment performance based on a variety of measures including Segment Adjusted EBITDA, segment volumes and maintenance capital investment. See Note 11 to our Condensed Consolidated Financial Statements for our definition of Segment Adjusted EBITDA and a reconciliation of Segment Adjusted EBITDA to Net income attributable to PAGP. See Note 20 to our Consolidated Financial Statements included in Part IV of our 2021 Annual Report on Form 10-K for our definition of maintenance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Segment</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primarily our assets to sales locations, including our terminals, third-party connecting carriers, regional hubs or to refineries. Our merchant activities are subject to our risk management policies and may include the use of derivative instruments to hedge our exposure.</w:t>
      </w:r>
    </w:p>
    <w:p>
      <w:pPr>
        <w:spacing w:after="0" w:line="21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the overall strength, weakness and volatility of market conditions, including regional differentials and time spreads. In addition, the execution of our risk management strategies in conjunction with our assets can provide upside in certain markets. The segment results also include the direct fixed and variable field costs of operating the crude oil assets, as well as an allocation of indirect operating costs.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Crude Oil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4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12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w w:val="99"/>
              </w:rPr>
              <w:t>Variance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14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6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17,632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(15,163)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(9,127)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(27,556)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(16,174)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(11,382)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76"/>
        </w:trPr>
        <w:tc>
          <w:tcPr>
            <w:tcW w:w="34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Segment general and administrative expenses</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62"/>
        </w:trPr>
        <w:tc>
          <w:tcPr>
            <w:tcW w:w="3360" w:type="dxa"/>
            <w:vAlign w:val="bottom"/>
          </w:tcPr>
          <w:p>
            <w:pPr>
              <w:ind w:left="18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6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6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 activities</w:t>
            </w: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 inventory valuation adjustments</w:t>
            </w: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76"/>
        </w:trPr>
        <w:tc>
          <w:tcPr>
            <w:tcW w:w="346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Deficiencies under minimum volume</w:t>
            </w: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176"/>
        </w:trPr>
        <w:tc>
          <w:tcPr>
            <w:tcW w:w="346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Net (gain)/loss on foreign currency</w:t>
            </w: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Significant transaction-related expenses</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76"/>
        </w:trPr>
        <w:tc>
          <w:tcPr>
            <w:tcW w:w="34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Adjusted EBITDA attributable to</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gridSpan w:val="2"/>
          </w:tcPr>
          <w:p>
            <w:pPr>
              <w:ind w:left="300"/>
              <w:spacing w:after="0" w:line="176" w:lineRule="exact"/>
              <w:rPr>
                <w:sz w:val="20"/>
                <w:szCs w:val="20"/>
                <w:color w:val="auto"/>
              </w:rPr>
            </w:pPr>
            <w:r>
              <w:rPr>
                <w:rFonts w:ascii="Arial" w:cs="Arial" w:eastAsia="Arial" w:hAnsi="Arial"/>
                <w:sz w:val="18"/>
                <w:szCs w:val="18"/>
                <w:color w:val="auto"/>
              </w:rPr>
              <w:t>noncontrolling interests in consolidated</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joint ventures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35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3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130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w w:val="99"/>
              </w:rPr>
              <w:t>Variance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4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 Volumes</w:t>
            </w: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Volumes</w:t>
            </w:r>
          </w:p>
        </w:tc>
        <w:tc>
          <w:tcPr>
            <w:tcW w:w="62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Volumes</w:t>
            </w:r>
          </w:p>
        </w:tc>
        <w:tc>
          <w:tcPr>
            <w:tcW w:w="64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34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Tariff activities volumes </w:t>
            </w:r>
            <w:r>
              <w:rPr>
                <w:rFonts w:ascii="Arial" w:cs="Arial" w:eastAsia="Arial" w:hAnsi="Arial"/>
                <w:sz w:val="23"/>
                <w:szCs w:val="23"/>
                <w:color w:val="auto"/>
                <w:vertAlign w:val="superscript"/>
              </w:rPr>
              <w:t>(4)</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40" w:type="dxa"/>
            <w:vAlign w:val="bottom"/>
            <w:gridSpan w:val="2"/>
          </w:tcPr>
          <w:p>
            <w:pPr>
              <w:ind w:left="240"/>
              <w:spacing w:after="0" w:line="176" w:lineRule="exact"/>
              <w:rPr>
                <w:sz w:val="20"/>
                <w:szCs w:val="20"/>
                <w:color w:val="auto"/>
              </w:rPr>
            </w:pPr>
            <w:r>
              <w:rPr>
                <w:rFonts w:ascii="Arial" w:cs="Arial" w:eastAsia="Arial" w:hAnsi="Arial"/>
                <w:sz w:val="18"/>
                <w:szCs w:val="18"/>
                <w:color w:val="auto"/>
              </w:rPr>
              <w:t>Crude oil pipelines tariff volumes (by</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40" w:type="dxa"/>
            <w:vAlign w:val="bottom"/>
            <w:gridSpan w:val="2"/>
          </w:tcPr>
          <w:p>
            <w:pPr>
              <w:ind w:left="240"/>
              <w:spacing w:after="0"/>
              <w:rPr>
                <w:sz w:val="20"/>
                <w:szCs w:val="20"/>
                <w:color w:val="auto"/>
              </w:rPr>
            </w:pPr>
            <w:r>
              <w:rPr>
                <w:rFonts w:ascii="Arial" w:cs="Arial" w:eastAsia="Arial" w:hAnsi="Arial"/>
                <w:sz w:val="18"/>
                <w:szCs w:val="18"/>
                <w:color w:val="auto"/>
              </w:rPr>
              <w:t>region):</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34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Mid-Continent </w:t>
            </w:r>
            <w:r>
              <w:rPr>
                <w:rFonts w:ascii="Arial" w:cs="Arial" w:eastAsia="Arial" w:hAnsi="Arial"/>
                <w:sz w:val="23"/>
                <w:szCs w:val="23"/>
                <w:color w:val="auto"/>
                <w:vertAlign w:val="superscript"/>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3440" w:type="dxa"/>
            <w:vAlign w:val="bottom"/>
            <w:gridSpan w:val="2"/>
          </w:tcPr>
          <w:p>
            <w:pPr>
              <w:ind w:left="240"/>
              <w:spacing w:after="0"/>
              <w:rPr>
                <w:sz w:val="20"/>
                <w:szCs w:val="20"/>
                <w:color w:val="auto"/>
              </w:rPr>
            </w:pPr>
            <w:r>
              <w:rPr>
                <w:rFonts w:ascii="Arial" w:cs="Arial" w:eastAsia="Arial" w:hAnsi="Arial"/>
                <w:sz w:val="18"/>
                <w:szCs w:val="18"/>
                <w:color w:val="auto"/>
              </w:rPr>
              <w:t>Gulf Coast</w:t>
            </w:r>
          </w:p>
        </w:tc>
        <w:tc>
          <w:tcPr>
            <w:tcW w:w="84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3440" w:type="dxa"/>
            <w:vAlign w:val="bottom"/>
            <w:gridSpan w:val="2"/>
          </w:tcPr>
          <w:p>
            <w:pPr>
              <w:ind w:left="240"/>
              <w:spacing w:after="0"/>
              <w:rPr>
                <w:sz w:val="20"/>
                <w:szCs w:val="20"/>
                <w:color w:val="auto"/>
              </w:rPr>
            </w:pPr>
            <w:r>
              <w:rPr>
                <w:rFonts w:ascii="Arial" w:cs="Arial" w:eastAsia="Arial" w:hAnsi="Arial"/>
                <w:sz w:val="18"/>
                <w:szCs w:val="18"/>
                <w:color w:val="auto"/>
              </w:rPr>
              <w:t>Western</w:t>
            </w:r>
          </w:p>
        </w:tc>
        <w:tc>
          <w:tcPr>
            <w:tcW w:w="840" w:type="dxa"/>
            <w:vAlign w:val="bottom"/>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55"/>
        </w:trPr>
        <w:tc>
          <w:tcPr>
            <w:tcW w:w="3440" w:type="dxa"/>
            <w:vAlign w:val="bottom"/>
            <w:gridSpan w:val="2"/>
          </w:tcPr>
          <w:p>
            <w:pPr>
              <w:ind w:left="140"/>
              <w:spacing w:after="0" w:line="156" w:lineRule="exact"/>
              <w:rPr>
                <w:sz w:val="20"/>
                <w:szCs w:val="20"/>
                <w:color w:val="auto"/>
              </w:rPr>
            </w:pPr>
            <w:r>
              <w:rPr>
                <w:rFonts w:ascii="Arial" w:cs="Arial" w:eastAsia="Arial" w:hAnsi="Arial"/>
                <w:sz w:val="18"/>
                <w:szCs w:val="18"/>
                <w:color w:val="auto"/>
              </w:rPr>
              <w:t>Crude oil pipelines tariff activities total</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7,417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1,411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5,719</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3440" w:type="dxa"/>
            <w:vAlign w:val="bottom"/>
            <w:gridSpan w:val="2"/>
          </w:tcPr>
          <w:p>
            <w:pPr>
              <w:ind w:left="140"/>
              <w:spacing w:after="0"/>
              <w:rPr>
                <w:sz w:val="20"/>
                <w:szCs w:val="20"/>
                <w:color w:val="auto"/>
              </w:rPr>
            </w:pPr>
            <w:r>
              <w:rPr>
                <w:rFonts w:ascii="Arial" w:cs="Arial" w:eastAsia="Arial" w:hAnsi="Arial"/>
                <w:sz w:val="18"/>
                <w:szCs w:val="18"/>
                <w:color w:val="auto"/>
              </w:rPr>
              <w:t>volumes</w:t>
            </w: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20"/>
              <w:spacing w:after="0" w:line="230" w:lineRule="exact"/>
              <w:rPr>
                <w:sz w:val="20"/>
                <w:szCs w:val="20"/>
                <w:color w:val="auto"/>
              </w:rPr>
            </w:pPr>
            <w:r>
              <w:rPr>
                <w:rFonts w:ascii="Arial" w:cs="Arial" w:eastAsia="Arial" w:hAnsi="Arial"/>
                <w:sz w:val="18"/>
                <w:szCs w:val="18"/>
                <w:color w:val="auto"/>
                <w:w w:val="96"/>
              </w:rPr>
              <w:t xml:space="preserve">Commercial crude oil storage capacity </w:t>
            </w:r>
            <w:r>
              <w:rPr>
                <w:rFonts w:ascii="Arial" w:cs="Arial" w:eastAsia="Arial" w:hAnsi="Arial"/>
                <w:sz w:val="23"/>
                <w:szCs w:val="23"/>
                <w:color w:val="auto"/>
                <w:w w:val="96"/>
                <w:vertAlign w:val="superscript"/>
              </w:rPr>
              <w:t>(5) (6)</w:t>
            </w: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 xml:space="preserve">Crude oil lease gathering purchases </w:t>
            </w:r>
            <w:r>
              <w:rPr>
                <w:rFonts w:ascii="Arial" w:cs="Arial" w:eastAsia="Arial" w:hAnsi="Arial"/>
                <w:sz w:val="23"/>
                <w:szCs w:val="23"/>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8"/>
                <w:szCs w:val="18"/>
                <w:color w:val="auto"/>
              </w:rPr>
              <w:t>1,368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2459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81"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ind w:left="660" w:right="480" w:hanging="652"/>
        <w:spacing w:after="0" w:line="227" w:lineRule="auto"/>
        <w:tabs>
          <w:tab w:leader="none" w:pos="64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ectPr>
          <w:pgSz w:w="11900" w:h="16838" w:orient="portrait"/>
          <w:cols w:equalWidth="0" w:num="1">
            <w:col w:w="11240"/>
          </w:cols>
          <w:pgMar w:left="320" w:top="125"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20" w:right="220" w:hanging="11"/>
        <w:spacing w:after="0" w:line="286" w:lineRule="auto"/>
        <w:rPr>
          <w:sz w:val="20"/>
          <w:szCs w:val="20"/>
          <w:color w:val="auto"/>
        </w:rPr>
      </w:pPr>
      <w:r>
        <w:rPr>
          <w:rFonts w:ascii="Arial" w:cs="Arial" w:eastAsia="Arial" w:hAnsi="Arial"/>
          <w:sz w:val="17"/>
          <w:szCs w:val="17"/>
          <w:color w:val="auto"/>
        </w:rPr>
        <w:t>Average daily volumes in thousands of barrels per day calculated as the total volumes (attributable to our interest for pipelines owned by unconsolidated entities or undivided joint interests) for the year divided by the number of days in the year. Volumes associated with acquisitions represent total volumes for the number of days we actually owned the assets divided by the number of days in the period.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assets owned by unconsolidated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capacity in millions of barrels per day calculated as total volumes for the period divided by the number of months in the period.</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Crude Oil Segment Adjusted EBITDA decreased for the three and six months ended June 30, 2022 compared to the same periods in 2021 primarily due to (i) the sale of our natural gas storage facilities in August of 2021 (which were reported in our Crude Oil Segment) and (ii) the monetization of contango hedges that benefited the 2021 periods. The six-month comparative period was further impacted by gains related to hedged power costs resulting from Winter Storm Uri recognized in the first quarter of 2021. These items were partially offset by increased earnings in the first half of 2022 from higher volumes on our pipelines and higher loss allowance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is a more detailed discussion of the significant factors impacting Segment Adjusted EBITDA for the three and six months ended June 30, 2022 compared to the same periods in 2021.</w:t>
      </w:r>
    </w:p>
    <w:p>
      <w:pPr>
        <w:spacing w:after="0" w:line="170" w:lineRule="exact"/>
        <w:rPr>
          <w:sz w:val="20"/>
          <w:szCs w:val="20"/>
          <w:color w:val="auto"/>
        </w:rPr>
      </w:pPr>
    </w:p>
    <w:p>
      <w:pPr>
        <w:ind w:left="980" w:right="160" w:hanging="324"/>
        <w:spacing w:after="0" w:line="259" w:lineRule="auto"/>
        <w:tabs>
          <w:tab w:leader="none" w:pos="9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 Storage Assets. </w:t>
      </w:r>
      <w:r>
        <w:rPr>
          <w:rFonts w:ascii="Arial" w:cs="Arial" w:eastAsia="Arial" w:hAnsi="Arial"/>
          <w:sz w:val="18"/>
          <w:szCs w:val="18"/>
          <w:color w:val="auto"/>
        </w:rPr>
        <w:t>We sold our natural gas storage facilities in August 2021, which was a significant driver of the decrease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results for 2022 compared to 2021. Net revenues from our natural gas storage facilities were approximately $26 million for the three months ended June 30, 2021 and $68 million for the six months ended June 30, 2021, which included the benefit of favorable margins from hub activities related to Winter Storm Uri, as mentioned below.</w:t>
      </w:r>
    </w:p>
    <w:p>
      <w:pPr>
        <w:spacing w:after="0" w:line="213" w:lineRule="exact"/>
        <w:rPr>
          <w:rFonts w:ascii="Arial" w:cs="Arial" w:eastAsia="Arial" w:hAnsi="Arial"/>
          <w:sz w:val="18"/>
          <w:szCs w:val="18"/>
          <w:i w:val="1"/>
          <w:iCs w:val="1"/>
          <w:color w:val="auto"/>
        </w:rPr>
      </w:pPr>
    </w:p>
    <w:p>
      <w:pPr>
        <w:ind w:left="980" w:right="80" w:hanging="324"/>
        <w:spacing w:after="0" w:line="263" w:lineRule="auto"/>
        <w:tabs>
          <w:tab w:leader="none" w:pos="9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Market Opportunities. </w:t>
      </w:r>
      <w:r>
        <w:rPr>
          <w:rFonts w:ascii="Arial" w:cs="Arial" w:eastAsia="Arial" w:hAnsi="Arial"/>
          <w:sz w:val="18"/>
          <w:szCs w:val="18"/>
          <w:color w:val="auto"/>
        </w:rPr>
        <w:t>During the first half of 2021, we benefited from the monetization of contango hedges and favorable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differentials, which was a significant driver of the unfavorable variance in our results year-over-year. This unfavorable variance was partially offset by the sale of excess linefill in a higher crude oil price environment during 2022.</w:t>
      </w:r>
    </w:p>
    <w:p>
      <w:pPr>
        <w:spacing w:after="0" w:line="210" w:lineRule="exact"/>
        <w:rPr>
          <w:rFonts w:ascii="Arial" w:cs="Arial" w:eastAsia="Arial" w:hAnsi="Arial"/>
          <w:sz w:val="18"/>
          <w:szCs w:val="18"/>
          <w:i w:val="1"/>
          <w:iCs w:val="1"/>
          <w:color w:val="auto"/>
        </w:rPr>
      </w:pPr>
    </w:p>
    <w:p>
      <w:pPr>
        <w:ind w:left="980" w:right="20" w:hanging="324"/>
        <w:spacing w:after="0" w:line="255" w:lineRule="auto"/>
        <w:tabs>
          <w:tab w:leader="none" w:pos="9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Tariff Activities. </w:t>
      </w:r>
      <w:r>
        <w:rPr>
          <w:rFonts w:ascii="Arial" w:cs="Arial" w:eastAsia="Arial" w:hAnsi="Arial"/>
          <w:sz w:val="18"/>
          <w:szCs w:val="18"/>
          <w:color w:val="auto"/>
        </w:rPr>
        <w:t>In October of 2021, we closed on the transaction with Oryx Midstream to merge our respective Permian Basin assets,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exception of our long-haul pipeline systems and certain of our intra-basin assets, into the Permian JV. The additional volumes from the pipelines contributed by Oryx Midstream upon formation of the Permian JV were the most significant driver of our volume growth year-over-year. We deduct the portion of the financial results attributable to Oryx Midstream’s 35% interest in the Permian JV in determining Segment Adjusted EBITDA, which partially offset the favorable impact of the volume growth when comparing Segment Adjusted EBITDA for the first half of 2022 compared to 2021.</w:t>
      </w:r>
    </w:p>
    <w:p>
      <w:pPr>
        <w:spacing w:after="0" w:line="219" w:lineRule="exact"/>
        <w:rPr>
          <w:rFonts w:ascii="Arial" w:cs="Arial" w:eastAsia="Arial" w:hAnsi="Arial"/>
          <w:sz w:val="18"/>
          <w:szCs w:val="18"/>
          <w:i w:val="1"/>
          <w:iCs w:val="1"/>
          <w:color w:val="auto"/>
        </w:rPr>
      </w:pPr>
    </w:p>
    <w:p>
      <w:pPr>
        <w:ind w:left="980" w:right="40" w:hanging="324"/>
        <w:spacing w:after="0" w:line="263" w:lineRule="auto"/>
        <w:tabs>
          <w:tab w:leader="none" w:pos="9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Pipeline Projects. </w:t>
      </w:r>
      <w:r>
        <w:rPr>
          <w:rFonts w:ascii="Arial" w:cs="Arial" w:eastAsia="Arial" w:hAnsi="Arial"/>
          <w:sz w:val="18"/>
          <w:szCs w:val="18"/>
          <w:color w:val="auto"/>
        </w:rPr>
        <w:t>The Capline pipeline reversal project and phase two of the Wink to Webster pipeline project have been completed and were</w:t>
      </w:r>
      <w:r>
        <w:rPr>
          <w:rFonts w:ascii="Arial" w:cs="Arial" w:eastAsia="Arial" w:hAnsi="Arial"/>
          <w:sz w:val="18"/>
          <w:szCs w:val="18"/>
          <w:i w:val="1"/>
          <w:iCs w:val="1"/>
          <w:color w:val="auto"/>
        </w:rPr>
        <w:t xml:space="preserve"> </w:t>
      </w:r>
      <w:r>
        <w:rPr>
          <w:rFonts w:ascii="Arial" w:cs="Arial" w:eastAsia="Arial" w:hAnsi="Arial"/>
          <w:sz w:val="18"/>
          <w:szCs w:val="18"/>
          <w:color w:val="auto"/>
        </w:rPr>
        <w:t>placed in service in the first quarter of 2022, which favorably impacted equity earnings in unconsolidated entities and our tariff volumes for the first half of 2022.</w:t>
      </w:r>
    </w:p>
    <w:p>
      <w:pPr>
        <w:spacing w:after="0" w:line="210" w:lineRule="exact"/>
        <w:rPr>
          <w:rFonts w:ascii="Arial" w:cs="Arial" w:eastAsia="Arial" w:hAnsi="Arial"/>
          <w:sz w:val="18"/>
          <w:szCs w:val="18"/>
          <w:i w:val="1"/>
          <w:iCs w:val="1"/>
          <w:color w:val="auto"/>
        </w:rPr>
      </w:pPr>
    </w:p>
    <w:p>
      <w:pPr>
        <w:ind w:left="980" w:right="6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The variance in equity earnings in unconsolidated entities for the three and six months ended June 30, 2022 compared to the same periods in 2021 was also driven by the unfavorable impact to the prior periods of the recognition of our proportionate share of the write-off of costs associated with a capital project canceled during the second quarter of 2021 (which impacted equity earnings in unconsolidated entities but is excluded from Segment Adjusted EBITDA and thus is reflected as an “Adjustment” as “Depreciation and amortization of unconsolidated entities” in the table above).</w:t>
      </w:r>
    </w:p>
    <w:p>
      <w:pPr>
        <w:spacing w:after="0" w:line="214" w:lineRule="exact"/>
        <w:rPr>
          <w:rFonts w:ascii="Arial" w:cs="Arial" w:eastAsia="Arial" w:hAnsi="Arial"/>
          <w:sz w:val="18"/>
          <w:szCs w:val="18"/>
          <w:i w:val="1"/>
          <w:iCs w:val="1"/>
          <w:color w:val="auto"/>
        </w:rPr>
      </w:pPr>
    </w:p>
    <w:p>
      <w:pPr>
        <w:ind w:left="980" w:right="100" w:hanging="324"/>
        <w:spacing w:after="0" w:line="277" w:lineRule="auto"/>
        <w:tabs>
          <w:tab w:leader="none" w:pos="97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Pipeline Loss Allowance Revenue. </w:t>
      </w:r>
      <w:r>
        <w:rPr>
          <w:rFonts w:ascii="Arial" w:cs="Arial" w:eastAsia="Arial" w:hAnsi="Arial"/>
          <w:sz w:val="18"/>
          <w:szCs w:val="18"/>
          <w:color w:val="auto"/>
        </w:rPr>
        <w:t>Pipeline loss allowance revenues increased for the three and six months ended June 30,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periods in 2021 primarily due to higher prices and volumes during the 2022 periods.</w:t>
      </w:r>
    </w:p>
    <w:p>
      <w:pPr>
        <w:spacing w:after="0" w:line="197" w:lineRule="exact"/>
        <w:rPr>
          <w:rFonts w:ascii="Arial" w:cs="Arial" w:eastAsia="Arial" w:hAnsi="Arial"/>
          <w:sz w:val="18"/>
          <w:szCs w:val="18"/>
          <w:i w:val="1"/>
          <w:iCs w:val="1"/>
          <w:color w:val="auto"/>
        </w:rPr>
      </w:pPr>
    </w:p>
    <w:p>
      <w:pPr>
        <w:ind w:left="980" w:hanging="324"/>
        <w:spacing w:after="0" w:line="286" w:lineRule="auto"/>
        <w:tabs>
          <w:tab w:leader="none" w:pos="975"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Winter Storm Uri. </w:t>
      </w:r>
      <w:r>
        <w:rPr>
          <w:rFonts w:ascii="Arial" w:cs="Arial" w:eastAsia="Arial" w:hAnsi="Arial"/>
          <w:sz w:val="17"/>
          <w:szCs w:val="17"/>
          <w:color w:val="auto"/>
        </w:rPr>
        <w:t>During the first quarter of 2021, Winter Storm Uri had a negative impact on our volumes; however, this impact was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offset during the 2021 period by gains related to hedged power costs, which are reflected in equity earnings and field operating costs, and favorable margins from hub activities at our natural gas storage facilities resulting from Winter Storm Uri.</w:t>
      </w:r>
    </w:p>
    <w:p>
      <w:pPr>
        <w:spacing w:after="0" w:line="192" w:lineRule="exact"/>
        <w:rPr>
          <w:rFonts w:ascii="Arial" w:cs="Arial" w:eastAsia="Arial" w:hAnsi="Arial"/>
          <w:sz w:val="17"/>
          <w:szCs w:val="17"/>
          <w:i w:val="1"/>
          <w:iCs w:val="1"/>
          <w:color w:val="auto"/>
        </w:rPr>
      </w:pPr>
    </w:p>
    <w:p>
      <w:pPr>
        <w:ind w:left="980" w:right="100" w:hanging="324"/>
        <w:spacing w:after="0" w:line="289" w:lineRule="auto"/>
        <w:tabs>
          <w:tab w:leader="none" w:pos="975"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Minimum Volume Commitments. </w:t>
      </w:r>
      <w:r>
        <w:rPr>
          <w:rFonts w:ascii="Arial" w:cs="Arial" w:eastAsia="Arial" w:hAnsi="Arial"/>
          <w:sz w:val="16"/>
          <w:szCs w:val="16"/>
          <w:color w:val="auto"/>
        </w:rPr>
        <w:t>For the six months ended June 30, 2022 and 2021, Segment Adjusted EBITDA includes approximately $98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and $82 million, respectively, associated with deficiencies under minimum volume commitments under contracts that have make-up rights. Although the payments have been received associated with the volume deficiencies, the revenues are not recognized until future periods when either the shortfall is made up or when the shipper’s make-up rights expire or it is determined that their ability to utilize the make-up right is remote. During the six months ended June 30, 2022 and 2021, we recognized approximately $83 million and $108 million, respectively, associated with deficiencies under minimum volume commitments that were previously deferred. The amount presented as an “Adjustment” in the table above reflects the net adjustment for revenues deferred during the period and the reversal of previously deferred revenues that were recognized during the period. The net impact to Segment Adjusted EBITDA associated with deficiencies under minimum volume commitments was not significant for the three month comparative periods.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line="291" w:lineRule="auto"/>
        <w:tabs>
          <w:tab w:leader="none" w:pos="97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increase in field operating costs for the three and six months ended June 30, 2022 compared to the same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in 2021 was primarily due to (i) incremental operating costs from the Permian JV, which were partially offset by the divestiture of our natural gas storage facilities, (ii) increased utilities as a result of higher volumes, (iii) increased trucking costs resulting from higher third-party trucked volumes and diesel fuel prices and (iv) a change in our estimate of remediation costs. For the six months ended June 30, 2022, the increase compared to 2021 was also attributable to additional estimated costs associated with the Line 901 incident (which impact field operating costs but are excluded from Segment Adjusted EBITDA and thus are reflected as an “Adjustment” in the table above) and the impact of gains related to hedged power costs resulting from Winter Storm Uri recognized in the first quarter of 2021.</w:t>
      </w:r>
    </w:p>
    <w:p>
      <w:pPr>
        <w:spacing w:after="0" w:line="19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See the</w:t>
      </w:r>
      <w:r>
        <w:rPr>
          <w:rFonts w:ascii="Arial" w:cs="Arial" w:eastAsia="Arial" w:hAnsi="Arial"/>
          <w:sz w:val="18"/>
          <w:szCs w:val="18"/>
          <w:i w:val="1"/>
          <w:iCs w:val="1"/>
          <w:color w:val="auto"/>
        </w:rPr>
        <w:t xml:space="preserve"> “—Consolidated Results” </w:t>
      </w:r>
      <w:r>
        <w:rPr>
          <w:rFonts w:ascii="Arial" w:cs="Arial" w:eastAsia="Arial" w:hAnsi="Arial"/>
          <w:sz w:val="18"/>
          <w:szCs w:val="18"/>
          <w:color w:val="auto"/>
        </w:rPr>
        <w:t>section above for a discussion of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Maintenance Capital</w:t>
      </w:r>
      <w:r>
        <w:rPr>
          <w:rFonts w:ascii="Arial" w:cs="Arial" w:eastAsia="Arial" w:hAnsi="Arial"/>
          <w:sz w:val="18"/>
          <w:szCs w:val="18"/>
          <w:color w:val="auto"/>
        </w:rPr>
        <w:t>. The decrease in maintenance capital spending for the six months ended June 30, 2022 compared to the same period in 2021</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completion of certain projects.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Segment</w:t>
      </w:r>
    </w:p>
    <w:p>
      <w:pPr>
        <w:spacing w:after="0" w:line="229"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supply from the gas stream processed at our Empress straddle plant facility as well as acquiring NGL mix supply, which mix supply is then transported, stored and fractionated into finished products and sold to customers.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NGL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20" w:type="dxa"/>
            <w:vAlign w:val="bottom"/>
          </w:tcPr>
          <w:p>
            <w:pPr>
              <w:spacing w:after="0"/>
              <w:rPr>
                <w:sz w:val="14"/>
                <w:szCs w:val="14"/>
                <w:color w:val="auto"/>
              </w:rPr>
            </w:pPr>
          </w:p>
        </w:tc>
        <w:tc>
          <w:tcPr>
            <w:tcW w:w="172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00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w w:val="95"/>
              </w:rPr>
              <w:t>Variance</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1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6"/>
                <w:szCs w:val="16"/>
                <w:color w:val="auto"/>
              </w:rPr>
            </w:pPr>
          </w:p>
        </w:tc>
        <w:tc>
          <w:tcPr>
            <w:tcW w:w="1000" w:type="dxa"/>
            <w:vAlign w:val="bottom"/>
            <w:gridSpan w:val="5"/>
            <w:vMerge w:val="continue"/>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6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48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9"/>
        </w:trPr>
        <w:tc>
          <w:tcPr>
            <w:tcW w:w="356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12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w w:val="95"/>
              </w:rPr>
              <w:t>(229)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(683)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5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76"/>
        </w:trPr>
        <w:tc>
          <w:tcPr>
            <w:tcW w:w="356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5"/>
              </w:rPr>
              <w:t>Segment general and administrative expenses</w:t>
            </w:r>
          </w:p>
        </w:tc>
        <w:tc>
          <w:tcPr>
            <w:tcW w:w="120" w:type="dxa"/>
            <w:vAlign w:val="bottom"/>
          </w:tcPr>
          <w:p>
            <w:pPr>
              <w:spacing w:after="0"/>
              <w:rPr>
                <w:sz w:val="15"/>
                <w:szCs w:val="15"/>
                <w:color w:val="auto"/>
              </w:rPr>
            </w:pPr>
          </w:p>
        </w:tc>
        <w:tc>
          <w:tcPr>
            <w:tcW w:w="7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62"/>
        </w:trPr>
        <w:tc>
          <w:tcPr>
            <w:tcW w:w="3360" w:type="dxa"/>
            <w:vAlign w:val="bottom"/>
          </w:tcPr>
          <w:p>
            <w:pPr>
              <w:ind w:left="18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6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60" w:type="dxa"/>
            <w:vAlign w:val="bottom"/>
            <w:gridSpan w:val="4"/>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(Gains)/losses from derivative activities and</w:t>
            </w:r>
          </w:p>
        </w:tc>
        <w:tc>
          <w:tcPr>
            <w:tcW w:w="120" w:type="dxa"/>
            <w:vAlign w:val="bottom"/>
            <w:shd w:val="clear" w:color="auto" w:fill="CCEEFF"/>
          </w:tcPr>
          <w:p>
            <w:pPr>
              <w:spacing w:after="0"/>
              <w:rPr>
                <w:sz w:val="15"/>
                <w:szCs w:val="15"/>
                <w:color w:val="auto"/>
              </w:rPr>
            </w:pPr>
          </w:p>
        </w:tc>
        <w:tc>
          <w:tcPr>
            <w:tcW w:w="7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230"/>
        </w:trPr>
        <w:tc>
          <w:tcPr>
            <w:tcW w:w="35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inventory valuation adjustments</w:t>
            </w:r>
          </w:p>
        </w:tc>
        <w:tc>
          <w:tcPr>
            <w:tcW w:w="120" w:type="dxa"/>
            <w:vAlign w:val="bottom"/>
            <w:shd w:val="clear" w:color="auto" w:fill="CCEEFF"/>
          </w:tcPr>
          <w:p>
            <w:pPr>
              <w:spacing w:after="0"/>
              <w:rPr>
                <w:sz w:val="19"/>
                <w:szCs w:val="19"/>
                <w:color w:val="auto"/>
              </w:rPr>
            </w:pPr>
          </w:p>
        </w:tc>
        <w:tc>
          <w:tcPr>
            <w:tcW w:w="70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gridSpan w:val="4"/>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5"/>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3"/>
          </w:tcPr>
          <w:p>
            <w:pPr>
              <w:ind w:left="3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Net loss on foreign currency revaluation</w:t>
            </w: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3"/>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560" w:type="dxa"/>
            <w:vAlign w:val="bottom"/>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471 %</w:t>
            </w:r>
          </w:p>
        </w:tc>
        <w:tc>
          <w:tcPr>
            <w:tcW w:w="1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60" w:type="dxa"/>
            <w:vAlign w:val="bottom"/>
            <w:gridSpan w:val="4"/>
          </w:tcPr>
          <w:p>
            <w:pPr>
              <w:ind w:left="20"/>
              <w:spacing w:after="0"/>
              <w:rPr>
                <w:sz w:val="20"/>
                <w:szCs w:val="20"/>
                <w:color w:val="auto"/>
              </w:rPr>
            </w:pPr>
            <w:r>
              <w:rPr>
                <w:rFonts w:ascii="Arial" w:cs="Arial" w:eastAsia="Arial" w:hAnsi="Arial"/>
                <w:sz w:val="18"/>
                <w:szCs w:val="18"/>
                <w:color w:val="auto"/>
              </w:rPr>
              <w:t>Maintenance capital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29 %</w:t>
            </w:r>
          </w:p>
        </w:tc>
        <w:tc>
          <w:tcPr>
            <w:tcW w:w="12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466"/>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9"/>
          </w:tcPr>
          <w:p>
            <w:pPr>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4"/>
                <w:szCs w:val="24"/>
                <w:color w:val="auto"/>
              </w:rPr>
            </w:pPr>
          </w:p>
        </w:tc>
        <w:tc>
          <w:tcPr>
            <w:tcW w:w="100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9"/>
          </w:tcPr>
          <w:p>
            <w:pPr>
              <w:ind w:left="1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5"/>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46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Average Volumes</w:t>
            </w:r>
          </w:p>
        </w:tc>
        <w:tc>
          <w:tcPr>
            <w:tcW w:w="1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560" w:type="dxa"/>
            <w:vAlign w:val="bottom"/>
            <w:gridSpan w:val="4"/>
          </w:tcPr>
          <w:p>
            <w:pPr>
              <w:ind w:left="20"/>
              <w:spacing w:after="0" w:line="230" w:lineRule="exact"/>
              <w:rPr>
                <w:sz w:val="20"/>
                <w:szCs w:val="20"/>
                <w:color w:val="auto"/>
              </w:rPr>
            </w:pPr>
            <w:r>
              <w:rPr>
                <w:rFonts w:ascii="Arial" w:cs="Arial" w:eastAsia="Arial" w:hAnsi="Arial"/>
                <w:sz w:val="14"/>
                <w:szCs w:val="14"/>
                <w:b w:val="1"/>
                <w:bCs w:val="1"/>
                <w:color w:val="auto"/>
              </w:rPr>
              <w:t>(in thousands of barrels per day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23"/>
                <w:szCs w:val="23"/>
                <w:b w:val="1"/>
                <w:bCs w:val="1"/>
                <w:color w:val="auto"/>
                <w:vertAlign w:val="superscript"/>
              </w:rPr>
              <w:t>(4)</w:t>
            </w:r>
          </w:p>
        </w:tc>
        <w:tc>
          <w:tcPr>
            <w:tcW w:w="120" w:type="dxa"/>
            <w:vAlign w:val="bottom"/>
          </w:tcPr>
          <w:p>
            <w:pPr>
              <w:spacing w:after="0"/>
              <w:rPr>
                <w:sz w:val="19"/>
                <w:szCs w:val="19"/>
                <w:color w:val="auto"/>
              </w:rPr>
            </w:pPr>
          </w:p>
        </w:tc>
        <w:tc>
          <w:tcPr>
            <w:tcW w:w="60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6"/>
          </w:tcPr>
          <w:p>
            <w:pPr>
              <w:ind w:left="80"/>
              <w:spacing w:after="0"/>
              <w:rPr>
                <w:sz w:val="20"/>
                <w:szCs w:val="20"/>
                <w:color w:val="auto"/>
              </w:rPr>
            </w:pPr>
            <w:r>
              <w:rPr>
                <w:rFonts w:ascii="Arial" w:cs="Arial" w:eastAsia="Arial" w:hAnsi="Arial"/>
                <w:sz w:val="14"/>
                <w:szCs w:val="14"/>
                <w:b w:val="1"/>
                <w:bCs w:val="1"/>
                <w:color w:val="auto"/>
              </w:rPr>
              <w:t>Volumes</w:t>
            </w:r>
          </w:p>
        </w:tc>
        <w:tc>
          <w:tcPr>
            <w:tcW w:w="600" w:type="dxa"/>
            <w:vAlign w:val="bottom"/>
          </w:tcPr>
          <w:p>
            <w:pPr>
              <w:jc w:val="right"/>
              <w:ind w:right="33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193"/>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Volumes</w:t>
            </w:r>
          </w:p>
        </w:tc>
        <w:tc>
          <w:tcPr>
            <w:tcW w:w="620" w:type="dxa"/>
            <w:vAlign w:val="bottom"/>
          </w:tcPr>
          <w:p>
            <w:pPr>
              <w:jc w:val="right"/>
              <w:ind w:right="3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NGL fractionation</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129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3"/>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NGL pipeline tariff</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NGL sales</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ind w:left="20" w:right="48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62" w:lineRule="exact"/>
        <w:rPr>
          <w:sz w:val="20"/>
          <w:szCs w:val="20"/>
          <w:color w:val="auto"/>
        </w:rPr>
      </w:pPr>
    </w:p>
    <w:p>
      <w:pPr>
        <w:ind w:left="20" w:right="360" w:hanging="11"/>
        <w:spacing w:after="0" w:line="277" w:lineRule="auto"/>
        <w:rPr>
          <w:sz w:val="20"/>
          <w:szCs w:val="20"/>
          <w:color w:val="auto"/>
        </w:rPr>
      </w:pPr>
      <w:r>
        <w:rPr>
          <w:rFonts w:ascii="Arial" w:cs="Arial" w:eastAsia="Arial" w:hAnsi="Arial"/>
          <w:sz w:val="18"/>
          <w:szCs w:val="18"/>
          <w:color w:val="auto"/>
        </w:rPr>
        <w:t>Average daily volumes are calculated as total volumes (attributable to our interest for pipelines and facilities in which we have undivided joint interests) for the period divided by the number of days in the period.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Segment Adjusted EBITDA</w:t>
      </w:r>
    </w:p>
    <w:p>
      <w:pPr>
        <w:spacing w:after="0" w:line="25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NGL Segment Adjusted EBITDA increased for the three and six months ended June 30, 2022 compared to the same periods in 2021 primarily due to the favorable impact of higher realized fractionation spreads between the price of natural gas and the extracted NGL (“frac spreads”) and higher NGL sales prices.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variances in the components of Segment Adjusted EBITDA are discussed in more detail below.</w:t>
      </w:r>
    </w:p>
    <w:p>
      <w:pPr>
        <w:spacing w:after="0" w:line="25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from our NGL activities increased for the three and six months ended June 30, 2022 compared to the same periods in</w:t>
      </w:r>
      <w:r>
        <w:rPr>
          <w:rFonts w:ascii="Arial" w:cs="Arial" w:eastAsia="Arial" w:hAnsi="Arial"/>
          <w:sz w:val="17"/>
          <w:szCs w:val="17"/>
          <w:i w:val="1"/>
          <w:iCs w:val="1"/>
          <w:color w:val="auto"/>
        </w:rPr>
        <w:t xml:space="preserve"> </w:t>
      </w:r>
      <w:r>
        <w:rPr>
          <w:rFonts w:ascii="Arial" w:cs="Arial" w:eastAsia="Arial" w:hAnsi="Arial"/>
          <w:sz w:val="17"/>
          <w:szCs w:val="17"/>
          <w:color w:val="auto"/>
        </w:rPr>
        <w:t>2021 primarily due to higher realized frac spreads and higher NGL sales prices, partially offset by lower NGL sales volumes due to a reduction in lower margin hub activity. Additionally, net revenues for the 2022 periods compared to 2021 include the benefit of our increased ownership in the Empress straddle plants effective June 2021 and higher product gains at certain of our NGL storage and fractionation facilities.</w:t>
      </w:r>
    </w:p>
    <w:p>
      <w:pPr>
        <w:spacing w:after="0" w:line="19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for the three and six months ended June 30, 2022 compared to the same periods in</w:t>
      </w:r>
      <w:r>
        <w:rPr>
          <w:rFonts w:ascii="Arial" w:cs="Arial" w:eastAsia="Arial" w:hAnsi="Arial"/>
          <w:sz w:val="17"/>
          <w:szCs w:val="17"/>
          <w:i w:val="1"/>
          <w:iCs w:val="1"/>
          <w:color w:val="auto"/>
        </w:rPr>
        <w:t xml:space="preserve"> </w:t>
      </w:r>
      <w:r>
        <w:rPr>
          <w:rFonts w:ascii="Arial" w:cs="Arial" w:eastAsia="Arial" w:hAnsi="Arial"/>
          <w:sz w:val="17"/>
          <w:szCs w:val="17"/>
          <w:color w:val="auto"/>
        </w:rPr>
        <w:t>2021 was primarily due to increased power-related costs associated with (i) our increased ownership in the Empress straddle plants, (ii) higher prices in the 2022 periods, and (iii) a reduction in unrealized mark-to-market gains in the second quarter of 2022 (which impact our field operating costs but are excluded from Segment Adjusted EBITDA and thus are reflected as an “Adjustment” in the table above).</w:t>
      </w:r>
    </w:p>
    <w:p>
      <w:pPr>
        <w:spacing w:after="0" w:line="19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Maintenance Capital</w:t>
      </w:r>
      <w:r>
        <w:rPr>
          <w:rFonts w:ascii="Arial" w:cs="Arial" w:eastAsia="Arial" w:hAnsi="Arial"/>
          <w:sz w:val="18"/>
          <w:szCs w:val="18"/>
          <w:color w:val="auto"/>
        </w:rPr>
        <w:t>. The increase in maintenance capital spending for the three and six months ended June 30, 2022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2021 was primarily due to timing of scheduled projects.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and (ii) borrowings under PAA’s credit facilities or the PAA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long-term debt and (v) distributions to our Class A shareholders and noncontrolling interests. In addition, we may use cash for repurchases of common equity.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investment capital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19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As of June 30, 2022, although we had a working capital deficit of $212 million, we had approximately $2.8 billion of liquidity available to meet our ongoing operating, investing and financing needs, subject to continued covenant compliance, as noted below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635"/>
              <w:spacing w:after="0"/>
              <w:rPr>
                <w:sz w:val="20"/>
                <w:szCs w:val="20"/>
                <w:color w:val="auto"/>
              </w:rPr>
            </w:pPr>
            <w:r>
              <w:rPr>
                <w:rFonts w:ascii="Arial" w:cs="Arial" w:eastAsia="Arial" w:hAnsi="Arial"/>
                <w:sz w:val="14"/>
                <w:szCs w:val="14"/>
                <w:b w:val="1"/>
                <w:bCs w:val="1"/>
                <w:color w:val="auto"/>
              </w:rPr>
              <w:t>As of</w:t>
            </w:r>
          </w:p>
        </w:tc>
      </w:tr>
      <w:tr>
        <w:trPr>
          <w:trHeight w:val="188"/>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5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June 30, 2022</w:t>
            </w:r>
          </w:p>
        </w:tc>
      </w:tr>
      <w:tr>
        <w:trPr>
          <w:trHeight w:val="224"/>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 (2)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30"/>
        </w:trPr>
        <w:tc>
          <w:tcPr>
            <w:tcW w:w="20" w:type="dxa"/>
            <w:vAlign w:val="bottom"/>
          </w:tcPr>
          <w:p>
            <w:pPr>
              <w:spacing w:after="0"/>
              <w:rPr>
                <w:sz w:val="19"/>
                <w:szCs w:val="19"/>
                <w:color w:val="auto"/>
              </w:rPr>
            </w:pPr>
          </w:p>
        </w:tc>
        <w:tc>
          <w:tcPr>
            <w:tcW w:w="9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 (2)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1,345</w:t>
            </w:r>
          </w:p>
        </w:tc>
      </w:tr>
      <w:tr>
        <w:trPr>
          <w:trHeight w:val="229"/>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outstanding under PAA commercial paper program</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20" w:type="dxa"/>
            <w:vAlign w:val="bottom"/>
          </w:tcPr>
          <w:p>
            <w:pPr>
              <w:spacing w:after="0"/>
              <w:rPr>
                <w:sz w:val="19"/>
                <w:szCs w:val="19"/>
                <w:color w:val="auto"/>
              </w:rPr>
            </w:pPr>
          </w:p>
        </w:tc>
        <w:tc>
          <w:tcPr>
            <w:tcW w:w="9500" w:type="dxa"/>
            <w:vAlign w:val="bottom"/>
            <w:gridSpan w:val="2"/>
          </w:tcPr>
          <w:p>
            <w:pPr>
              <w:ind w:left="140"/>
              <w:spacing w:after="0"/>
              <w:rPr>
                <w:sz w:val="20"/>
                <w:szCs w:val="20"/>
                <w:color w:val="auto"/>
              </w:rPr>
            </w:pPr>
            <w:r>
              <w:rPr>
                <w:rFonts w:ascii="Arial" w:cs="Arial" w:eastAsia="Arial" w:hAnsi="Arial"/>
                <w:sz w:val="18"/>
                <w:szCs w:val="18"/>
                <w:color w:val="auto"/>
              </w:rPr>
              <w:t>Subtotal</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29"/>
        </w:trPr>
        <w:tc>
          <w:tcPr>
            <w:tcW w:w="20" w:type="dxa"/>
            <w:vAlign w:val="bottom"/>
          </w:tcPr>
          <w:p>
            <w:pPr>
              <w:spacing w:after="0"/>
              <w:rPr>
                <w:sz w:val="19"/>
                <w:szCs w:val="19"/>
                <w:color w:val="auto"/>
              </w:rPr>
            </w:pPr>
          </w:p>
        </w:tc>
        <w:tc>
          <w:tcPr>
            <w:tcW w:w="9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3"/>
        </w:trPr>
        <w:tc>
          <w:tcPr>
            <w:tcW w:w="20" w:type="dxa"/>
            <w:vAlign w:val="bottom"/>
          </w:tcPr>
          <w:p>
            <w:pPr>
              <w:spacing w:after="0"/>
              <w:rPr>
                <w:sz w:val="19"/>
                <w:szCs w:val="19"/>
                <w:color w:val="auto"/>
              </w:rPr>
            </w:pPr>
          </w:p>
        </w:tc>
        <w:tc>
          <w:tcPr>
            <w:tcW w:w="95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5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r>
    </w:tbl>
    <w:p>
      <w:pPr>
        <w:spacing w:after="0" w:line="121" w:lineRule="exact"/>
        <w:rPr>
          <w:sz w:val="20"/>
          <w:szCs w:val="20"/>
          <w:color w:val="auto"/>
        </w:rPr>
      </w:pPr>
    </w:p>
    <w:p>
      <w:pPr>
        <w:ind w:left="660" w:right="640" w:hanging="652"/>
        <w:spacing w:after="0" w:line="227" w:lineRule="auto"/>
        <w:tabs>
          <w:tab w:leader="none" w:pos="64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Represents availability prior to giving effect to borrowings outstanding under the PAA commercial paper program, which reduce available capacity under the facilities.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100" w:hanging="652"/>
        <w:spacing w:after="0" w:line="227" w:lineRule="auto"/>
        <w:tabs>
          <w:tab w:leader="none" w:pos="64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$29 million and $5 million, respectively.</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Usage of PAA’s credit facilities, and, in turn, its commercial paper program, is subject to ongoing compliance with covenants. The credit agreements for PAA’s revolving credit facilities (which impact PAA’s ability to access its commercial paper program because they provide the financial backstop that supports its short-term credit ratings) and the indentures governing its senior notes contain cross-default provisions. A default under PAA’s credit agreements or indentures would permit the lenders to accelerate the maturity of the outstanding debt. Additionally, lack of compliance with the provisions in PAA’s credit agreements may restrict its ability to make distributions of available cash. PAA was in compliance with the covenants contained in its credit agreements and indentures as of June 30, 2022.</w:t>
      </w:r>
    </w:p>
    <w:p>
      <w:pPr>
        <w:spacing w:after="0" w:line="21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2021 Annual Report on Form 10-K for further discussion regarding risks that may impact our liquidity and capital resources.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2021 Annual Report on Form 10-K.</w:t>
      </w:r>
    </w:p>
    <w:p>
      <w:pPr>
        <w:spacing w:after="0" w:line="18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Net cash provided by operating activities for the first six months of 2022 and 2021 was $1.129 billion and $1.023 billion, respectively, and primarily resulted from earnings from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spacing w:after="0" w:line="236"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 capital</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21" w:lineRule="exact"/>
        <w:rPr>
          <w:sz w:val="20"/>
          <w:szCs w:val="20"/>
          <w:color w:val="auto"/>
        </w:rPr>
      </w:pPr>
    </w:p>
    <w:p>
      <w:pPr>
        <w:jc w:val="both"/>
        <w:ind w:left="660" w:right="260" w:hanging="652"/>
        <w:spacing w:after="0" w:line="234" w:lineRule="auto"/>
        <w:tabs>
          <w:tab w:leader="none" w:pos="64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94" w:lineRule="exact"/>
        <w:rPr>
          <w:rFonts w:ascii="Arial" w:cs="Arial" w:eastAsia="Arial" w:hAnsi="Arial"/>
          <w:sz w:val="23"/>
          <w:szCs w:val="23"/>
          <w:color w:val="auto"/>
          <w:vertAlign w:val="superscript"/>
        </w:rPr>
      </w:pPr>
    </w:p>
    <w:p>
      <w:pPr>
        <w:ind w:left="660" w:right="240" w:hanging="652"/>
        <w:spacing w:after="0" w:line="227" w:lineRule="auto"/>
        <w:tabs>
          <w:tab w:leader="none" w:pos="64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Includes contributions to unconsolidated entities, accounted for under the equity method of accounting, related to investment capital projects by such entities.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2022 Investment and Maintenance Capital. </w:t>
      </w:r>
      <w:r>
        <w:rPr>
          <w:rFonts w:ascii="Arial" w:cs="Arial" w:eastAsia="Arial" w:hAnsi="Arial"/>
          <w:sz w:val="17"/>
          <w:szCs w:val="17"/>
          <w:color w:val="auto"/>
        </w:rPr>
        <w:t>Total investment capital for the year ended December 31, 2022 is projected to be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$330 million ($275 million net to our interest). Approximately half of our projected investment capital expenditures are expected to be invested in the Permian JV assets. Additionally, maintenance capital for the full year of 2022 is projected to be $220 million ($210 million net to our interest). We expect to fund our 2022 investment and maintenance capital expenditures primarily with retained cash flow.</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Proceeds from the sale of assets have generally been used to fund our investment capital projects and reduce debt levels. The following table summarizes the proceeds received during the first six months of 2022 and 2021 from sales of assets (in millions):</w:t>
      </w:r>
    </w:p>
    <w:p>
      <w:pPr>
        <w:spacing w:after="0" w:line="219"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Six Months Ended</w:t>
      </w:r>
    </w:p>
    <w:p>
      <w:pPr>
        <w:jc w:val="center"/>
        <w:ind w:left="82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40"/>
        <w:spacing w:after="0"/>
        <w:tabs>
          <w:tab w:leader="none" w:pos="8260" w:val="left"/>
          <w:tab w:leader="none" w:pos="9420" w:val="left"/>
          <w:tab w:leader="none" w:pos="9800" w:val="left"/>
          <w:tab w:leader="none" w:pos="10960" w:val="left"/>
        </w:tabs>
        <w:rPr>
          <w:sz w:val="20"/>
          <w:szCs w:val="20"/>
          <w:color w:val="auto"/>
        </w:rPr>
      </w:pPr>
      <w:r>
        <w:rPr>
          <w:rFonts w:ascii="Arial" w:cs="Arial" w:eastAsia="Arial" w:hAnsi="Arial"/>
          <w:sz w:val="18"/>
          <w:szCs w:val="18"/>
          <w:color w:val="auto"/>
        </w:rPr>
        <w:t xml:space="preserve">Proceeds from divestitures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w:t>
        <w:tab/>
        <w:t>$</w:t>
      </w:r>
      <w:r>
        <w:rPr>
          <w:sz w:val="20"/>
          <w:szCs w:val="20"/>
          <w:color w:val="auto"/>
        </w:rPr>
        <w:tab/>
      </w: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24599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27"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Represents proceeds, including working capital adjustments, net of transaction costs.</w:t>
      </w:r>
    </w:p>
    <w:p>
      <w:pPr>
        <w:spacing w:after="0" w:line="27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are continuously engaged in the evaluation of potential transactions that support our current business strategy. In the past, such transactions have included the sale on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spacing w:after="0" w:line="18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Business—Divestitures and acquisitions involve risks that may adversely affect our business” included in our 2021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Borrowings and Repayments Under Credit Arrangements</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six months ended June 30, 2022, we had net borrowings under the PAA credit facilities and commercial paper program of approximately $115 million. The net borrowings resulted primarily from borrowings during the period related to funding needs for capital investments, inventory purchases, senior notes repayments and other general partnership purposes, partially offset by cash flow from operating activities and proceeds from asset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During the six months ended June 30, 2021, we had net repayments on the PAA credit facilities and commercial paper program of $326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Repayment of Senior Notes</w:t>
      </w:r>
    </w:p>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On March 1, 2022, PAA redeemed its 3.65%, $750 million senior notes due June 2022. PAA utilized cash on hand and borrowings under its commercial paper program to repay these senior notes.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Equity Repurchase Program</w:t>
      </w:r>
    </w:p>
    <w:p>
      <w:pPr>
        <w:spacing w:after="0" w:line="25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PAA repurchased 7.3 million and 5.3 million common units under the Program through open market purchases that settled during the six months ended June 30, 2022 and 2021, respectively, for a total purchase price of $74 million and $53 million, respectively, including commissions and fees. At June 30, 2022, the remaining available capacity under the Program was $198 million.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5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i w:val="1"/>
          <w:iCs w:val="1"/>
          <w:color w:val="auto"/>
        </w:rPr>
        <w:t xml:space="preserve">PAGP Registration Statements. </w:t>
      </w:r>
      <w:r>
        <w:rPr>
          <w:rFonts w:ascii="Arial" w:cs="Arial" w:eastAsia="Arial" w:hAnsi="Arial"/>
          <w:sz w:val="17"/>
          <w:szCs w:val="17"/>
          <w:color w:val="auto"/>
        </w:rPr>
        <w:t>We have filed with the SEC a shelf registration statement that, subject to effectiveness at the time of use, allows us</w:t>
      </w:r>
      <w:r>
        <w:rPr>
          <w:rFonts w:ascii="Arial" w:cs="Arial" w:eastAsia="Arial" w:hAnsi="Arial"/>
          <w:sz w:val="17"/>
          <w:szCs w:val="17"/>
          <w:i w:val="1"/>
          <w:iCs w:val="1"/>
          <w:color w:val="auto"/>
        </w:rPr>
        <w:t xml:space="preserve"> </w:t>
      </w:r>
      <w:r>
        <w:rPr>
          <w:rFonts w:ascii="Arial" w:cs="Arial" w:eastAsia="Arial" w:hAnsi="Arial"/>
          <w:sz w:val="17"/>
          <w:szCs w:val="17"/>
          <w:color w:val="auto"/>
        </w:rPr>
        <w:t>to issue, in the aggregate, up to a specified amount of equity securities (the “PAGP Traditional Shelf”), under which we had approximately $939 million of unsold securities available at June 30, 2022. We also have access to a shelf registration statement (the “PAGP WKSI Shelf”), which provides us with the ability to offer and sell an unlimited amount of equity securities, subject to market conditions and capital needs. We did not conduct any offerings under the PAGP Traditional Shelf or the PAGP WKSI Shelf during the six months ended June 30, 2022.</w:t>
      </w:r>
    </w:p>
    <w:p>
      <w:pPr>
        <w:spacing w:after="0" w:line="20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in the aggregate, up to a specified amount of debt or equity securities (the “PAA Traditional Shelf”), under which PAA had approximately $1.1 billion of unsold securities available at June 30, 2022. PAA also has access to a universal shelf registration statement (the “PAA WKSI Shelf”), which provides it with the ability to offer and sell an unlimited amount of debt and equity securities, subject to market conditions and capital needs. PAA did not conduct any offerings under the PAA Traditional Shelf or the PAA WKSI Shelf during the six months ended June 30, 2022.</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distribute all of our available cash within 55 days following the end of each quarter to Class A shareholders of record.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shareholders. See Item 5. “Market for Registrant’s Shares, Related Shareholder Matters and Issuer Purchases of Equity Securities—Cash Distribution Policy” included in our 2021 Annual Report on Form 10-K for additional discussion.</w:t>
      </w:r>
    </w:p>
    <w:p>
      <w:pPr>
        <w:spacing w:after="0" w:line="205"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On August 12, 2022, we will pay a quarterly cash distribution of $0.2175 per Class A share ($0.87 per share on an annualized basis) to shareholders of record at the close of business on July 29, 2022 for the period from April 1, 2022 through June 30, 2022, which is unchanged from the distribution per share paid in May of 2022.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7 to our Condensed Consolidated Financial Statements for details of distributions paid during or pertaining to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Distributions to noncontrolling interests represent amounts paid on interests in consolidated entities that are not owned by us. As of June 30, 2022, noncontrolling interests in our subsidiaries consisted of (i) limited partner interests in PAA including a 69% interest in PAA’s common units and PAA’s Series A preferred units combined and 100% of PAA’s Series B preferred units, (ii) an approximate 19% limited partner interest in AAP, (iii) a 35% interest in the Permian JV and (iv) a 33% interest in Red River LLC.</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August 12, 2022, PAA will pay a quarterly cash distribution of $0.2175 per common unit ($0.87 per unit on an annualized basis) to unitholders of record at the close of business on July 29, 2022 for the period from April 1, 2022 through June 30, 2022, which is unchanged from the distribution per unit paid in May of 2022.</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7 to our Condensed Consolidated Financial Statements for details of distributions paid to noncontrolling interests during the six months ended June 30,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Purchase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12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June 30, 2022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Remainder of</w:t>
            </w: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8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2027 and</w:t>
            </w:r>
          </w:p>
        </w:tc>
        <w:tc>
          <w:tcPr>
            <w:tcW w:w="240" w:type="dxa"/>
            <w:vAlign w:val="bottom"/>
          </w:tcPr>
          <w:p>
            <w:pPr>
              <w:spacing w:after="0"/>
              <w:rPr>
                <w:sz w:val="14"/>
                <w:szCs w:val="14"/>
                <w:color w:val="auto"/>
              </w:rPr>
            </w:pP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Thereafter</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2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26,076</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24,981</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23,556</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22,154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67,795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8"/>
              </w:rPr>
              <w:t>179,724</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40" w:hanging="652"/>
        <w:spacing w:after="0" w:line="249" w:lineRule="auto"/>
        <w:tabs>
          <w:tab w:leader="none" w:pos="648" w:val="left"/>
        </w:tabs>
        <w:numPr>
          <w:ilvl w:val="0"/>
          <w:numId w:val="33"/>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June 2022.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77"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merchant activities, we provide certain suppliers with irrevocable standby letters of credit to secure our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for the purchase and transportation of crude oil, NGL and natural gas. Additionally, we issue letters of credit to support insurance programs, derivative transactions, including hedging-related margin obligations, and construction activities. At June 30, 2022 and December 31, 2021, we had outstanding letters of credit of approximately $34 million and $98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i w:val="1"/>
          <w:iCs w:val="1"/>
          <w:color w:val="auto"/>
        </w:rPr>
      </w:pPr>
      <w:r>
        <w:rPr>
          <w:rFonts w:ascii="Arial" w:cs="Arial" w:eastAsia="Arial" w:hAnsi="Arial"/>
          <w:sz w:val="18"/>
          <w:szCs w:val="18"/>
          <w:color w:val="auto"/>
        </w:rPr>
        <w:t>our ability to pay distributions to our Class A shareholders;</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117" w:lineRule="exact"/>
        <w:rPr>
          <w:rFonts w:ascii="Arial" w:cs="Arial" w:eastAsia="Arial" w:hAnsi="Arial"/>
          <w:sz w:val="18"/>
          <w:szCs w:val="18"/>
          <w:color w:val="auto"/>
        </w:rPr>
      </w:pPr>
    </w:p>
    <w:p>
      <w:pPr>
        <w:jc w:val="both"/>
        <w:ind w:left="980" w:right="400" w:hanging="324"/>
        <w:spacing w:after="0" w:line="301" w:lineRule="auto"/>
        <w:tabs>
          <w:tab w:leader="none" w:pos="9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49" w:lineRule="exact"/>
        <w:rPr>
          <w:rFonts w:ascii="Arial" w:cs="Arial" w:eastAsia="Arial" w:hAnsi="Arial"/>
          <w:sz w:val="16"/>
          <w:szCs w:val="16"/>
          <w:color w:val="auto"/>
        </w:rPr>
      </w:pPr>
    </w:p>
    <w:p>
      <w:pPr>
        <w:ind w:left="980" w:right="60" w:hanging="324"/>
        <w:spacing w:after="0" w:line="293" w:lineRule="auto"/>
        <w:tabs>
          <w:tab w:leader="none" w:pos="9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declines in global crude oil demand and crude oil prices (whether due to the COVID-19 pandemic, future pandemics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56" w:lineRule="exact"/>
        <w:rPr>
          <w:rFonts w:ascii="Arial" w:cs="Arial" w:eastAsia="Arial" w:hAnsi="Arial"/>
          <w:sz w:val="16"/>
          <w:szCs w:val="16"/>
          <w:color w:val="auto"/>
        </w:rPr>
      </w:pPr>
    </w:p>
    <w:p>
      <w:pPr>
        <w:ind w:left="980" w:right="40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980" w:right="400" w:hanging="324"/>
        <w:spacing w:after="0" w:line="263"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75" w:lineRule="exact"/>
        <w:rPr>
          <w:rFonts w:ascii="Arial" w:cs="Arial" w:eastAsia="Arial" w:hAnsi="Arial"/>
          <w:sz w:val="18"/>
          <w:szCs w:val="18"/>
          <w:color w:val="auto"/>
        </w:rPr>
      </w:pPr>
    </w:p>
    <w:p>
      <w:pPr>
        <w:ind w:left="980" w:right="360" w:hanging="324"/>
        <w:spacing w:after="0" w:line="342" w:lineRule="auto"/>
        <w:tabs>
          <w:tab w:leader="none" w:pos="9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environmental liabilities, litigation or other events that are not covered by an indemnity, insurance or existing reserves;</w:t>
      </w:r>
    </w:p>
    <w:p>
      <w:pPr>
        <w:spacing w:after="0" w:line="117"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hanging="324"/>
        <w:spacing w:after="0" w:line="259"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key personnel and inability to attract and retain new talent;</w:t>
      </w:r>
    </w:p>
    <w:p>
      <w:pPr>
        <w:spacing w:after="0" w:line="117"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980" w:right="80" w:hanging="324"/>
        <w:spacing w:after="0" w:line="263"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75" w:lineRule="exact"/>
        <w:rPr>
          <w:rFonts w:ascii="Arial" w:cs="Arial" w:eastAsia="Arial" w:hAnsi="Arial"/>
          <w:sz w:val="18"/>
          <w:szCs w:val="18"/>
          <w:color w:val="auto"/>
        </w:rPr>
      </w:pPr>
    </w:p>
    <w:p>
      <w:pPr>
        <w:ind w:left="980" w:hanging="324"/>
        <w:spacing w:after="0" w:line="308" w:lineRule="auto"/>
        <w:tabs>
          <w:tab w:leader="none" w:pos="97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right="340" w:hanging="324"/>
        <w:spacing w:after="0" w:line="25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Arial" w:cs="Arial" w:eastAsia="Arial" w:hAnsi="Arial"/>
          <w:sz w:val="18"/>
          <w:szCs w:val="18"/>
          <w:color w:val="auto"/>
        </w:rPr>
      </w:pPr>
    </w:p>
    <w:p>
      <w:pPr>
        <w:ind w:left="980" w:right="80" w:hanging="324"/>
        <w:spacing w:after="0" w:line="263"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8" w:lineRule="exact"/>
        <w:rPr>
          <w:rFonts w:ascii="Arial" w:cs="Arial" w:eastAsia="Arial" w:hAnsi="Arial"/>
          <w:sz w:val="17"/>
          <w:szCs w:val="17"/>
          <w:color w:val="auto"/>
        </w:rPr>
      </w:pPr>
    </w:p>
    <w:p>
      <w:pPr>
        <w:ind w:left="980" w:right="4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97"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2021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22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spacing w:after="0" w:line="183" w:lineRule="exact"/>
        <w:rPr>
          <w:rFonts w:ascii="Arial" w:cs="Arial" w:eastAsia="Arial" w:hAnsi="Arial"/>
          <w:sz w:val="18"/>
          <w:szCs w:val="18"/>
          <w:i w:val="1"/>
          <w:iCs w:val="1"/>
          <w:color w:val="auto"/>
        </w:rPr>
      </w:pPr>
    </w:p>
    <w:p>
      <w:pPr>
        <w:ind w:left="980" w:hanging="324"/>
        <w:spacing w:after="0"/>
        <w:tabs>
          <w:tab w:leader="none" w:pos="98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right="1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spacing w:after="0" w:line="186" w:lineRule="exact"/>
        <w:rPr>
          <w:rFonts w:ascii="Arial" w:cs="Arial" w:eastAsia="Arial" w:hAnsi="Arial"/>
          <w:sz w:val="18"/>
          <w:szCs w:val="18"/>
          <w:i w:val="1"/>
          <w:iCs w:val="1"/>
          <w:color w:val="auto"/>
        </w:rPr>
      </w:pPr>
    </w:p>
    <w:p>
      <w:pPr>
        <w:ind w:left="980" w:hanging="324"/>
        <w:spacing w:after="0"/>
        <w:tabs>
          <w:tab w:leader="none" w:pos="98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52" w:lineRule="exact"/>
        <w:rPr>
          <w:rFonts w:ascii="Arial" w:cs="Arial" w:eastAsia="Arial" w:hAnsi="Arial"/>
          <w:sz w:val="18"/>
          <w:szCs w:val="18"/>
          <w:i w:val="1"/>
          <w:iCs w:val="1"/>
          <w:color w:val="auto"/>
        </w:rPr>
      </w:pPr>
    </w:p>
    <w:p>
      <w:pPr>
        <w:ind w:left="980" w:right="14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8 to our Condensed Consolidated Financial Statements for further discussion regarding our hedging strategies and objectives.</w:t>
      </w:r>
    </w:p>
    <w:p>
      <w:pPr>
        <w:spacing w:after="0" w:line="26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June 30, 2022 that would be expected from a 10% price increase or decrease is shown in the table below (in millions):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40" w:type="dxa"/>
            <w:vAlign w:val="bottom"/>
          </w:tcPr>
          <w:p>
            <w:pPr>
              <w:jc w:val="right"/>
              <w:ind w:right="19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40" w:type="dxa"/>
            <w:vAlign w:val="bottom"/>
          </w:tcPr>
          <w:p>
            <w:pPr>
              <w:jc w:val="right"/>
              <w:ind w:right="177"/>
              <w:spacing w:after="0"/>
              <w:rPr>
                <w:sz w:val="20"/>
                <w:szCs w:val="20"/>
                <w:color w:val="auto"/>
              </w:rPr>
            </w:pPr>
            <w:r>
              <w:rPr>
                <w:rFonts w:ascii="Arial" w:cs="Arial" w:eastAsia="Arial" w:hAnsi="Arial"/>
                <w:sz w:val="14"/>
                <w:szCs w:val="14"/>
                <w:b w:val="1"/>
                <w:bCs w:val="1"/>
                <w:color w:val="auto"/>
                <w:w w:val="95"/>
              </w:rPr>
              <w:t>Price Decrease</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fair value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June 30, 2022, approximately $115 million, was subject to interest rate re-sets that generally range from one day to approximately one week. The average interest rate on variable rate debt that was outstanding during the three months ended June 30, 2022 was 1.2%, based upon rates in effect during such period. The fair value of our interest rate derivatives was a net asset of $136 million as of June 30, 2022. A 10% increase in the forward LIBOR curve as of June 30, 2022 would have resulted in an increase of $22 million to the fair value of our interest rate derivatives. A 10% decrease in the forward LIBOR curve as of June 30, 2022 would have resulted in a decrease of $22 million to the fair value of our interest rate derivatives. See Note 8 to our Condensed Consolidated Financial Statements for a discussion of our interest rate risk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United States treasury rates, default probabilities and timing estimates to ultimately calculate the fair value of PAA’s Series A preferred units with and without the Preferred Distribution Rate Reset Option. The fair value of this embedded derivative was a liability of $147 million as of June 30, 2022. A 10% increase or decrease in the fair value would have an impact of $15 million. See Note 8 to our Condensed Consolidated Financial Statements for a discussion of embedded derivatives.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June 30, 2022,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second quarter of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10 to our Condensed Consolidated Financial Statements, and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For a discussion of our risk factors, see Item 1A. of our 2021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Exhibit No.</w:t>
            </w: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gridSpan w:val="26"/>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28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7"/>
              </w:rPr>
            </w:pPr>
            <w:hyperlink r:id="rId74">
              <w:r>
                <w:rPr>
                  <w:rFonts w:ascii="Arial" w:cs="Arial" w:eastAsia="Arial" w:hAnsi="Arial"/>
                  <w:sz w:val="18"/>
                  <w:szCs w:val="18"/>
                  <w:color w:val="0000FF"/>
                  <w:w w:val="97"/>
                </w:rPr>
                <w:t>Certificate of Limited Partnership of Plains GP Holdings, L.P. (incorporated by reference to Exhibit 3.1 to our Registration</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Statement on Form S-1 (333-190227) filed July 29, 2013).</w:t>
              </w:r>
            </w:hyperlink>
          </w:p>
        </w:tc>
        <w:tc>
          <w:tcPr>
            <w:tcW w:w="46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2"/>
              </w:rPr>
            </w:pPr>
            <w:hyperlink r:id="rId75">
              <w:r>
                <w:rPr>
                  <w:rFonts w:ascii="Arial" w:cs="Arial" w:eastAsia="Arial" w:hAnsi="Arial"/>
                  <w:sz w:val="18"/>
                  <w:szCs w:val="18"/>
                  <w:color w:val="0000FF"/>
                  <w:w w:val="92"/>
                </w:rPr>
                <w:t>Second Amended and Restated Agreement of Limited Partnership of Plains GP Holdings, L.P. dated as of November 15, 2016</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(incorporated by reference to Exhibit 3.2 to our Current Report on Form 8-K filed November 21,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4"/>
              </w:rPr>
            </w:pPr>
            <w:hyperlink r:id="rId76">
              <w:r>
                <w:rPr>
                  <w:rFonts w:ascii="Arial" w:cs="Arial" w:eastAsia="Arial" w:hAnsi="Arial"/>
                  <w:sz w:val="18"/>
                  <w:szCs w:val="18"/>
                  <w:color w:val="0000FF"/>
                  <w:w w:val="94"/>
                </w:rPr>
                <w:t>Amendment No. 1 dated April 6, 2020 to the Second Amended and Restated Agreement of Limited Partnership of Plains GP</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Holdings, L.P. (incorporated by reference to Exhibit 3.1 to our Current Report on Form 8-K filed April 9,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5"/>
              </w:rPr>
            </w:pPr>
            <w:hyperlink r:id="rId77">
              <w:r>
                <w:rPr>
                  <w:rFonts w:ascii="Arial" w:cs="Arial" w:eastAsia="Arial" w:hAnsi="Arial"/>
                  <w:sz w:val="18"/>
                  <w:szCs w:val="18"/>
                  <w:color w:val="0000FF"/>
                  <w:w w:val="95"/>
                </w:rPr>
                <w:t>Certificate of Formation of PAA GP Holdings LLC (incorporated by reference to Exhibit 3.3 to our Registration Statement on</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Form S-1 (333-190227) filed July 29, 2013).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080" w:type="dxa"/>
            <w:vAlign w:val="bottom"/>
            <w:tcBorders>
              <w:bottom w:val="single" w:sz="8" w:color="0000FF"/>
            </w:tcBorders>
            <w:gridSpan w:val="22"/>
          </w:tcPr>
          <w:p>
            <w:pPr>
              <w:spacing w:after="0"/>
              <w:rPr>
                <w:rFonts w:ascii="Arial" w:cs="Arial" w:eastAsia="Arial" w:hAnsi="Arial"/>
                <w:sz w:val="18"/>
                <w:szCs w:val="18"/>
                <w:color w:val="0000FF"/>
                <w:w w:val="92"/>
              </w:rPr>
            </w:pPr>
            <w:hyperlink r:id="rId78">
              <w:r>
                <w:rPr>
                  <w:rFonts w:ascii="Arial" w:cs="Arial" w:eastAsia="Arial" w:hAnsi="Arial"/>
                  <w:sz w:val="18"/>
                  <w:szCs w:val="18"/>
                  <w:color w:val="0000FF"/>
                  <w:w w:val="92"/>
                </w:rPr>
                <w:t>Fourth Amended and Restated Limited Liability Company Agreement of PAA GP Holdings LLC dated effective as of August</w:t>
              </w:r>
            </w:hyperlink>
          </w:p>
        </w:tc>
        <w:tc>
          <w:tcPr>
            <w:tcW w:w="280" w:type="dxa"/>
            <w:vAlign w:val="bottom"/>
            <w:gridSpan w:val="7"/>
          </w:tcPr>
          <w:p>
            <w:pPr>
              <w:spacing w:after="0"/>
              <w:rPr>
                <w:sz w:val="24"/>
                <w:szCs w:val="24"/>
                <w:color w:val="auto"/>
              </w:rPr>
            </w:pPr>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29"/>
          </w:tcPr>
          <w:p>
            <w:pPr>
              <w:spacing w:after="0" w:line="15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19, 2020 (incorporated by reference to Exhibit 3.11 to our Annual Report on Form 10-K for the year ended December 31, 2021).</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1"/>
              </w:rPr>
            </w:pPr>
            <w:hyperlink r:id="rId79">
              <w:r>
                <w:rPr>
                  <w:rFonts w:ascii="Arial" w:cs="Arial" w:eastAsia="Arial" w:hAnsi="Arial"/>
                  <w:sz w:val="18"/>
                  <w:szCs w:val="18"/>
                  <w:color w:val="0000FF"/>
                  <w:w w:val="91"/>
                </w:rPr>
                <w:t>Seventh Amended and Restated Agreement of Limited Partnership of Plains All American Pipeline, L.P., dated as of October 10,</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2017 (incorporated by reference to Exhibit 3.1 to PAA's Current Report on Form 8-K filed October 12, 2017).</w:t>
              </w:r>
            </w:hyperlink>
          </w:p>
        </w:tc>
        <w:tc>
          <w:tcPr>
            <w:tcW w:w="1380" w:type="dxa"/>
            <w:vAlign w:val="bottom"/>
            <w:tcBorders>
              <w:top w:val="single" w:sz="8" w:color="0000FF"/>
            </w:tcBorders>
            <w:gridSpan w:val="20"/>
          </w:tcPr>
          <w:p>
            <w:pPr>
              <w:spacing w:after="0"/>
              <w:rPr>
                <w:sz w:val="13"/>
                <w:szCs w:val="13"/>
                <w:color w:val="auto"/>
              </w:rPr>
            </w:pPr>
          </w:p>
        </w:tc>
        <w:tc>
          <w:tcPr>
            <w:tcW w:w="60" w:type="dxa"/>
            <w:vAlign w:val="bottom"/>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5"/>
              </w:rPr>
            </w:pPr>
            <w:hyperlink r:id="rId80">
              <w:r>
                <w:rPr>
                  <w:rFonts w:ascii="Arial" w:cs="Arial" w:eastAsia="Arial" w:hAnsi="Arial"/>
                  <w:sz w:val="18"/>
                  <w:szCs w:val="18"/>
                  <w:color w:val="0000FF"/>
                  <w:w w:val="95"/>
                </w:rPr>
                <w:t>Seventh Amended and Restated Limited Liability Company Agreement of Plains All American GP LLC dated November 15,</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2016 (incorporated by reference to Exhibit 3.3 to our Current Report on Form 8-K filed November 21, 2016).</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3"/>
              </w:rPr>
            </w:pPr>
            <w:hyperlink r:id="rId81">
              <w:r>
                <w:rPr>
                  <w:rFonts w:ascii="Arial" w:cs="Arial" w:eastAsia="Arial" w:hAnsi="Arial"/>
                  <w:sz w:val="18"/>
                  <w:szCs w:val="18"/>
                  <w:color w:val="0000FF"/>
                  <w:w w:val="93"/>
                </w:rPr>
                <w:t>Eighth Amended and Restated Limited Partnership Agreement of Plains AAP, L.P. dated November 15, 2016 (incorporated by</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reference to Exhibit 3.4 to our Current Report on Form 8-K filed November 21,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4"/>
              </w:rPr>
            </w:pPr>
            <w:hyperlink r:id="rId82">
              <w:r>
                <w:rPr>
                  <w:rFonts w:ascii="Arial" w:cs="Arial" w:eastAsia="Arial" w:hAnsi="Arial"/>
                  <w:sz w:val="18"/>
                  <w:szCs w:val="18"/>
                  <w:color w:val="0000FF"/>
                  <w:w w:val="94"/>
                </w:rPr>
                <w:t>Amendment No. 1 dated September 26, 2018 to the Eighth Amended and Restated Limited Partnership Agreement of Plains</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AAP, L.P. (incorporated by reference to Exhibit 3.1 to our Current Report on Form 8-K filed October 2, 2018).</w:t>
              </w:r>
            </w:hyperlink>
          </w:p>
        </w:tc>
        <w:tc>
          <w:tcPr>
            <w:tcW w:w="6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1"/>
              </w:rPr>
            </w:pPr>
            <w:hyperlink r:id="rId83">
              <w:r>
                <w:rPr>
                  <w:rFonts w:ascii="Arial" w:cs="Arial" w:eastAsia="Arial" w:hAnsi="Arial"/>
                  <w:sz w:val="18"/>
                  <w:szCs w:val="18"/>
                  <w:color w:val="0000FF"/>
                  <w:w w:val="91"/>
                </w:rPr>
                <w:t>Amendment No. 2 dated May 23, 2019 to the Eighth Amended and Restated Limited Partnership Agreement of Plains AAP, L.P.</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(incorporated by reference to Exhibit 3.1 to our Current Report on Form 8-K filed May 30, 2019).</w:t>
              </w:r>
            </w:hyperlink>
          </w:p>
        </w:tc>
        <w:tc>
          <w:tcPr>
            <w:tcW w:w="2200" w:type="dxa"/>
            <w:vAlign w:val="bottom"/>
            <w:tcBorders>
              <w:top w:val="single" w:sz="8" w:color="0000FF"/>
            </w:tcBorders>
            <w:gridSpan w:val="22"/>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4"/>
              </w:rPr>
            </w:pPr>
            <w:hyperlink r:id="rId84">
              <w:r>
                <w:rPr>
                  <w:rFonts w:ascii="Arial" w:cs="Arial" w:eastAsia="Arial" w:hAnsi="Arial"/>
                  <w:sz w:val="18"/>
                  <w:szCs w:val="18"/>
                  <w:color w:val="0000FF"/>
                  <w:w w:val="94"/>
                </w:rPr>
                <w:t>Limited Liability Company Agreement of PAA GP LLC dated December 28, 2007 (incorporated by reference to Exhibit 3.3 to</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PAA’s Current Report on Form 8-K filed January 4, 2008).</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7"/>
              </w:rPr>
            </w:pPr>
            <w:hyperlink r:id="rId85">
              <w:r>
                <w:rPr>
                  <w:rFonts w:ascii="Arial" w:cs="Arial" w:eastAsia="Arial" w:hAnsi="Arial"/>
                  <w:sz w:val="18"/>
                  <w:szCs w:val="18"/>
                  <w:color w:val="0000FF"/>
                  <w:w w:val="97"/>
                </w:rPr>
                <w:t>Indenture dated September 25, 2002 among Plains All American Pipeline, L.P., PAA Finance Corp. and Wachovia Bank,</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500" w:type="dxa"/>
            <w:vAlign w:val="bottom"/>
            <w:tcBorders>
              <w:right w:val="single" w:sz="8" w:color="0000FF"/>
            </w:tcBorders>
            <w:gridSpan w:val="9"/>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29"/>
          </w:tcPr>
          <w:p>
            <w:pPr>
              <w:spacing w:after="0" w:line="156" w:lineRule="exact"/>
              <w:rPr>
                <w:rFonts w:ascii="Arial" w:cs="Arial" w:eastAsia="Arial" w:hAnsi="Arial"/>
                <w:sz w:val="18"/>
                <w:szCs w:val="18"/>
                <w:color w:val="0000FF"/>
                <w:w w:val="97"/>
              </w:rPr>
            </w:pPr>
            <w:hyperlink r:id="rId85">
              <w:r>
                <w:rPr>
                  <w:rFonts w:ascii="Arial" w:cs="Arial" w:eastAsia="Arial" w:hAnsi="Arial"/>
                  <w:sz w:val="18"/>
                  <w:szCs w:val="18"/>
                  <w:color w:val="0000FF"/>
                  <w:w w:val="97"/>
                </w:rPr>
                <w:t>National Association, as trustee (incorporated by reference to Exhibit 4.1 to PAA’s Quarterly Report on Form 10-Q for the</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85">
              <w:r>
                <w:rPr>
                  <w:rFonts w:ascii="Arial" w:cs="Arial" w:eastAsia="Arial" w:hAnsi="Arial"/>
                  <w:sz w:val="18"/>
                  <w:szCs w:val="18"/>
                  <w:color w:val="0000FF"/>
                  <w:w w:val="87"/>
                </w:rPr>
                <w:t>quarter ended September 30, 2002).</w:t>
              </w:r>
            </w:hyperlink>
          </w:p>
        </w:tc>
        <w:tc>
          <w:tcPr>
            <w:tcW w:w="6220" w:type="dxa"/>
            <w:vAlign w:val="bottom"/>
            <w:tcBorders>
              <w:top w:val="single" w:sz="8" w:color="0000FF"/>
            </w:tcBorders>
            <w:gridSpan w:val="1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317"/>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5"/>
              </w:rPr>
            </w:pPr>
            <w:hyperlink r:id="rId86">
              <w:r>
                <w:rPr>
                  <w:rFonts w:ascii="Arial" w:cs="Arial" w:eastAsia="Arial" w:hAnsi="Arial"/>
                  <w:sz w:val="18"/>
                  <w:szCs w:val="18"/>
                  <w:color w:val="0000FF"/>
                  <w:w w:val="95"/>
                </w:rPr>
                <w:t>Sixth Supplemental Indenture (Series A and Series B 6.70% Senior Notes due 2036) dated May 12, 2006 among Plains All</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5"/>
          </w:tcPr>
          <w:p>
            <w:pPr>
              <w:spacing w:after="0" w:line="156" w:lineRule="exact"/>
              <w:rPr>
                <w:rFonts w:ascii="Arial" w:cs="Arial" w:eastAsia="Arial" w:hAnsi="Arial"/>
                <w:sz w:val="18"/>
                <w:szCs w:val="18"/>
                <w:color w:val="0000FF"/>
                <w:w w:val="94"/>
              </w:rPr>
            </w:pPr>
            <w:hyperlink r:id="rId86">
              <w:r>
                <w:rPr>
                  <w:rFonts w:ascii="Arial" w:cs="Arial" w:eastAsia="Arial" w:hAnsi="Arial"/>
                  <w:sz w:val="18"/>
                  <w:szCs w:val="18"/>
                  <w:color w:val="0000FF"/>
                  <w:w w:val="94"/>
                </w:rPr>
                <w:t>American Pipeline, L.P., PAA Finance Corp., the Subsidiary Guarantors named therein and Wachovia Bank, National</w:t>
              </w:r>
            </w:hyperlink>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Association, as trustee (incorporated by reference to Exhibit 4.1 to PAA’s Current Report on Form 8-K filed May 12,</w:t>
              </w:r>
            </w:hyperlink>
          </w:p>
        </w:tc>
        <w:tc>
          <w:tcPr>
            <w:tcW w:w="460" w:type="dxa"/>
            <w:vAlign w:val="bottom"/>
            <w:tcBorders>
              <w:bottom w:val="single" w:sz="8" w:color="0000FF"/>
            </w:tcBorders>
            <w:gridSpan w:val="5"/>
          </w:tcPr>
          <w:p>
            <w:pPr>
              <w:jc w:val="right"/>
              <w:spacing w:after="0" w:line="156" w:lineRule="exact"/>
              <w:rPr>
                <w:rFonts w:ascii="Arial" w:cs="Arial" w:eastAsia="Arial" w:hAnsi="Arial"/>
                <w:sz w:val="18"/>
                <w:szCs w:val="18"/>
                <w:color w:val="0000FF"/>
                <w:w w:val="86"/>
              </w:rPr>
            </w:pPr>
            <w:hyperlink r:id="rId86">
              <w:r>
                <w:rPr>
                  <w:rFonts w:ascii="Arial" w:cs="Arial" w:eastAsia="Arial" w:hAnsi="Arial"/>
                  <w:sz w:val="18"/>
                  <w:szCs w:val="18"/>
                  <w:color w:val="0000FF"/>
                  <w:w w:val="86"/>
                </w:rPr>
                <w:t>2006).</w:t>
              </w:r>
            </w:hyperlink>
          </w:p>
        </w:tc>
        <w:tc>
          <w:tcPr>
            <w:tcW w:w="10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Tenth Supplemental Indenture (Series A and Series B 6.650% Senior Notes due 2037) dated October 30, 2006 among Plains All</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7"/>
          </w:tcPr>
          <w:p>
            <w:pPr>
              <w:spacing w:after="0" w:line="15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American Pipeline, L.P., PAA Finance Corp., the Subsidiary Guarantors named therein and U.S. Bank National Association, as</w:t>
              </w:r>
            </w:hyperlink>
          </w:p>
        </w:tc>
        <w:tc>
          <w:tcPr>
            <w:tcW w:w="100" w:type="dxa"/>
            <w:vAlign w:val="bottom"/>
            <w:gridSpan w:val="2"/>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trustee (incorporated by reference to Exhibit 4.2 to PAA’s Current Report on Form 8-K filed October 30, 2006).</w:t>
              </w:r>
            </w:hyperlink>
          </w:p>
        </w:tc>
        <w:tc>
          <w:tcPr>
            <w:tcW w:w="1080" w:type="dxa"/>
            <w:vAlign w:val="bottom"/>
            <w:tcBorders>
              <w:top w:val="single" w:sz="8" w:color="0000FF"/>
            </w:tcBorders>
            <w:gridSpan w:val="16"/>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9"/>
          </w:tcPr>
          <w:p>
            <w:pPr>
              <w:spacing w:after="0"/>
              <w:rPr>
                <w:rFonts w:ascii="Arial" w:cs="Arial" w:eastAsia="Arial" w:hAnsi="Arial"/>
                <w:sz w:val="18"/>
                <w:szCs w:val="18"/>
                <w:color w:val="0000FF"/>
                <w:w w:val="98"/>
              </w:rPr>
            </w:pPr>
            <w:hyperlink r:id="rId88">
              <w:r>
                <w:rPr>
                  <w:rFonts w:ascii="Arial" w:cs="Arial" w:eastAsia="Arial" w:hAnsi="Arial"/>
                  <w:sz w:val="18"/>
                  <w:szCs w:val="18"/>
                  <w:color w:val="0000FF"/>
                  <w:w w:val="98"/>
                </w:rPr>
                <w:t>Twenty-First Supplemental Indenture (5.15% Senior Notes due 2042) dated March 22, 2012 among Plains All American</w:t>
              </w:r>
            </w:hyperlink>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80" w:type="dxa"/>
            <w:vAlign w:val="bottom"/>
            <w:gridSpan w:val="12"/>
            <w:shd w:val="clear" w:color="auto" w:fill="0000FF"/>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29"/>
          </w:tcPr>
          <w:p>
            <w:pPr>
              <w:spacing w:after="0" w:line="156" w:lineRule="exact"/>
              <w:rPr>
                <w:rFonts w:ascii="Arial" w:cs="Arial" w:eastAsia="Arial" w:hAnsi="Arial"/>
                <w:sz w:val="18"/>
                <w:szCs w:val="18"/>
                <w:color w:val="0000FF"/>
                <w:w w:val="94"/>
              </w:rPr>
            </w:pPr>
            <w:hyperlink r:id="rId88">
              <w:r>
                <w:rPr>
                  <w:rFonts w:ascii="Arial" w:cs="Arial" w:eastAsia="Arial" w:hAnsi="Arial"/>
                  <w:sz w:val="18"/>
                  <w:szCs w:val="18"/>
                  <w:color w:val="0000FF"/>
                  <w:w w:val="94"/>
                </w:rPr>
                <w:t>Pipeline, L.P., PAA Finance Corp and U.S. Bank National Association, as trustee (incorporated by reference to Exhibit 4.3 to</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PAA’s Current Report on Form 8-K filed March 26, 2012).</w:t>
              </w:r>
            </w:hyperlink>
          </w:p>
        </w:tc>
        <w:tc>
          <w:tcPr>
            <w:tcW w:w="340" w:type="dxa"/>
            <w:vAlign w:val="bottom"/>
            <w:gridSpan w:val="10"/>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center"/>
              <w:ind w:left="110"/>
              <w:spacing w:after="0"/>
              <w:rPr>
                <w:sz w:val="20"/>
                <w:szCs w:val="20"/>
                <w:color w:val="auto"/>
              </w:rPr>
            </w:pPr>
            <w:r>
              <w:rPr>
                <w:rFonts w:ascii="Arial" w:cs="Arial" w:eastAsia="Arial" w:hAnsi="Arial"/>
                <w:sz w:val="18"/>
                <w:szCs w:val="18"/>
                <w:color w:val="auto"/>
                <w:w w:val="87"/>
              </w:rPr>
              <w:t>4.5</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4"/>
              </w:rPr>
            </w:pPr>
            <w:hyperlink r:id="rId90">
              <w:r>
                <w:rPr>
                  <w:rFonts w:ascii="Arial" w:cs="Arial" w:eastAsia="Arial" w:hAnsi="Arial"/>
                  <w:sz w:val="18"/>
                  <w:szCs w:val="18"/>
                  <w:color w:val="0000FF"/>
                  <w:w w:val="94"/>
                </w:rPr>
                <w:t>Twenty-Second Supplemental Indenture (2.85% Senior Notes due 2023) dated December 10, 2012, by and among Plains All</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98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90">
              <w:r>
                <w:rPr>
                  <w:rFonts w:ascii="Arial" w:cs="Arial" w:eastAsia="Arial" w:hAnsi="Arial"/>
                  <w:sz w:val="18"/>
                  <w:szCs w:val="18"/>
                  <w:color w:val="0000FF"/>
                  <w:w w:val="92"/>
                </w:rPr>
                <w:t>American Pipeline, L.P., PAA Finance Corp. and U.S. Bank National Association, as trustee (incorporated by reference to</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7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Exhibit 4.1 to PAA’s Current Report on Form 8-K filed December 12, 2012).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left="110"/>
              <w:spacing w:after="0"/>
              <w:rPr>
                <w:sz w:val="20"/>
                <w:szCs w:val="20"/>
                <w:color w:val="auto"/>
              </w:rPr>
            </w:pPr>
            <w:r>
              <w:rPr>
                <w:rFonts w:ascii="Arial" w:cs="Arial" w:eastAsia="Arial" w:hAnsi="Arial"/>
                <w:sz w:val="18"/>
                <w:szCs w:val="18"/>
                <w:color w:val="auto"/>
                <w:w w:val="87"/>
              </w:rPr>
              <w:t>4.6</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6"/>
              </w:rPr>
            </w:pPr>
            <w:hyperlink r:id="rId91">
              <w:r>
                <w:rPr>
                  <w:rFonts w:ascii="Arial" w:cs="Arial" w:eastAsia="Arial" w:hAnsi="Arial"/>
                  <w:sz w:val="18"/>
                  <w:szCs w:val="18"/>
                  <w:color w:val="0000FF"/>
                  <w:w w:val="96"/>
                </w:rPr>
                <w:t>Twenty-Third Supplemental Indenture (4.30% Senior Notes due 2043) dated December 10, 2012, by and among Plains All</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60" w:type="dxa"/>
            <w:vAlign w:val="bottom"/>
            <w:tcBorders>
              <w:top w:val="single" w:sz="8" w:color="0000FF"/>
            </w:tcBorders>
            <w:gridSpan w:val="19"/>
          </w:tcPr>
          <w:p>
            <w:pPr>
              <w:spacing w:after="0" w:line="15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American Pipeline, L.P., PAA Finance Corp. and U.S. Bank National Association, as trustee (incorporated by reference to</w:t>
              </w:r>
            </w:hyperlink>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7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91">
              <w:r>
                <w:rPr>
                  <w:rFonts w:ascii="Arial" w:cs="Arial" w:eastAsia="Arial" w:hAnsi="Arial"/>
                  <w:sz w:val="18"/>
                  <w:szCs w:val="18"/>
                  <w:color w:val="0000FF"/>
                </w:rPr>
                <w:t>Exhibit 4.3 to PAA’s Current Report on Form 8-K filed December 12, 2012).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left="110"/>
              <w:spacing w:after="0"/>
              <w:rPr>
                <w:sz w:val="20"/>
                <w:szCs w:val="20"/>
                <w:color w:val="auto"/>
              </w:rPr>
            </w:pPr>
            <w:r>
              <w:rPr>
                <w:rFonts w:ascii="Arial" w:cs="Arial" w:eastAsia="Arial" w:hAnsi="Arial"/>
                <w:sz w:val="18"/>
                <w:szCs w:val="18"/>
                <w:color w:val="auto"/>
                <w:w w:val="87"/>
              </w:rPr>
              <w:t>4.7</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7"/>
              </w:rPr>
            </w:pPr>
            <w:hyperlink r:id="rId92">
              <w:r>
                <w:rPr>
                  <w:rFonts w:ascii="Arial" w:cs="Arial" w:eastAsia="Arial" w:hAnsi="Arial"/>
                  <w:sz w:val="18"/>
                  <w:szCs w:val="18"/>
                  <w:color w:val="0000FF"/>
                  <w:w w:val="97"/>
                </w:rPr>
                <w:t>Twenty-Fourth Supplemental Indenture (3.85% Senior Notes due 2023) dated August 15, 2013, by and among Plains All</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380" w:type="dxa"/>
            <w:vAlign w:val="bottom"/>
            <w:gridSpan w:val="30"/>
          </w:tcPr>
          <w:p>
            <w:pPr>
              <w:spacing w:after="0" w:line="156" w:lineRule="exact"/>
              <w:rPr>
                <w:rFonts w:ascii="Arial" w:cs="Arial" w:eastAsia="Arial" w:hAnsi="Arial"/>
                <w:sz w:val="18"/>
                <w:szCs w:val="18"/>
                <w:color w:val="0000FF"/>
                <w:w w:val="96"/>
              </w:rPr>
            </w:pPr>
            <w:hyperlink r:id="rId92">
              <w:r>
                <w:rPr>
                  <w:rFonts w:ascii="Arial" w:cs="Arial" w:eastAsia="Arial" w:hAnsi="Arial"/>
                  <w:sz w:val="18"/>
                  <w:szCs w:val="18"/>
                  <w:color w:val="0000FF"/>
                  <w:w w:val="96"/>
                </w:rPr>
                <w:t>American Pipeline, L.P., PAA Finance Corp. and U.S. Bank National Association, as trustee (incorporated by reference to</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7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Exhibit 4.1 to PAA’s Current Report on Form 8-K filed August 15, 2013).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left="110"/>
              <w:spacing w:after="0"/>
              <w:rPr>
                <w:sz w:val="20"/>
                <w:szCs w:val="20"/>
                <w:color w:val="auto"/>
              </w:rPr>
            </w:pPr>
            <w:r>
              <w:rPr>
                <w:rFonts w:ascii="Arial" w:cs="Arial" w:eastAsia="Arial" w:hAnsi="Arial"/>
                <w:sz w:val="18"/>
                <w:szCs w:val="18"/>
                <w:color w:val="auto"/>
                <w:w w:val="87"/>
              </w:rPr>
              <w:t>4.8</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220" w:type="dxa"/>
            <w:vAlign w:val="bottom"/>
            <w:tcBorders>
              <w:bottom w:val="single" w:sz="8" w:color="0000FF"/>
            </w:tcBorders>
            <w:gridSpan w:val="27"/>
          </w:tcPr>
          <w:p>
            <w:pPr>
              <w:spacing w:after="0"/>
              <w:rPr>
                <w:rFonts w:ascii="Arial" w:cs="Arial" w:eastAsia="Arial" w:hAnsi="Arial"/>
                <w:sz w:val="18"/>
                <w:szCs w:val="18"/>
                <w:color w:val="0000FF"/>
                <w:w w:val="91"/>
              </w:rPr>
            </w:pPr>
            <w:hyperlink r:id="rId93">
              <w:r>
                <w:rPr>
                  <w:rFonts w:ascii="Arial" w:cs="Arial" w:eastAsia="Arial" w:hAnsi="Arial"/>
                  <w:sz w:val="18"/>
                  <w:szCs w:val="18"/>
                  <w:color w:val="0000FF"/>
                  <w:w w:val="91"/>
                </w:rPr>
                <w:t>Twenty-Fifth Supplemental Indenture (4.70% Senior Notes due 2044) dated April 23, 2014, by and among Plains All American</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380" w:type="dxa"/>
            <w:vAlign w:val="bottom"/>
            <w:gridSpan w:val="30"/>
          </w:tcPr>
          <w:p>
            <w:pPr>
              <w:spacing w:after="0" w:line="15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r:id="rId93">
              <w:r>
                <w:rPr>
                  <w:rFonts w:ascii="Arial" w:cs="Arial" w:eastAsia="Arial" w:hAnsi="Arial"/>
                  <w:sz w:val="18"/>
                  <w:szCs w:val="18"/>
                  <w:color w:val="0000FF"/>
                  <w:w w:val="93"/>
                </w:rPr>
                <w:t>Current Report on Form 8-K filed April 29, 2014).</w:t>
              </w:r>
            </w:hyperlink>
          </w:p>
        </w:tc>
        <w:tc>
          <w:tcPr>
            <w:tcW w:w="5660" w:type="dxa"/>
            <w:vAlign w:val="bottom"/>
            <w:tcBorders>
              <w:top w:val="single" w:sz="8" w:color="0000FF"/>
            </w:tcBorders>
            <w:gridSpan w:val="27"/>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left="110"/>
              <w:spacing w:after="0"/>
              <w:rPr>
                <w:sz w:val="20"/>
                <w:szCs w:val="20"/>
                <w:color w:val="auto"/>
              </w:rPr>
            </w:pPr>
            <w:r>
              <w:rPr>
                <w:rFonts w:ascii="Arial" w:cs="Arial" w:eastAsia="Arial" w:hAnsi="Arial"/>
                <w:sz w:val="18"/>
                <w:szCs w:val="18"/>
                <w:color w:val="auto"/>
                <w:w w:val="87"/>
              </w:rPr>
              <w:t>4.9</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6"/>
              </w:rPr>
            </w:pPr>
            <w:hyperlink r:id="rId94">
              <w:r>
                <w:rPr>
                  <w:rFonts w:ascii="Arial" w:cs="Arial" w:eastAsia="Arial" w:hAnsi="Arial"/>
                  <w:sz w:val="18"/>
                  <w:szCs w:val="18"/>
                  <w:color w:val="0000FF"/>
                  <w:w w:val="96"/>
                </w:rPr>
                <w:t>Twenty-Sixth Supplemental Indenture (3.60% Senior Notes due 2024) dated September 9, 2014, by and among Plains All</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760" w:type="dxa"/>
            <w:vAlign w:val="bottom"/>
            <w:tcBorders>
              <w:top w:val="single" w:sz="8" w:color="0000FF"/>
            </w:tcBorders>
            <w:gridSpan w:val="15"/>
          </w:tcPr>
          <w:p>
            <w:pPr>
              <w:spacing w:after="0" w:line="156"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American Pipeline, L.P., PAA Finance Corp. and U.S. Bank National Association, as trustee (incorporated by reference to</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7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Exhibit 4.1 to our Current Report on Form 8-K filed September 11, 2014).</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91"/>
              </w:rPr>
              <w:t>4.10</w:t>
            </w:r>
          </w:p>
        </w:tc>
        <w:tc>
          <w:tcPr>
            <w:tcW w:w="720" w:type="dxa"/>
            <w:vAlign w:val="bottom"/>
          </w:tcPr>
          <w:p>
            <w:pPr>
              <w:spacing w:after="0"/>
              <w:rPr>
                <w:sz w:val="24"/>
                <w:szCs w:val="24"/>
                <w:color w:val="auto"/>
              </w:rPr>
            </w:pPr>
          </w:p>
        </w:tc>
        <w:tc>
          <w:tcPr>
            <w:tcW w:w="9380" w:type="dxa"/>
            <w:vAlign w:val="bottom"/>
            <w:gridSpan w:val="30"/>
          </w:tcPr>
          <w:p>
            <w:pPr>
              <w:spacing w:after="0"/>
              <w:rPr>
                <w:rFonts w:ascii="Arial" w:cs="Arial" w:eastAsia="Arial" w:hAnsi="Arial"/>
                <w:sz w:val="18"/>
                <w:szCs w:val="18"/>
                <w:color w:val="0000FF"/>
                <w:w w:val="96"/>
              </w:rPr>
            </w:pPr>
            <w:hyperlink r:id="rId95">
              <w:r>
                <w:rPr>
                  <w:rFonts w:ascii="Arial" w:cs="Arial" w:eastAsia="Arial" w:hAnsi="Arial"/>
                  <w:sz w:val="18"/>
                  <w:szCs w:val="18"/>
                  <w:color w:val="0000FF"/>
                  <w:w w:val="96"/>
                </w:rPr>
                <w:t>Twenty-Eighth Supplemental Indenture (4.90% Senior Notes due 2045) dated December 9, 2014, by and among Plains All</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8840" w:type="dxa"/>
            <w:vAlign w:val="bottom"/>
            <w:tcBorders>
              <w:top w:val="single" w:sz="8" w:color="0000FF"/>
            </w:tcBorders>
            <w:gridSpan w:val="18"/>
          </w:tcPr>
          <w:p>
            <w:pPr>
              <w:spacing w:after="0" w:line="15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American Pipeline, L.P., PAA Finance Corp., and U.S. Bank National Association, as trustee (incorporated by reference to</w:t>
              </w:r>
            </w:hyperlink>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53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Exhibit 4.3 to our Current Report on Form 8-K filed December 11, 2014).</w:t>
              </w:r>
            </w:hyperlink>
          </w:p>
        </w:tc>
        <w:tc>
          <w:tcPr>
            <w:tcW w:w="3480" w:type="dxa"/>
            <w:vAlign w:val="bottom"/>
            <w:tcBorders>
              <w:top w:val="single" w:sz="8" w:color="0000FF"/>
            </w:tcBorders>
            <w:gridSpan w:val="10"/>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91"/>
              </w:rPr>
              <w:t>4.11</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8"/>
              </w:rPr>
            </w:pPr>
            <w:hyperlink r:id="rId96">
              <w:r>
                <w:rPr>
                  <w:rFonts w:ascii="Arial" w:cs="Arial" w:eastAsia="Arial" w:hAnsi="Arial"/>
                  <w:sz w:val="18"/>
                  <w:szCs w:val="18"/>
                  <w:color w:val="0000FF"/>
                  <w:w w:val="98"/>
                </w:rPr>
                <w:t>Twenty-Ninth Supplemental Indenture (4.65% Senior Notes due 2025) dated August 24, 2015, by and among Plains All</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70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American Pipeline, L.P., PAA Finance Corp., and U.S. Bank National Association, as trustee (incorporated by reference</w:t>
              </w:r>
            </w:hyperlink>
          </w:p>
        </w:tc>
        <w:tc>
          <w:tcPr>
            <w:tcW w:w="680" w:type="dxa"/>
            <w:vAlign w:val="bottom"/>
            <w:gridSpan w:val="17"/>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Exhibit 4.1 to PAA’s Current Report on Form 8-K filed August 26, 2015).</w:t>
              </w:r>
            </w:hyperlink>
          </w:p>
        </w:tc>
        <w:tc>
          <w:tcPr>
            <w:tcW w:w="12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91"/>
              </w:rPr>
              <w:t>4.12</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2"/>
              </w:rPr>
            </w:pPr>
            <w:hyperlink r:id="rId97">
              <w:r>
                <w:rPr>
                  <w:rFonts w:ascii="Arial" w:cs="Arial" w:eastAsia="Arial" w:hAnsi="Arial"/>
                  <w:sz w:val="18"/>
                  <w:szCs w:val="18"/>
                  <w:color w:val="0000FF"/>
                  <w:w w:val="92"/>
                </w:rPr>
                <w:t>Thirtieth Supplemental Indenture (4.50% Senior Notes due 2026) dated November 22, 2016, by and among Plains All American</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6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97">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PAA’s Current Report on Form 8-K filed November 29, 2016).</w:t>
              </w:r>
            </w:hyperlink>
          </w:p>
        </w:tc>
        <w:tc>
          <w:tcPr>
            <w:tcW w:w="4600" w:type="dxa"/>
            <w:vAlign w:val="bottom"/>
            <w:tcBorders>
              <w:top w:val="single" w:sz="8" w:color="0000FF"/>
            </w:tcBorders>
            <w:gridSpan w:val="21"/>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91"/>
              </w:rPr>
              <w:t>4.13</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7"/>
              </w:rPr>
            </w:pPr>
            <w:hyperlink r:id="rId98">
              <w:r>
                <w:rPr>
                  <w:rFonts w:ascii="Arial" w:cs="Arial" w:eastAsia="Arial" w:hAnsi="Arial"/>
                  <w:sz w:val="18"/>
                  <w:szCs w:val="18"/>
                  <w:color w:val="0000FF"/>
                  <w:w w:val="97"/>
                </w:rPr>
                <w:t>Thirty-First Supplemental Indenture (3.55% Senior Notes due 2029) dated September 16, 2019, by and among Plains All</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380" w:type="dxa"/>
            <w:vAlign w:val="bottom"/>
            <w:gridSpan w:val="30"/>
          </w:tcPr>
          <w:p>
            <w:pPr>
              <w:spacing w:after="0" w:line="156" w:lineRule="exact"/>
              <w:rPr>
                <w:rFonts w:ascii="Arial" w:cs="Arial" w:eastAsia="Arial" w:hAnsi="Arial"/>
                <w:sz w:val="18"/>
                <w:szCs w:val="18"/>
                <w:color w:val="0000FF"/>
                <w:w w:val="96"/>
              </w:rPr>
            </w:pPr>
            <w:hyperlink r:id="rId98">
              <w:r>
                <w:rPr>
                  <w:rFonts w:ascii="Arial" w:cs="Arial" w:eastAsia="Arial" w:hAnsi="Arial"/>
                  <w:sz w:val="18"/>
                  <w:szCs w:val="18"/>
                  <w:color w:val="0000FF"/>
                  <w:w w:val="96"/>
                </w:rPr>
                <w:t>American Pipeline, L.P., PAA Finance Corp. and U.S. Bank National Association, as trustee (incorporated by reference to</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Exhibit 4.1 to PAA’s Current Report on Form 8-K filed September 17, 2019).</w:t>
              </w:r>
            </w:hyperlink>
          </w:p>
        </w:tc>
        <w:tc>
          <w:tcPr>
            <w:tcW w:w="3220" w:type="dxa"/>
            <w:vAlign w:val="bottom"/>
            <w:tcBorders>
              <w:top w:val="single" w:sz="8" w:color="0000FF"/>
            </w:tcBorders>
            <w:gridSpan w:val="7"/>
          </w:tcPr>
          <w:p>
            <w:pPr>
              <w:spacing w:after="0"/>
              <w:rPr>
                <w:sz w:val="13"/>
                <w:szCs w:val="13"/>
                <w:color w:val="auto"/>
              </w:rPr>
            </w:pPr>
          </w:p>
        </w:tc>
        <w:tc>
          <w:tcPr>
            <w:tcW w:w="16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91"/>
              </w:rPr>
              <w:t>4.14</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1"/>
              </w:rPr>
            </w:pPr>
            <w:hyperlink r:id="rId99">
              <w:r>
                <w:rPr>
                  <w:rFonts w:ascii="Arial" w:cs="Arial" w:eastAsia="Arial" w:hAnsi="Arial"/>
                  <w:sz w:val="18"/>
                  <w:szCs w:val="18"/>
                  <w:color w:val="0000FF"/>
                  <w:w w:val="91"/>
                </w:rPr>
                <w:t>Thirty-Second Supplemental Indenture (3.80% Senior Notes due 2030) dated June 11, 2020, by and among Plains All American</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20" w:type="dxa"/>
            <w:vAlign w:val="bottom"/>
            <w:tcBorders>
              <w:top w:val="single" w:sz="8" w:color="0000FF"/>
            </w:tcBorders>
            <w:gridSpan w:val="27"/>
          </w:tcPr>
          <w:p>
            <w:pPr>
              <w:spacing w:after="0" w:line="156" w:lineRule="exact"/>
              <w:rPr>
                <w:rFonts w:ascii="Arial" w:cs="Arial" w:eastAsia="Arial" w:hAnsi="Arial"/>
                <w:sz w:val="18"/>
                <w:szCs w:val="18"/>
                <w:color w:val="0000FF"/>
                <w:w w:val="92"/>
              </w:rPr>
            </w:pPr>
            <w:hyperlink r:id="rId99">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PAA’s Current Report on Form 8-K filed June 11,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91"/>
              </w:rPr>
              <w:t>4.15</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2"/>
              </w:rPr>
            </w:pPr>
            <w:hyperlink r:id="rId100">
              <w:r>
                <w:rPr>
                  <w:rFonts w:ascii="Arial" w:cs="Arial" w:eastAsia="Arial" w:hAnsi="Arial"/>
                  <w:sz w:val="18"/>
                  <w:szCs w:val="18"/>
                  <w:color w:val="0000FF"/>
                  <w:w w:val="92"/>
                </w:rPr>
                <w:t>Shareholder and Registration Rights Agreement dated October 21, 2013 by and among Plains GP Holdings, L.P. and the other</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parties signatory thereto (incorporated by reference to Exhibit 4.1 to our Current Report on Form 8-K filed October 25, 2013).</w:t>
              </w:r>
            </w:hyperlink>
          </w:p>
        </w:tc>
        <w:tc>
          <w:tcPr>
            <w:tcW w:w="20" w:type="dxa"/>
            <w:vAlign w:val="bottom"/>
            <w:tcBorders>
              <w:bottom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91"/>
              </w:rPr>
              <w:t>4.16</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3"/>
              </w:rPr>
            </w:pPr>
            <w:hyperlink r:id="rId101">
              <w:r>
                <w:rPr>
                  <w:rFonts w:ascii="Arial" w:cs="Arial" w:eastAsia="Arial" w:hAnsi="Arial"/>
                  <w:sz w:val="18"/>
                  <w:szCs w:val="18"/>
                  <w:color w:val="0000FF"/>
                  <w:w w:val="93"/>
                </w:rPr>
                <w:t>Description of Our Securities (incorporated by reference to Exhibit 4.17 to our Annual Report on Form 10-K for the year ended</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December 31, 2021).</w:t>
              </w:r>
            </w:hyperlink>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95"/>
              </w:rPr>
              <w:t>10.1*</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w w:val="94"/>
              </w:rPr>
            </w:pPr>
            <w:hyperlink r:id="rId102">
              <w:r>
                <w:rPr>
                  <w:rFonts w:ascii="Arial" w:cs="Arial" w:eastAsia="Arial" w:hAnsi="Arial"/>
                  <w:sz w:val="18"/>
                  <w:szCs w:val="18"/>
                  <w:color w:val="0000FF"/>
                  <w:w w:val="94"/>
                </w:rPr>
                <w:t>Form of Amended and Restated Special Retention LTIP Grant Letter Dated February 24, 2022 (incorporated by reference to</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9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Exhibit 10.1 to our Quarterly Report on Form 10-Q for the quarter ended March 31, 2022).</w:t>
              </w:r>
            </w:hyperlink>
          </w:p>
        </w:tc>
        <w:tc>
          <w:tcPr>
            <w:tcW w:w="4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80" w:type="dxa"/>
            <w:vAlign w:val="bottom"/>
            <w:gridSpan w:val="5"/>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87"/>
              </w:rPr>
              <w:t>31.1 †</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734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Certification of Principal Executive Officer pursuant to Exchange Act Rules 13a-14(a) and 15d-14(a).</w:t>
              </w:r>
            </w:hyperlink>
          </w:p>
        </w:tc>
        <w:tc>
          <w:tcPr>
            <w:tcW w:w="20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left="90"/>
              <w:spacing w:after="0"/>
              <w:rPr>
                <w:sz w:val="20"/>
                <w:szCs w:val="20"/>
                <w:color w:val="auto"/>
              </w:rPr>
            </w:pPr>
            <w:r>
              <w:rPr>
                <w:rFonts w:ascii="Arial" w:cs="Arial" w:eastAsia="Arial" w:hAnsi="Arial"/>
                <w:sz w:val="18"/>
                <w:szCs w:val="18"/>
                <w:color w:val="auto"/>
                <w:w w:val="87"/>
              </w:rPr>
              <w:t>31.2 †</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9380" w:type="dxa"/>
            <w:vAlign w:val="bottom"/>
            <w:gridSpan w:val="30"/>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Certification of Principal Financial Officer pursuant to Exchange Act Rules 13a-14(a) and 15d-14(a).</w:t>
              </w:r>
            </w:hyperlink>
          </w:p>
        </w:tc>
        <w:tc>
          <w:tcPr>
            <w:tcW w:w="0" w:type="dxa"/>
            <w:vAlign w:val="bottom"/>
          </w:tcPr>
          <w:p>
            <w:pPr>
              <w:spacing w:after="0"/>
              <w:rPr>
                <w:sz w:val="1"/>
                <w:szCs w:val="1"/>
                <w:color w:val="auto"/>
              </w:rPr>
            </w:pPr>
          </w:p>
        </w:tc>
      </w:tr>
      <w:tr>
        <w:trPr>
          <w:trHeight w:val="318"/>
        </w:trPr>
        <w:tc>
          <w:tcPr>
            <w:tcW w:w="1140" w:type="dxa"/>
            <w:vAlign w:val="bottom"/>
          </w:tcPr>
          <w:p>
            <w:pPr>
              <w:jc w:val="center"/>
              <w:ind w:left="110"/>
              <w:spacing w:after="0"/>
              <w:rPr>
                <w:sz w:val="20"/>
                <w:szCs w:val="20"/>
                <w:color w:val="auto"/>
              </w:rPr>
            </w:pPr>
            <w:r>
              <w:rPr>
                <w:rFonts w:ascii="Arial" w:cs="Arial" w:eastAsia="Arial" w:hAnsi="Arial"/>
                <w:sz w:val="18"/>
                <w:szCs w:val="18"/>
                <w:color w:val="auto"/>
                <w:w w:val="89"/>
              </w:rPr>
              <w:t>32.1 ††</w:t>
            </w: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7280" w:type="dxa"/>
            <w:vAlign w:val="bottom"/>
            <w:tcBorders>
              <w:top w:val="single" w:sz="8" w:color="0000FF"/>
            </w:tcBorders>
            <w:gridSpan w:val="11"/>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Certification of Principal Executive Officer pursuant to 18 U.S.C. 1350.</w:t>
              </w:r>
            </w:hyperlink>
          </w:p>
        </w:tc>
        <w:tc>
          <w:tcPr>
            <w:tcW w:w="21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925"/>
        </w:trPr>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80" w:type="dxa"/>
            <w:vAlign w:val="bottom"/>
            <w:tcBorders>
              <w:top w:val="single" w:sz="8" w:color="0000FF"/>
            </w:tcBorders>
            <w:gridSpan w:val="3"/>
          </w:tcPr>
          <w:p>
            <w:pPr>
              <w:ind w:left="3680"/>
              <w:spacing w:after="0"/>
              <w:rPr>
                <w:sz w:val="20"/>
                <w:szCs w:val="20"/>
                <w:color w:val="auto"/>
              </w:rPr>
            </w:pPr>
            <w:r>
              <w:rPr>
                <w:rFonts w:ascii="Arial" w:cs="Arial" w:eastAsia="Arial" w:hAnsi="Arial"/>
                <w:sz w:val="18"/>
                <w:szCs w:val="18"/>
                <w:color w:val="auto"/>
              </w:rPr>
              <w:t>58</w:t>
            </w:r>
          </w:p>
        </w:tc>
        <w:tc>
          <w:tcPr>
            <w:tcW w:w="4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32.2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64">
              <w:r>
                <w:rPr>
                  <w:rFonts w:ascii="Arial" w:cs="Arial" w:eastAsia="Arial" w:hAnsi="Arial"/>
                  <w:sz w:val="18"/>
                  <w:szCs w:val="18"/>
                  <w:color w:val="0000FF"/>
                  <w:w w:val="92"/>
                </w:rPr>
                <w:t>Certification of Principal Financial Officer pursuant to 18 U.S.C. 1350.</w:t>
              </w:r>
            </w:hyperlink>
          </w:p>
        </w:tc>
        <w:tc>
          <w:tcPr>
            <w:tcW w:w="3640" w:type="dxa"/>
            <w:vAlign w:val="bottom"/>
          </w:tcPr>
          <w:p>
            <w:pPr>
              <w:spacing w:after="0"/>
              <w:rPr>
                <w:sz w:val="17"/>
                <w:szCs w:val="17"/>
                <w:color w:val="auto"/>
              </w:rPr>
            </w:pPr>
          </w:p>
        </w:tc>
      </w:tr>
      <w:tr>
        <w:trPr>
          <w:trHeight w:val="304"/>
        </w:trPr>
        <w:tc>
          <w:tcPr>
            <w:tcW w:w="240" w:type="dxa"/>
            <w:vAlign w:val="bottom"/>
          </w:tcPr>
          <w:p>
            <w:pPr>
              <w:spacing w:after="0"/>
              <w:rPr>
                <w:sz w:val="24"/>
                <w:szCs w:val="24"/>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101.INS†</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8780" w:type="dxa"/>
            <w:vAlign w:val="bottom"/>
            <w:gridSpan w:val="3"/>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w:t>
            </w:r>
          </w:p>
        </w:tc>
      </w:tr>
      <w:tr>
        <w:trPr>
          <w:trHeight w:val="230"/>
        </w:trPr>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7"/>
        </w:trPr>
        <w:tc>
          <w:tcPr>
            <w:tcW w:w="24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101.SCH†</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878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24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101.CAL†</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878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24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rPr>
              <w:t>101.DEF†</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878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24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101.LAB†</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878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24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rPr>
              <w:t>101.PRE†</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878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3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104†</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878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76"/>
        </w:trPr>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312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34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Filed herewith.</w:t>
            </w:r>
          </w:p>
        </w:tc>
        <w:tc>
          <w:tcPr>
            <w:tcW w:w="20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w w:val="93"/>
              </w:rPr>
              <w:t>Furnished herewith.</w:t>
            </w:r>
          </w:p>
        </w:tc>
        <w:tc>
          <w:tcPr>
            <w:tcW w:w="20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PLAINS GP HOLDINGS, L.P.</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Willie Chiang</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30"/>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5"/>
              </w:rPr>
              <w:t>Chief Executive Officer and Director of 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r>
        <w:trPr>
          <w:trHeight w:val="500"/>
        </w:trPr>
        <w:tc>
          <w:tcPr>
            <w:tcW w:w="6160" w:type="dxa"/>
            <w:vAlign w:val="bottom"/>
          </w:tcPr>
          <w:p>
            <w:pPr>
              <w:spacing w:after="0"/>
              <w:rPr>
                <w:sz w:val="20"/>
                <w:szCs w:val="20"/>
                <w:color w:val="auto"/>
              </w:rPr>
            </w:pPr>
            <w:r>
              <w:rPr>
                <w:rFonts w:ascii="Arial" w:cs="Arial" w:eastAsia="Arial" w:hAnsi="Arial"/>
                <w:sz w:val="18"/>
                <w:szCs w:val="18"/>
                <w:color w:val="auto"/>
              </w:rPr>
              <w:t>August 8, 2022</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Al Swanson,</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2"/>
              </w:rPr>
              <w:t>Executive Vice President and Chief Financial Officer of PAA GP</w:t>
            </w:r>
          </w:p>
        </w:tc>
      </w:tr>
      <w:tr>
        <w:trPr>
          <w:trHeight w:val="229"/>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Financial Officer)</w:t>
            </w:r>
          </w:p>
        </w:tc>
      </w:tr>
      <w:tr>
        <w:trPr>
          <w:trHeight w:val="500"/>
        </w:trPr>
        <w:tc>
          <w:tcPr>
            <w:tcW w:w="6160" w:type="dxa"/>
            <w:vAlign w:val="bottom"/>
          </w:tcPr>
          <w:p>
            <w:pPr>
              <w:spacing w:after="0"/>
              <w:rPr>
                <w:sz w:val="20"/>
                <w:szCs w:val="20"/>
                <w:color w:val="auto"/>
              </w:rPr>
            </w:pPr>
            <w:r>
              <w:rPr>
                <w:rFonts w:ascii="Arial" w:cs="Arial" w:eastAsia="Arial" w:hAnsi="Arial"/>
                <w:sz w:val="18"/>
                <w:szCs w:val="18"/>
                <w:color w:val="auto"/>
              </w:rPr>
              <w:t>August 8, 2022</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Herbold</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Chris Herbold,</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2"/>
              </w:rPr>
              <w:t>Senior Vice President, Finance and Chief Accounting Officer of</w:t>
            </w:r>
          </w:p>
        </w:tc>
      </w:tr>
      <w:tr>
        <w:trPr>
          <w:trHeight w:val="229"/>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Accounting Officer)</w:t>
            </w:r>
          </w:p>
        </w:tc>
      </w:tr>
      <w:tr>
        <w:trPr>
          <w:trHeight w:val="499"/>
        </w:trPr>
        <w:tc>
          <w:tcPr>
            <w:tcW w:w="6160" w:type="dxa"/>
            <w:vAlign w:val="bottom"/>
          </w:tcPr>
          <w:p>
            <w:pPr>
              <w:spacing w:after="0"/>
              <w:rPr>
                <w:sz w:val="20"/>
                <w:szCs w:val="20"/>
                <w:color w:val="auto"/>
              </w:rPr>
            </w:pPr>
            <w:r>
              <w:rPr>
                <w:rFonts w:ascii="Arial" w:cs="Arial" w:eastAsia="Arial" w:hAnsi="Arial"/>
                <w:sz w:val="18"/>
                <w:szCs w:val="18"/>
                <w:color w:val="auto"/>
              </w:rPr>
              <w:t>August 8, 2022</w:t>
            </w:r>
          </w:p>
        </w:tc>
        <w:tc>
          <w:tcPr>
            <w:tcW w:w="5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25" w:right="3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25" w:lineRule="exact"/>
        <w:rPr>
          <w:sz w:val="20"/>
          <w:szCs w:val="20"/>
          <w:color w:val="auto"/>
        </w:rPr>
      </w:pPr>
    </w:p>
    <w:p>
      <w:pPr>
        <w:jc w:val="both"/>
        <w:ind w:right="160" w:firstLine="656"/>
        <w:spacing w:after="0" w:line="263" w:lineRule="auto"/>
        <w:tabs>
          <w:tab w:leader="none" w:pos="13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2022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August 8, 2022</w:t>
      </w:r>
    </w:p>
    <w:p>
      <w:pPr>
        <w:sectPr>
          <w:pgSz w:w="11900" w:h="16838" w:orient="portrait"/>
          <w:cols w:equalWidth="0" w:num="1">
            <w:col w:w="11240"/>
          </w:cols>
          <w:pgMar w:left="320" w:top="89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jc w:val="both"/>
        <w:ind w:right="160" w:firstLine="656"/>
        <w:spacing w:after="0" w:line="263" w:lineRule="auto"/>
        <w:tabs>
          <w:tab w:leader="none" w:pos="135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2022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90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9">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August 8,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lowerRoman"/>
      <w:start w:val="2"/>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0"/>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decimal"/>
      <w:start w:val="3"/>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2"/>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decimal"/>
      <w:start w:val="5"/>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5"/>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lowerRoman"/>
      <w:start w:val="1"/>
    </w:lvl>
  </w:abstractNum>
  <w:abstractNum w:abstractNumId="45">
    <w:nsid w:val="4B588F5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9" Type="http://schemas.openxmlformats.org/officeDocument/2006/relationships/image" Target="media/image67.png"/><Relationship Id="rId103" Type="http://schemas.openxmlformats.org/officeDocument/2006/relationships/image" Target="media/image68.png"/><Relationship Id="rId104" Type="http://schemas.openxmlformats.org/officeDocument/2006/relationships/image" Target="media/image69.png"/><Relationship Id="rId105" Type="http://schemas.openxmlformats.org/officeDocument/2006/relationships/image" Target="media/image70.png"/><Relationship Id="rId106" Type="http://schemas.openxmlformats.org/officeDocument/2006/relationships/image" Target="media/image71.png"/><Relationship Id="rId107" Type="http://schemas.openxmlformats.org/officeDocument/2006/relationships/image" Target="media/image72.png"/><Relationship Id="rId108" Type="http://schemas.openxmlformats.org/officeDocument/2006/relationships/image" Target="media/image73.png"/><Relationship Id="rId109" Type="http://schemas.openxmlformats.org/officeDocument/2006/relationships/image" Target="media/image74.png"/><Relationship Id="rId74" Type="http://schemas.openxmlformats.org/officeDocument/2006/relationships/hyperlink" Target="http://www.sec.gov/Archives/edgar/data/1581990/000104746913007875/a2216069zex-3_1.htm" TargetMode="External"/><Relationship Id="rId75" Type="http://schemas.openxmlformats.org/officeDocument/2006/relationships/hyperlink" Target="http://www.sec.gov/Archives/edgar/data/1581990/000110465916158356/a16-21845_1ex3d2.htm" TargetMode="External"/><Relationship Id="rId76" Type="http://schemas.openxmlformats.org/officeDocument/2006/relationships/hyperlink" Target="http://www.sec.gov/Archives/edgar/data/1581990/000158199020000012/exhibit31.htm" TargetMode="External"/><Relationship Id="rId77" Type="http://schemas.openxmlformats.org/officeDocument/2006/relationships/hyperlink" Target="http://www.sec.gov/Archives/edgar/data/1581990/000104746913007875/a2216069zex-3_3.htm" TargetMode="External"/><Relationship Id="rId78" Type="http://schemas.openxmlformats.org/officeDocument/2006/relationships/hyperlink" Target="https://www.sec.gov/Archives/edgar/data/1581990/000158199022000006/pagp202110-kexhibit311a.htm" TargetMode="External"/><Relationship Id="rId79" Type="http://schemas.openxmlformats.org/officeDocument/2006/relationships/hyperlink" Target="http://www.sec.gov/Archives/edgar/data/1070423/000110465917061889/a17-22685_5ex3d1.htm" TargetMode="External"/><Relationship Id="rId80" Type="http://schemas.openxmlformats.org/officeDocument/2006/relationships/hyperlink" Target="http://www.sec.gov/Archives/edgar/data/1581990/000110465916158356/a16-21845_1ex3d3.htm" TargetMode="External"/><Relationship Id="rId81" Type="http://schemas.openxmlformats.org/officeDocument/2006/relationships/hyperlink" Target="http://www.sec.gov/Archives/edgar/data/1581990/000110465916158356/a16-21845_1ex3d4.htm" TargetMode="External"/><Relationship Id="rId82" Type="http://schemas.openxmlformats.org/officeDocument/2006/relationships/hyperlink" Target="http://www.sec.gov/Archives/edgar/data/1581990/000110465918060012/a18-36197_1ex3d1.htm" TargetMode="External"/><Relationship Id="rId83" Type="http://schemas.openxmlformats.org/officeDocument/2006/relationships/hyperlink" Target="http://www.sec.gov/Archives/edgar/data/1581990/000110465919032813/a19-10857_1ex3d1.htm" TargetMode="External"/><Relationship Id="rId84" Type="http://schemas.openxmlformats.org/officeDocument/2006/relationships/hyperlink" Target="http://www.sec.gov/Archives/edgar/data/1070423/000095012908000071/h52770exv3w3.htm" TargetMode="External"/><Relationship Id="rId85" Type="http://schemas.openxmlformats.org/officeDocument/2006/relationships/hyperlink" Target="http://www.sec.gov/Archives/edgar/data/1070423/000089924302002834/dex41.txt" TargetMode="External"/><Relationship Id="rId86" Type="http://schemas.openxmlformats.org/officeDocument/2006/relationships/hyperlink" Target="http://www.sec.gov/Archives/edgar/data/1070423/000110465906034368/a06-11663_1ex4d1.htm" TargetMode="External"/><Relationship Id="rId87" Type="http://schemas.openxmlformats.org/officeDocument/2006/relationships/hyperlink" Target="http://www.sec.gov/Archives/edgar/data/1070423/000095012906009235/h40667exv4w2.htm" TargetMode="External"/><Relationship Id="rId88" Type="http://schemas.openxmlformats.org/officeDocument/2006/relationships/hyperlink" Target="http://www.sec.gov/Archives/edgar/data/1070423/000119312512132295/d321017dex43.htm" TargetMode="External"/><Relationship Id="rId90" Type="http://schemas.openxmlformats.org/officeDocument/2006/relationships/hyperlink" Target="http://www.sec.gov/Archives/edgar/data/1070423/000119312512499932/d453762dex41.htm" TargetMode="External"/><Relationship Id="rId91" Type="http://schemas.openxmlformats.org/officeDocument/2006/relationships/hyperlink" Target="http://www.sec.gov/Archives/edgar/data/1070423/000119312512499932/d453762dex43.htm" TargetMode="External"/><Relationship Id="rId92" Type="http://schemas.openxmlformats.org/officeDocument/2006/relationships/hyperlink" Target="http://www.sec.gov/Archives/edgar/data/1070423/000119312513336066/d581734dex41.htm" TargetMode="External"/><Relationship Id="rId93" Type="http://schemas.openxmlformats.org/officeDocument/2006/relationships/hyperlink" Target="http://www.sec.gov/Archives/edgar/data/1581990/000119312514164185/d717953dex41.htm" TargetMode="External"/><Relationship Id="rId94" Type="http://schemas.openxmlformats.org/officeDocument/2006/relationships/hyperlink" Target="http://www.sec.gov/Archives/edgar/data/1581990/000119312514338295/d787197dex41.htm" TargetMode="External"/><Relationship Id="rId95" Type="http://schemas.openxmlformats.org/officeDocument/2006/relationships/hyperlink" Target="http://www.sec.gov/Archives/edgar/data/1581990/000119312514440012/d835488dex43.htm" TargetMode="External"/><Relationship Id="rId96" Type="http://schemas.openxmlformats.org/officeDocument/2006/relationships/hyperlink" Target="http://www.sec.gov/Archives/edgar/data/1070423/000119312515302829/d45393dex41.htm" TargetMode="External"/><Relationship Id="rId97" Type="http://schemas.openxmlformats.org/officeDocument/2006/relationships/hyperlink" Target="http://www.sec.gov/Archives/edgar/data/1070423/000110465916159593/a16-22232_1ex4d1.htm" TargetMode="External"/><Relationship Id="rId98" Type="http://schemas.openxmlformats.org/officeDocument/2006/relationships/hyperlink" Target="http://www.sec.gov/Archives/edgar/data/1070423/000141057819001281/tv529555_ex4-1.htm" TargetMode="External"/><Relationship Id="rId99" Type="http://schemas.openxmlformats.org/officeDocument/2006/relationships/hyperlink" Target="http://www.sec.gov/Archives/edgar/data/1070423/000110465920072270/tm2022235d1_ex4-1.htm" TargetMode="External"/><Relationship Id="rId100" Type="http://schemas.openxmlformats.org/officeDocument/2006/relationships/hyperlink" Target="http://www.sec.gov/Archives/edgar/data/1581990/000110465913078057/a13-22338_2ex4d1.htm" TargetMode="External"/><Relationship Id="rId101" Type="http://schemas.openxmlformats.org/officeDocument/2006/relationships/hyperlink" Target="https://www.sec.gov/Archives/edgar/data/1581990/000158199022000006/pagp202110-kexhibit417.htm" TargetMode="External"/><Relationship Id="rId102" Type="http://schemas.openxmlformats.org/officeDocument/2006/relationships/hyperlink" Target="https://www.sec.gov/Archives/edgar/data/1581990/000158199022000011/pagpq12022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2022-08-09T05:26:21Z</dcterms:created>
  <dcterms:modified xsi:type="dcterms:W3CDTF">2022-08-09T05:26:21Z</dcterms:modified>
</cp:coreProperties>
</file>