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28" w:lineRule="exact"/>
        <w:rPr>
          <w:sz w:val="24"/>
          <w:szCs w:val="24"/>
          <w:color w:val="auto"/>
        </w:rPr>
      </w:pPr>
    </w:p>
    <w:p>
      <w:pPr>
        <w:ind w:left="3920" w:right="2000" w:hanging="3912"/>
        <w:spacing w:after="0" w:line="286" w:lineRule="auto"/>
        <w:tabs>
          <w:tab w:leader="none" w:pos="3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 file number 1-36132</w:t>
      </w:r>
    </w:p>
    <w:p>
      <w:pPr>
        <w:spacing w:after="0" w:line="25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PLAINS GP HOLDINGS, L.P.</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7"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800" w:type="dxa"/>
            <w:vAlign w:val="bottom"/>
            <w:gridSpan w:val="3"/>
          </w:tcPr>
          <w:p>
            <w:pPr>
              <w:jc w:val="right"/>
              <w:ind w:right="1871"/>
              <w:spacing w:after="0"/>
              <w:rPr>
                <w:sz w:val="20"/>
                <w:szCs w:val="20"/>
                <w:color w:val="auto"/>
              </w:rPr>
            </w:pPr>
            <w:r>
              <w:rPr>
                <w:rFonts w:ascii="Times New Roman" w:cs="Times New Roman" w:eastAsia="Times New Roman" w:hAnsi="Times New Roman"/>
                <w:sz w:val="14"/>
                <w:szCs w:val="14"/>
                <w:b w:val="1"/>
                <w:bCs w:val="1"/>
                <w:color w:val="auto"/>
              </w:rPr>
              <w:t>90-1005472</w:t>
            </w:r>
          </w:p>
        </w:tc>
      </w:tr>
      <w:tr>
        <w:trPr>
          <w:trHeight w:val="203"/>
        </w:trPr>
        <w:tc>
          <w:tcPr>
            <w:tcW w:w="5720" w:type="dxa"/>
            <w:vAlign w:val="bottom"/>
            <w:gridSpan w:val="4"/>
          </w:tcPr>
          <w:p>
            <w:pPr>
              <w:jc w:val="center"/>
              <w:ind w:right="2213"/>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800" w:type="dxa"/>
            <w:vAlign w:val="bottom"/>
            <w:gridSpan w:val="3"/>
          </w:tcPr>
          <w:p>
            <w:pPr>
              <w:jc w:val="center"/>
              <w:ind w:right="711"/>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20" w:type="dxa"/>
            <w:vAlign w:val="bottom"/>
          </w:tcPr>
          <w:p>
            <w:pPr>
              <w:spacing w:after="0"/>
              <w:rPr>
                <w:sz w:val="24"/>
                <w:szCs w:val="24"/>
                <w:color w:val="auto"/>
              </w:rPr>
            </w:pPr>
          </w:p>
        </w:tc>
        <w:tc>
          <w:tcPr>
            <w:tcW w:w="306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333 Clay Street, Suite 1600, Houston, Texas</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0" w:type="dxa"/>
            <w:vAlign w:val="bottom"/>
            <w:gridSpan w:val="3"/>
          </w:tcPr>
          <w:p>
            <w:pPr>
              <w:jc w:val="right"/>
              <w:ind w:right="2031"/>
              <w:spacing w:after="0"/>
              <w:rPr>
                <w:sz w:val="20"/>
                <w:szCs w:val="20"/>
                <w:color w:val="auto"/>
              </w:rPr>
            </w:pPr>
            <w:r>
              <w:rPr>
                <w:rFonts w:ascii="Times New Roman" w:cs="Times New Roman" w:eastAsia="Times New Roman" w:hAnsi="Times New Roman"/>
                <w:sz w:val="14"/>
                <w:szCs w:val="14"/>
                <w:b w:val="1"/>
                <w:bCs w:val="1"/>
                <w:color w:val="auto"/>
              </w:rPr>
              <w:t>77002</w:t>
            </w:r>
          </w:p>
        </w:tc>
      </w:tr>
      <w:tr>
        <w:trPr>
          <w:trHeight w:val="203"/>
        </w:trPr>
        <w:tc>
          <w:tcPr>
            <w:tcW w:w="20" w:type="dxa"/>
            <w:vAlign w:val="bottom"/>
          </w:tcPr>
          <w:p>
            <w:pPr>
              <w:spacing w:after="0"/>
              <w:rPr>
                <w:sz w:val="17"/>
                <w:szCs w:val="17"/>
                <w:color w:val="auto"/>
              </w:rPr>
            </w:pPr>
          </w:p>
        </w:tc>
        <w:tc>
          <w:tcPr>
            <w:tcW w:w="306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jc w:val="center"/>
              <w:ind w:right="1351"/>
              <w:spacing w:after="0"/>
              <w:rPr>
                <w:sz w:val="20"/>
                <w:szCs w:val="20"/>
                <w:color w:val="auto"/>
              </w:rPr>
            </w:pPr>
            <w:r>
              <w:rPr>
                <w:rFonts w:ascii="Times New Roman" w:cs="Times New Roman" w:eastAsia="Times New Roman" w:hAnsi="Times New Roman"/>
                <w:sz w:val="14"/>
                <w:szCs w:val="14"/>
                <w:color w:val="auto"/>
              </w:rPr>
              <w:t>(Zip Code)</w:t>
            </w:r>
          </w:p>
        </w:tc>
      </w:tr>
      <w:tr>
        <w:trPr>
          <w:trHeight w:val="527"/>
        </w:trPr>
        <w:tc>
          <w:tcPr>
            <w:tcW w:w="20" w:type="dxa"/>
            <w:vAlign w:val="bottom"/>
          </w:tcPr>
          <w:p>
            <w:pPr>
              <w:spacing w:after="0"/>
              <w:rPr>
                <w:sz w:val="24"/>
                <w:szCs w:val="24"/>
                <w:color w:val="auto"/>
              </w:rPr>
            </w:pPr>
          </w:p>
        </w:tc>
        <w:tc>
          <w:tcPr>
            <w:tcW w:w="95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(713) 646-4100</w:t>
            </w:r>
          </w:p>
        </w:tc>
      </w:tr>
      <w:tr>
        <w:trPr>
          <w:trHeight w:val="41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40" w:type="dxa"/>
            <w:vAlign w:val="bottom"/>
            <w:gridSpan w:val="5"/>
          </w:tcPr>
          <w:p>
            <w:pPr>
              <w:jc w:val="center"/>
              <w:ind w:right="3011"/>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192"/>
        </w:trPr>
        <w:tc>
          <w:tcPr>
            <w:tcW w:w="20" w:type="dxa"/>
            <w:vAlign w:val="bottom"/>
          </w:tcPr>
          <w:p>
            <w:pPr>
              <w:spacing w:after="0"/>
              <w:rPr>
                <w:sz w:val="16"/>
                <w:szCs w:val="16"/>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120" w:type="dxa"/>
            <w:vAlign w:val="bottom"/>
          </w:tcPr>
          <w:p>
            <w:pPr>
              <w:spacing w:after="0"/>
              <w:rPr>
                <w:sz w:val="16"/>
                <w:szCs w:val="16"/>
                <w:color w:val="auto"/>
              </w:rPr>
            </w:pPr>
          </w:p>
        </w:tc>
        <w:tc>
          <w:tcPr>
            <w:tcW w:w="2520" w:type="dxa"/>
            <w:vAlign w:val="bottom"/>
            <w:tcBorders>
              <w:bottom w:val="single" w:sz="8" w:color="auto"/>
            </w:tcBorders>
          </w:tcPr>
          <w:p>
            <w:pPr>
              <w:jc w:val="center"/>
              <w:ind w:left="493"/>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39"/>
        </w:trPr>
        <w:tc>
          <w:tcPr>
            <w:tcW w:w="20" w:type="dxa"/>
            <w:vAlign w:val="bottom"/>
          </w:tcPr>
          <w:p>
            <w:pPr>
              <w:spacing w:after="0"/>
              <w:rPr>
                <w:sz w:val="12"/>
                <w:szCs w:val="12"/>
                <w:color w:val="auto"/>
              </w:rPr>
            </w:pPr>
          </w:p>
        </w:tc>
        <w:tc>
          <w:tcPr>
            <w:tcW w:w="3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Class A Shares, Representing Limited Partner</w:t>
            </w:r>
          </w:p>
        </w:tc>
        <w:tc>
          <w:tcPr>
            <w:tcW w:w="120" w:type="dxa"/>
            <w:vAlign w:val="bottom"/>
          </w:tcPr>
          <w:p>
            <w:pPr>
              <w:spacing w:after="0"/>
              <w:rPr>
                <w:sz w:val="12"/>
                <w:szCs w:val="12"/>
                <w:color w:val="auto"/>
              </w:rPr>
            </w:pPr>
          </w:p>
        </w:tc>
        <w:tc>
          <w:tcPr>
            <w:tcW w:w="2520" w:type="dxa"/>
            <w:vAlign w:val="bottom"/>
          </w:tcPr>
          <w:p>
            <w:pPr>
              <w:jc w:val="center"/>
              <w:ind w:left="493"/>
              <w:spacing w:after="0" w:line="139" w:lineRule="exact"/>
              <w:rPr>
                <w:sz w:val="20"/>
                <w:szCs w:val="20"/>
                <w:color w:val="auto"/>
              </w:rPr>
            </w:pPr>
            <w:r>
              <w:rPr>
                <w:rFonts w:ascii="Times New Roman" w:cs="Times New Roman" w:eastAsia="Times New Roman" w:hAnsi="Times New Roman"/>
                <w:sz w:val="14"/>
                <w:szCs w:val="14"/>
                <w:color w:val="auto"/>
              </w:rPr>
              <w:t>PAGP</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Nasdaq</w:t>
            </w:r>
          </w:p>
        </w:tc>
      </w:tr>
      <w:tr>
        <w:trPr>
          <w:trHeight w:val="188"/>
        </w:trPr>
        <w:tc>
          <w:tcPr>
            <w:tcW w:w="20" w:type="dxa"/>
            <w:vAlign w:val="bottom"/>
          </w:tcPr>
          <w:p>
            <w:pPr>
              <w:spacing w:after="0"/>
              <w:rPr>
                <w:sz w:val="16"/>
                <w:szCs w:val="16"/>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r>
    </w:tbl>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42" w:lineRule="exact"/>
        <w:rPr>
          <w:sz w:val="24"/>
          <w:szCs w:val="24"/>
          <w:color w:val="auto"/>
        </w:rPr>
      </w:pPr>
    </w:p>
    <w:p>
      <w:pPr>
        <w:ind w:left="300" w:right="316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283"/>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0" w:firstLine="283"/>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ind w:right="200" w:firstLine="283"/>
        <w:spacing w:after="0" w:line="26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840"/>
        <w:spacing w:after="0" w:line="161" w:lineRule="exact"/>
        <w:tabs>
          <w:tab w:leader="none" w:pos="75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9" w:lineRule="exact"/>
        <w:rPr>
          <w:sz w:val="24"/>
          <w:szCs w:val="24"/>
          <w:color w:val="auto"/>
        </w:rPr>
      </w:pPr>
    </w:p>
    <w:p>
      <w:pPr>
        <w:ind w:left="1880"/>
        <w:spacing w:after="0" w:line="161" w:lineRule="exact"/>
        <w:tabs>
          <w:tab w:leader="none" w:pos="718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96" w:lineRule="exact"/>
        <w:rPr>
          <w:sz w:val="24"/>
          <w:szCs w:val="24"/>
          <w:color w:val="auto"/>
        </w:rPr>
      </w:pPr>
    </w:p>
    <w:p>
      <w:pPr>
        <w:ind w:left="72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6" w:lineRule="exact"/>
        <w:rPr>
          <w:sz w:val="24"/>
          <w:szCs w:val="24"/>
          <w:color w:val="auto"/>
        </w:rPr>
      </w:pPr>
    </w:p>
    <w:p>
      <w:pPr>
        <w:ind w:right="300" w:firstLine="324"/>
        <w:spacing w:after="0" w:line="19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1" w:lineRule="exact"/>
        <w:rPr>
          <w:sz w:val="24"/>
          <w:szCs w:val="24"/>
          <w:color w:val="auto"/>
        </w:rPr>
      </w:pPr>
    </w:p>
    <w:p>
      <w:pPr>
        <w:ind w:right="240" w:firstLine="324"/>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 w:lineRule="exact"/>
        <w:rPr>
          <w:sz w:val="24"/>
          <w:szCs w:val="24"/>
          <w:color w:val="auto"/>
        </w:rPr>
      </w:pPr>
    </w:p>
    <w:p>
      <w:pPr>
        <w:jc w:val="both"/>
        <w:ind w:firstLine="324"/>
        <w:spacing w:after="0" w:line="191"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1" w:lineRule="exact"/>
        <w:rPr>
          <w:sz w:val="24"/>
          <w:szCs w:val="24"/>
          <w:color w:val="auto"/>
        </w:rPr>
      </w:pPr>
    </w:p>
    <w:p>
      <w:pPr>
        <w:jc w:val="both"/>
        <w:ind w:firstLine="324"/>
        <w:spacing w:after="0" w:line="191"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firstLine="324"/>
        <w:spacing w:after="0" w:line="269" w:lineRule="auto"/>
        <w:rPr>
          <w:sz w:val="20"/>
          <w:szCs w:val="20"/>
          <w:color w:val="auto"/>
        </w:rPr>
      </w:pPr>
      <w:r>
        <w:rPr>
          <w:rFonts w:ascii="Times New Roman" w:cs="Times New Roman" w:eastAsia="Times New Roman" w:hAnsi="Times New Roman"/>
          <w:sz w:val="14"/>
          <w:szCs w:val="14"/>
          <w:color w:val="auto"/>
        </w:rPr>
        <w:t>The aggregate market value of the approximately 192.0 million Class A shares held by non-affiliates of the registrant (treating all executive officers and directors of the registrant and holders of 10% or more of the Class A shares outstanding, for this purpose, as if they are affiliates of the registrant) on June 28, 2024 was approximately $3.6 billion, based on a closing price of $18.82 per Class A share as reported on the Nasdaq Global Select Market on such date.</w:t>
      </w:r>
    </w:p>
    <w:p>
      <w:pPr>
        <w:spacing w:after="0" w:line="1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February 14, 2025, there were 197,743,624 Class A shares outstanding.</w:t>
      </w:r>
    </w:p>
    <w:p>
      <w:pPr>
        <w:spacing w:after="0" w:line="2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1900" w:h="16838" w:orient="portrait"/>
          <w:cols w:equalWidth="0" w:num="1">
            <w:col w:w="11160"/>
          </w:cols>
          <w:pgMar w:left="320" w:top="234" w:right="419" w:bottom="1440" w:gutter="0" w:footer="0" w:header="0"/>
        </w:sectPr>
      </w:pPr>
    </w:p>
    <w:p>
      <w:pPr>
        <w:spacing w:after="0" w:line="67" w:lineRule="exact"/>
        <w:rPr>
          <w:sz w:val="24"/>
          <w:szCs w:val="24"/>
          <w:color w:val="auto"/>
        </w:rPr>
      </w:pPr>
    </w:p>
    <w:p>
      <w:pPr>
        <w:jc w:val="center"/>
        <w:ind w:left="180" w:right="100"/>
        <w:spacing w:after="0" w:line="276"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pursuant to Regulation 14A pertaining to the 2025 Annual Meeting of Shareholders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34"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10-K—2024 ANNUAL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0" w:type="dxa"/>
            <w:vAlign w:val="bottom"/>
            <w:gridSpan w:val="2"/>
            <w:vMerge w:val="restart"/>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4160" w:type="dxa"/>
            <w:vAlign w:val="bottom"/>
            <w:gridSpan w:val="11"/>
            <w:vMerge w:val="restart"/>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FF"/>
            </w:tcBorders>
            <w:gridSpan w:val="2"/>
            <w:vMerge w:val="continue"/>
          </w:tcPr>
          <w:p>
            <w:pPr>
              <w:spacing w:after="0"/>
              <w:rPr>
                <w:sz w:val="14"/>
                <w:szCs w:val="14"/>
                <w:color w:val="auto"/>
              </w:rPr>
            </w:pPr>
          </w:p>
        </w:tc>
        <w:tc>
          <w:tcPr>
            <w:tcW w:w="4160" w:type="dxa"/>
            <w:vAlign w:val="bottom"/>
            <w:gridSpan w:val="11"/>
            <w:vMerge w:val="continue"/>
          </w:tcPr>
          <w:p>
            <w:pPr>
              <w:spacing w:after="0"/>
              <w:rPr>
                <w:sz w:val="14"/>
                <w:szCs w:val="14"/>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93"/>
        </w:trPr>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Items 1 and 2.</w:t>
            </w:r>
          </w:p>
        </w:tc>
        <w:tc>
          <w:tcPr>
            <w:tcW w:w="340" w:type="dxa"/>
            <w:vAlign w:val="bottom"/>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Business and Properties</w:t>
            </w:r>
          </w:p>
        </w:tc>
        <w:tc>
          <w:tcPr>
            <w:tcW w:w="6860" w:type="dxa"/>
            <w:vAlign w:val="bottom"/>
            <w:gridSpan w:val="2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1B.</w:t>
            </w:r>
          </w:p>
        </w:tc>
        <w:tc>
          <w:tcPr>
            <w:tcW w:w="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80" w:type="dxa"/>
            <w:vAlign w:val="bottom"/>
            <w:tcBorders>
              <w:top w:val="single" w:sz="8" w:color="0000FF"/>
            </w:tcBorders>
          </w:tcPr>
          <w:p>
            <w:pPr>
              <w:spacing w:after="0"/>
              <w:rPr>
                <w:sz w:val="18"/>
                <w:szCs w:val="18"/>
                <w:color w:val="auto"/>
              </w:rPr>
            </w:pPr>
          </w:p>
        </w:tc>
        <w:tc>
          <w:tcPr>
            <w:tcW w:w="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540" w:type="dxa"/>
            <w:vAlign w:val="bottom"/>
            <w:gridSpan w:val="20"/>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0" w:type="dxa"/>
            <w:vAlign w:val="bottom"/>
          </w:tcPr>
          <w:p>
            <w:pPr>
              <w:spacing w:after="0"/>
              <w:rPr>
                <w:sz w:val="18"/>
                <w:szCs w:val="18"/>
                <w:color w:val="auto"/>
              </w:rPr>
            </w:pPr>
          </w:p>
        </w:tc>
        <w:tc>
          <w:tcPr>
            <w:tcW w:w="78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40" w:type="dxa"/>
            <w:vAlign w:val="bottom"/>
            <w:gridSpan w:val="25"/>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31"/>
          </w:tcPr>
          <w:p>
            <w:pPr>
              <w:ind w:left="3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66"/>
        </w:trPr>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4"/>
          </w:tcPr>
          <w:p>
            <w:pPr>
              <w:jc w:val="center"/>
              <w:ind w:right="414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78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73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Market for Registrant’s Shares, Related Shareholder Matters and Issuer Purchases of Equity Securities</w:t>
            </w:r>
          </w:p>
        </w:tc>
        <w:tc>
          <w:tcPr>
            <w:tcW w:w="1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6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Reserved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6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6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20" w:type="dxa"/>
            <w:vAlign w:val="bottom"/>
            <w:gridSpan w:val="4"/>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7A.</w:t>
            </w:r>
          </w:p>
        </w:tc>
        <w:tc>
          <w:tcPr>
            <w:tcW w:w="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20" w:type="dxa"/>
            <w:vAlign w:val="bottom"/>
            <w:gridSpan w:val="12"/>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86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80" w:type="dxa"/>
            <w:vAlign w:val="bottom"/>
          </w:tcPr>
          <w:p>
            <w:pPr>
              <w:spacing w:after="0"/>
              <w:rPr>
                <w:sz w:val="18"/>
                <w:szCs w:val="18"/>
                <w:color w:val="auto"/>
              </w:rPr>
            </w:pPr>
          </w:p>
        </w:tc>
        <w:tc>
          <w:tcPr>
            <w:tcW w:w="78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9B.</w:t>
            </w:r>
          </w:p>
        </w:tc>
        <w:tc>
          <w:tcPr>
            <w:tcW w:w="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18"/>
                <w:szCs w:val="18"/>
                <w:color w:val="auto"/>
              </w:rPr>
            </w:pPr>
          </w:p>
        </w:tc>
        <w:tc>
          <w:tcPr>
            <w:tcW w:w="6820" w:type="dxa"/>
            <w:vAlign w:val="bottom"/>
            <w:gridSpan w:val="22"/>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78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680" w:type="dxa"/>
            <w:vAlign w:val="bottom"/>
            <w:gridSpan w:val="7"/>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6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08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480"/>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10.</w:t>
            </w:r>
          </w:p>
        </w:tc>
        <w:tc>
          <w:tcPr>
            <w:tcW w:w="8920" w:type="dxa"/>
            <w:vAlign w:val="bottom"/>
            <w:gridSpan w:val="31"/>
          </w:tcPr>
          <w:p>
            <w:pPr>
              <w:ind w:left="340"/>
              <w:spacing w:after="0"/>
              <w:rPr>
                <w:sz w:val="20"/>
                <w:szCs w:val="20"/>
                <w:color w:val="auto"/>
              </w:rPr>
            </w:pPr>
            <w:r>
              <w:rPr>
                <w:rFonts w:ascii="Times New Roman" w:cs="Times New Roman" w:eastAsia="Times New Roman" w:hAnsi="Times New Roman"/>
                <w:sz w:val="18"/>
                <w:szCs w:val="18"/>
                <w:color w:val="0000FF"/>
              </w:rPr>
              <w:t>Directors and Executive Officers of Our General Partner and Corporate Governance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78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2520" w:type="dxa"/>
            <w:vAlign w:val="bottom"/>
            <w:gridSpan w:val="5"/>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12.</w:t>
            </w:r>
          </w:p>
        </w:tc>
        <w:tc>
          <w:tcPr>
            <w:tcW w:w="340" w:type="dxa"/>
            <w:vAlign w:val="bottom"/>
          </w:tcPr>
          <w:p>
            <w:pPr>
              <w:spacing w:after="0"/>
              <w:rPr>
                <w:sz w:val="18"/>
                <w:szCs w:val="18"/>
                <w:color w:val="auto"/>
              </w:rPr>
            </w:pPr>
          </w:p>
        </w:tc>
        <w:tc>
          <w:tcPr>
            <w:tcW w:w="73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Shareholder Matters</w:t>
            </w:r>
          </w:p>
        </w:tc>
        <w:tc>
          <w:tcPr>
            <w:tcW w:w="128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8920" w:type="dxa"/>
            <w:vAlign w:val="bottom"/>
            <w:gridSpan w:val="31"/>
          </w:tcPr>
          <w:p>
            <w:pPr>
              <w:ind w:left="3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14.</w:t>
            </w:r>
          </w:p>
        </w:tc>
        <w:tc>
          <w:tcPr>
            <w:tcW w:w="8920" w:type="dxa"/>
            <w:vAlign w:val="bottom"/>
            <w:gridSpan w:val="31"/>
          </w:tcPr>
          <w:p>
            <w:pPr>
              <w:ind w:left="34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466"/>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1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480"/>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8920" w:type="dxa"/>
            <w:vAlign w:val="bottom"/>
            <w:gridSpan w:val="31"/>
          </w:tcPr>
          <w:p>
            <w:pPr>
              <w:ind w:left="3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420" w:type="dxa"/>
            <w:vAlign w:val="bottom"/>
            <w:gridSpan w:val="1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16.</w:t>
            </w:r>
          </w:p>
        </w:tc>
        <w:tc>
          <w:tcPr>
            <w:tcW w:w="8920" w:type="dxa"/>
            <w:vAlign w:val="bottom"/>
            <w:gridSpan w:val="31"/>
          </w:tcPr>
          <w:p>
            <w:pPr>
              <w:ind w:left="340"/>
              <w:spacing w:after="0"/>
              <w:rPr>
                <w:sz w:val="20"/>
                <w:szCs w:val="20"/>
                <w:color w:val="auto"/>
              </w:rPr>
            </w:pPr>
            <w:r>
              <w:rPr>
                <w:rFonts w:ascii="Times New Roman" w:cs="Times New Roman" w:eastAsia="Times New Roman" w:hAnsi="Times New Roman"/>
                <w:sz w:val="18"/>
                <w:szCs w:val="18"/>
                <w:color w:val="0000FF"/>
              </w:rPr>
              <w:t>Form 10-K Summary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6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240" w:hanging="324"/>
        <w:spacing w:after="0" w:line="282"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expected receipt of, and amounts of, distributions from Plains AAP, L.P., and the effect thereof on our ability to pay distributions to our Class A shareholders;</w:t>
      </w:r>
    </w:p>
    <w:p>
      <w:pPr>
        <w:spacing w:after="0" w:line="53" w:lineRule="exact"/>
        <w:rPr>
          <w:rFonts w:ascii="Times New Roman" w:cs="Times New Roman" w:eastAsia="Times New Roman" w:hAnsi="Times New Roman"/>
          <w:sz w:val="18"/>
          <w:szCs w:val="18"/>
          <w:i w:val="1"/>
          <w:iCs w:val="1"/>
          <w:color w:val="auto"/>
        </w:rPr>
      </w:pPr>
    </w:p>
    <w:p>
      <w:pPr>
        <w:ind w:left="980" w:right="20" w:hanging="324"/>
        <w:spacing w:after="0" w:line="258"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75" w:lineRule="exact"/>
        <w:rPr>
          <w:rFonts w:ascii="Times New Roman" w:cs="Times New Roman" w:eastAsia="Times New Roman" w:hAnsi="Times New Roman"/>
          <w:sz w:val="18"/>
          <w:szCs w:val="18"/>
          <w:color w:val="auto"/>
        </w:rPr>
      </w:pPr>
    </w:p>
    <w:p>
      <w:pPr>
        <w:ind w:left="980" w:right="100" w:hanging="324"/>
        <w:spacing w:after="0" w:line="256" w:lineRule="auto"/>
        <w:tabs>
          <w:tab w:leader="none" w:pos="97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8" w:lineRule="exact"/>
        <w:rPr>
          <w:rFonts w:ascii="Arial" w:cs="Arial" w:eastAsia="Arial" w:hAnsi="Arial"/>
          <w:sz w:val="18"/>
          <w:szCs w:val="18"/>
          <w:color w:val="auto"/>
        </w:rPr>
      </w:pPr>
    </w:p>
    <w:p>
      <w:pPr>
        <w:ind w:left="980" w:right="14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PAA enters into from time to time, whether relating to assets operated by PAA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PAA’s ability to consummate, acquisitions, divestitures, joint ventures or other strategic opportunities and realize benefits therefrom;</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53"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left="980" w:right="16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980" w:right="300" w:hanging="324"/>
        <w:spacing w:after="0" w:line="25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PAA’s credit ratings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PAA’s units at the time of vesting under its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29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Items 1 and 2. </w:t>
      </w:r>
      <w:r>
        <w:rPr>
          <w:rFonts w:ascii="Times New Roman" w:cs="Times New Roman" w:eastAsia="Times New Roman" w:hAnsi="Times New Roman"/>
          <w:sz w:val="18"/>
          <w:szCs w:val="18"/>
          <w:b w:val="1"/>
          <w:bCs w:val="1"/>
          <w:i w:val="1"/>
          <w:iCs w:val="1"/>
          <w:color w:val="auto"/>
        </w:rPr>
        <w:t>Business and Properties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Plains GP Holdings, L.P. is a publicly traded Delaware limited partnership that has elected to be taxed as a corporation for United States federal income tax purposes. PAGP’s Class A shares are listed on the Nasdaq Global Select Market (“Nasdaq”) under the ticker symbol “PAGP.” PAGP does not directly own any operating assets; as of December 31, 2024, its sole source of cash flow is derived from an indirect investment in Plains All American Pipeline, L.P. (“PAA”), a publicly traded Delaware limited partnership, through its limited partner interest in Plains AAP, L.P. (“AAP”). We also own a 100% managing member interest in Plains All American GP LLC (“GP LLC”), a Delaware limited liability company that holds the non-economic general partner interest in AAP.</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spacing w:after="0" w:line="21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PAA’s business is based on the fundamental thesis that hydrocarbons are essential to the security and advancement of human quality of life and will continue to play a major long-term role in the world economy.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and that North American crude oil and NGL production will be required to support the growth in demand.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spacing w:after="0" w:line="21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PAA’s assets are owned, and its operations are conducted, directly and indirectly through its primary operating subsidiaries. As used in this Form 10-K and unless the context indicates otherwise (taking into account the fact that PAGP has no operating activities apart from those conducted by PAA and its subsidiaries), the terms “Partnership,” “Plains,” “we,” “us,” “our,” “ours” and similar terms refer to PAGP and its subsidiaries.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the “PAGP Entities” include PAA GP Holdings LLC (“PAGP GP”), PAGP, GP LLC, AAP and PAA GP LLC (“PAA GP”).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“Plains Entities” include the PAGP Entities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diagram below shows our organizational structure as of December 31, 2024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5863590" cy="7106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710628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2288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hanging="11"/>
        <w:spacing w:after="0" w:line="256" w:lineRule="auto"/>
        <w:rPr>
          <w:sz w:val="20"/>
          <w:szCs w:val="20"/>
          <w:color w:val="auto"/>
        </w:rPr>
      </w:pPr>
      <w:r>
        <w:rPr>
          <w:rFonts w:ascii="Times New Roman" w:cs="Times New Roman" w:eastAsia="Times New Roman" w:hAnsi="Times New Roman"/>
          <w:sz w:val="18"/>
          <w:szCs w:val="18"/>
          <w:color w:val="auto"/>
        </w:rPr>
        <w:t>Each Class C share represents a non-economic limited partner interest in us. The Class C shares function as a “pass-through” voting mechanism through which PAA votes at the direction of and as proxy for the PAA common unitholders (other than AAP) and Series A preferred unitholders on the election of directors. The number of Class C shares that PAA owns is equal to the number of outstanding PAA common units and Series A Preferred units (“PAA Common Unit Equivalents”) that are entitled to vote, pro rata with the holders of our Class A and Class B shares, for the election of eligible PAGP GP directors. PAA Series B preferred units, which are non-voting securities, and PAA common units held by AAP, which already participate in such elections through our Class A and Class B shares, are not entitled to vote in the election of directors.</w:t>
      </w:r>
    </w:p>
    <w:p>
      <w:pPr>
        <w:spacing w:after="0" w:line="79" w:lineRule="exact"/>
        <w:rPr>
          <w:sz w:val="20"/>
          <w:szCs w:val="20"/>
          <w:color w:val="auto"/>
        </w:rPr>
      </w:pPr>
    </w:p>
    <w:p>
      <w:pPr>
        <w:ind w:right="780" w:hanging="11"/>
        <w:spacing w:after="0" w:line="282" w:lineRule="auto"/>
        <w:rPr>
          <w:sz w:val="20"/>
          <w:szCs w:val="20"/>
          <w:color w:val="auto"/>
        </w:rPr>
      </w:pPr>
      <w:r>
        <w:rPr>
          <w:rFonts w:ascii="Times New Roman" w:cs="Times New Roman" w:eastAsia="Times New Roman" w:hAnsi="Times New Roman"/>
          <w:sz w:val="18"/>
          <w:szCs w:val="18"/>
          <w:color w:val="auto"/>
        </w:rPr>
        <w:t>On January 31, 2025, PAA repurchased approximately 12.7 million Series A Preferred Units. See Note 11 to our Consolidated Financial Statements for additional information regarding this repurchase.</w:t>
      </w:r>
    </w:p>
    <w:p>
      <w:pPr>
        <w:spacing w:after="0" w:line="54" w:lineRule="exact"/>
        <w:rPr>
          <w:sz w:val="20"/>
          <w:szCs w:val="20"/>
          <w:color w:val="auto"/>
        </w:rPr>
      </w:pPr>
    </w:p>
    <w:p>
      <w:pPr>
        <w:ind w:right="40" w:hanging="11"/>
        <w:spacing w:after="0" w:line="258" w:lineRule="auto"/>
        <w:rPr>
          <w:sz w:val="20"/>
          <w:szCs w:val="20"/>
          <w:color w:val="auto"/>
        </w:rPr>
      </w:pPr>
      <w:r>
        <w:rPr>
          <w:rFonts w:ascii="Times New Roman" w:cs="Times New Roman" w:eastAsia="Times New Roman" w:hAnsi="Times New Roman"/>
          <w:sz w:val="18"/>
          <w:szCs w:val="18"/>
          <w:color w:val="auto"/>
        </w:rPr>
        <w:t>PAA holds (i) direct and indirect ownership interests in consolidated operating subsidiaries including, but not limited to, Plains Marketing, L.P., Plains Pipeline, L.P., Plains Midstream Canada ULC (“PMC 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spacing w:after="0" w:line="200" w:lineRule="exact"/>
        <w:rPr>
          <w:sz w:val="20"/>
          <w:szCs w:val="20"/>
          <w:color w:val="auto"/>
        </w:rPr>
      </w:pPr>
    </w:p>
    <w:p>
      <w:pPr>
        <w:sectPr>
          <w:pgSz w:w="11900" w:h="16838" w:orient="portrait"/>
          <w:cols w:equalWidth="0" w:num="2">
            <w:col w:w="140" w:space="520"/>
            <w:col w:w="10560"/>
          </w:cols>
          <w:pgMar w:left="320" w:top="126" w:right="3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Unless we directly acquire and hold assets or businesses in the future, our cash flows will be generated solely from the cash distributions we receive on the Class A units of AAP (“AAP units”) we own. AAP currently receives all of its cash flows from distributions on the PAA common units it owns.</w:t>
      </w:r>
    </w:p>
    <w:p>
      <w:pPr>
        <w:spacing w:after="0" w:line="20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203"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We maintain a one-to-one relationship between our Class A shares and the underlying PAA common units in which we have an indirect economic interest through our ownership interest in AAP (referred to as “Economic Parity”), such that the number of our outstanding Class A shares equals the number of AAP units we own, which in turn equals the number of PAA common units held by AAP attributable to our ownership interest in AAP.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PAA’s Business Strategy</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PAA’s principal business strategy is to provide competitive and efficient midstream infrastructure and logistics services to producers, refiners and other customers. PAA strives to address regional supply and demand imbalances for crude oil and NGL in the United States and Canada by combining the strategic location and capabilities of its transportation, terminalling, storage, processing and fractionation assets with its commercial expertise. PAA intends to execute its strategy by:</w:t>
      </w:r>
    </w:p>
    <w:p>
      <w:pPr>
        <w:spacing w:after="0" w:line="72" w:lineRule="exact"/>
        <w:rPr>
          <w:sz w:val="20"/>
          <w:szCs w:val="20"/>
          <w:color w:val="auto"/>
        </w:rPr>
      </w:pPr>
    </w:p>
    <w:p>
      <w:pPr>
        <w:ind w:left="980" w:right="4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operational excellence, continuous improvement and running a safe, reliable, and environmentally and socially responsible operation;</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its well-positioned network of midstream infrastructure in conjunction with its commercial capabilities to provide its customers with market access, flexibility and value chain solutions, capture market opportunities, address physical market imbalances and generate and grow sustainable cash flow and margin while maintaining an acceptable risk profile;</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and enhancing its asset portfolio and operations (through disciplined and accretive capital investments and the pursuit of emerging energy opportunities) to maximize returns on invested capital; and</w:t>
      </w:r>
    </w:p>
    <w:p>
      <w:pPr>
        <w:spacing w:after="0" w:line="53"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 balanced, long-term financial strategy that is focused on maintaining an investment grade credit profile and enhancing financial flexibility by making disciplined capital allocation decisions.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believe PAA’s successful execution of this strategy will enable it to generate and grow sustainable earnings and cash flow, and will position PAA to maintain an investment grade credit profile and increase returns to equity holders over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PAA’s Competitive Strengths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the following competitive strengths position PAA to successfully execute its principal business strategy:</w:t>
      </w:r>
    </w:p>
    <w:p>
      <w:pPr>
        <w:spacing w:after="0" w:line="115" w:lineRule="exact"/>
        <w:rPr>
          <w:sz w:val="20"/>
          <w:szCs w:val="20"/>
          <w:color w:val="auto"/>
        </w:rPr>
      </w:pPr>
    </w:p>
    <w:p>
      <w:pPr>
        <w:ind w:left="980" w:right="160" w:hanging="324"/>
        <w:spacing w:after="0" w:line="256"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PAA owns a strategically located, geographically diverse and interconnected large-scale asset base that provides operational flexibility and commercial optionality. </w:t>
      </w:r>
      <w:r>
        <w:rPr>
          <w:rFonts w:ascii="Times New Roman" w:cs="Times New Roman" w:eastAsia="Times New Roman" w:hAnsi="Times New Roman"/>
          <w:sz w:val="18"/>
          <w:szCs w:val="18"/>
          <w:color w:val="auto"/>
        </w:rPr>
        <w:t>The majority of PAA’s transportation assets are in crude oil service, are located in well-established crude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producing regions (with PAA’s largest asset presence in the Permian Basin) and other transportation corridors and are connected, directly or indirectly, with PAA’s terminals and facilities assets. The majority of PAA’s terminals and facilities assets are located at major trading locations and premium markets that serve as gateways to major North American refinery and distribution markets and key export terminals where PAA has strong business relationships. In addition, PAA’s pipeline, rail, truck and storage assets provide PAA’s customers and PAA with significant flexibility and optionality to satisfy demand, balance markets, and participate in emerging energy opportunities.</w:t>
      </w:r>
    </w:p>
    <w:p>
      <w:pPr>
        <w:spacing w:after="0" w:line="128" w:lineRule="exact"/>
        <w:rPr>
          <w:rFonts w:ascii="Times New Roman" w:cs="Times New Roman" w:eastAsia="Times New Roman" w:hAnsi="Times New Roman"/>
          <w:sz w:val="18"/>
          <w:szCs w:val="18"/>
          <w:i w:val="1"/>
          <w:iCs w:val="1"/>
          <w:color w:val="auto"/>
        </w:rPr>
      </w:pPr>
    </w:p>
    <w:p>
      <w:pPr>
        <w:ind w:left="980" w:right="100" w:hanging="324"/>
        <w:spacing w:after="0" w:line="257"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PAA’s full-service integrated model and long-term focus attracts a broad, diverse and high-quality customer base that supports sustainable fee-based cash flow generation. </w:t>
      </w:r>
      <w:r>
        <w:rPr>
          <w:rFonts w:ascii="Times New Roman" w:cs="Times New Roman" w:eastAsia="Times New Roman" w:hAnsi="Times New Roman"/>
          <w:sz w:val="18"/>
          <w:szCs w:val="18"/>
          <w:color w:val="auto"/>
        </w:rPr>
        <w:t>PAA’s strategically located and interconnected asset base enables it to provide its customers with a 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services, including supply aggregation, quality segregation, flow assurance and market access. PAA focuses on building long-term relationships and alignment of interests with its customers. PAA believes this approach has helped it build a high-quality portfolio of customers and contracts (including long-term, third-party transportation contracts and acreage dedication contracts) that provide long-term volume support for its assets and, in turn, support long-term fee-based cash flow generation from its assets.</w:t>
      </w:r>
    </w:p>
    <w:p>
      <w:pPr>
        <w:spacing w:after="0" w:line="128"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PAA possesses specialized crude oil and NGL market knowledge. </w:t>
      </w:r>
      <w:r>
        <w:rPr>
          <w:rFonts w:ascii="Times New Roman" w:cs="Times New Roman" w:eastAsia="Times New Roman" w:hAnsi="Times New Roman"/>
          <w:sz w:val="18"/>
          <w:szCs w:val="18"/>
          <w:color w:val="auto"/>
        </w:rPr>
        <w:t>We believe PAA’s business relationships with participants in various phases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crude oil and NGL distribution chain, from producers to refiners, as well as PAA’s own industry expertise (including PAA’s knowledge of North American crude oil and NGL flows), provide PAA with extensive market insight and an understanding of the North American physical crude oil and NGL markets that enables PAA to provide value chain solutions for its customers.</w:t>
      </w:r>
    </w:p>
    <w:p>
      <w:pPr>
        <w:spacing w:after="0" w:line="125" w:lineRule="exact"/>
        <w:rPr>
          <w:rFonts w:ascii="Times New Roman" w:cs="Times New Roman" w:eastAsia="Times New Roman" w:hAnsi="Times New Roman"/>
          <w:sz w:val="18"/>
          <w:szCs w:val="18"/>
          <w:i w:val="1"/>
          <w:iCs w:val="1"/>
          <w:color w:val="auto"/>
        </w:rPr>
      </w:pPr>
    </w:p>
    <w:p>
      <w:pPr>
        <w:ind w:left="980" w:right="280" w:hanging="324"/>
        <w:spacing w:after="0" w:line="267"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PAA’s merchant activities provide it with the opportunity to realize incremental margins. </w:t>
      </w:r>
      <w:r>
        <w:rPr>
          <w:rFonts w:ascii="Times New Roman" w:cs="Times New Roman" w:eastAsia="Times New Roman" w:hAnsi="Times New Roman"/>
          <w:sz w:val="18"/>
          <w:szCs w:val="18"/>
          <w:color w:val="auto"/>
        </w:rPr>
        <w:t>We believe the variety of its merchant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PAA with a low-risk opportunity to generate incremental margin, the amount of which may vary depending on market conditions (such as differentials and certain competitive factors).</w:t>
      </w:r>
    </w:p>
    <w:p>
      <w:pPr>
        <w:spacing w:after="0" w:line="119" w:lineRule="exact"/>
        <w:rPr>
          <w:rFonts w:ascii="Times New Roman" w:cs="Times New Roman" w:eastAsia="Times New Roman" w:hAnsi="Times New Roman"/>
          <w:sz w:val="18"/>
          <w:szCs w:val="18"/>
          <w:i w:val="1"/>
          <w:iCs w:val="1"/>
          <w:color w:val="auto"/>
        </w:rPr>
      </w:pPr>
    </w:p>
    <w:p>
      <w:pPr>
        <w:ind w:left="980" w:hanging="324"/>
        <w:spacing w:after="0" w:line="261"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PAA has the financial, strategic and technical skills needed to execute strategic transactions that support its business and financial objectives, including joint ventures, joint ownership arrangements, acquisitions and divestitures. </w:t>
      </w:r>
      <w:r>
        <w:rPr>
          <w:rFonts w:ascii="Times New Roman" w:cs="Times New Roman" w:eastAsia="Times New Roman" w:hAnsi="Times New Roman"/>
          <w:sz w:val="18"/>
          <w:szCs w:val="18"/>
          <w:color w:val="auto"/>
        </w:rPr>
        <w:t>PAA is a party to more than 25 joint ventures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ownership arrangements (including the Permian JV that was formed in October 2021) with strategic partners that support the success of the applicable project or investment.</w:t>
      </w:r>
    </w:p>
    <w:p>
      <w:pPr>
        <w:spacing w:after="0" w:line="125"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PAA has an experienced management team whose interests are aligned with those of its equity holders. </w:t>
      </w:r>
      <w:r>
        <w:rPr>
          <w:rFonts w:ascii="Times New Roman" w:cs="Times New Roman" w:eastAsia="Times New Roman" w:hAnsi="Times New Roman"/>
          <w:sz w:val="18"/>
          <w:szCs w:val="18"/>
          <w:color w:val="auto"/>
        </w:rPr>
        <w:t>PAA’s executive management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 average of 30+ years of experience spanning across all sectors of the energy industry and an average of over 15 years of experience with PAA or its predecessors and affiliates. In addition, through their ownership of PAA equity interests and grants of long-term equity incentive awards, PAA’s management team has a vested interest in PAA’s continued success that is aligned with the interests of PAA’s equity 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Strategy</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financial strategy is designed to be complementary to PAA’s financial and business strategies. Our only cash-generating asset is our limited partner interest in AAP, which currently receives all of its cash flows from distributions on the PAA common units it owns.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pacing w:after="0" w:line="20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PAA’s Financial Strategy</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PAA’s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its initial public offering in 1998, PAA has completed and integrated over 100 acquisitions with an aggregate purchase price of approximately $14.7 billion, implemented investment capital projects totaling approximately $18.1 billion, returned $19.3 billion to its equity holders, primarily in the form of distributions, and enhanced its credit rating to investment grade from non-investment grade. Additionally, since 2016 PAA has completed more than $4.9 billion of divestitures of non-core assets and/or strategic sales of partial interests in selected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Credit Profile</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part of PAA’s financial strategy, it intends to maintain a credit profile that it believes is consistent with investment grade credit ratings. PAA targets a credit profile with the following attributes:</w:t>
      </w:r>
    </w:p>
    <w:p>
      <w:pPr>
        <w:spacing w:after="0" w:line="189" w:lineRule="exact"/>
        <w:rPr>
          <w:sz w:val="20"/>
          <w:szCs w:val="20"/>
          <w:color w:val="auto"/>
        </w:rPr>
      </w:pPr>
    </w:p>
    <w:p>
      <w:pPr>
        <w:jc w:val="both"/>
        <w:ind w:left="980" w:right="22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long-term debt-to-total capitalization ratio of approximately 50% or less;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total debt-to-total capitalization ratio of approximately 60% or less;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Adjusted EBITDA-to-interest coverage multiple of approximately 3.3x or better.</w:t>
      </w:r>
    </w:p>
    <w:p>
      <w:pPr>
        <w:spacing w:after="0" w:line="25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Operations—Results of Operations—Non-GAAP Financial Measures” for our definition of Adjusted EBITDA and Adjusted EBITDA attributable to PAA.</w:t>
      </w:r>
    </w:p>
    <w:p>
      <w:pPr>
        <w:spacing w:after="0" w:line="18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At December 31, 2024, PAA’s publicly-traded senior notes comprised approximately 99% of its long-term debt. Additionally, PAA routinely incurs short-term debt primarily in connection with its merchant activities that involve the simultaneous purchase and forward sale of crude oil and NGL. The crude oil and NGL purchased in these transactions are volumetrically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baseline levels. Similar to PAA’s working capital borrowings, these borrowings are self-liquidating. PAA does not consider the working capital borrowings or margin requirements associated with these activities to be part of its long-term capital structure.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Values and Sustainability</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our officers and employees conduct themselves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impacts, and utilizing our people, assets and systems to maximize long-term value for our stakeholders. Annual environmental and safety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Board Committee provides additional oversight and perspectives with respect to HSES matters. Additional information regarding our Core Values and our commitment to environmental and social responsibility, including our annual Sustainability Report, is available in the Sustainability section of our website. References to sustainability in this report incorporate ESG factors. See “—Available Information” below.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Segments and Associated Assets</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two segments — Crude Oil and NGL. Accordingly, any references to “we,” “us,” “our,” and similar terms describing assets, business characteristics or other related matters are references to assets, business characteristics or other matters involving PAA’s assets and operations.</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have an extensive network of pipeline transportation, terminalling, storage and gathering assets in key crude oil and NGL producing basins and transportation corridors and at major market hubs in the United States and Canada.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248920</wp:posOffset>
            </wp:positionV>
            <wp:extent cx="5863590" cy="5057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description of the activities and assets for each of our segments.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Segment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Market and Business Overview</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lack of fungibility of the various grades of crude oil can create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w:t>
      </w:r>
    </w:p>
    <w:p>
      <w:pPr>
        <w:spacing w:after="0" w:line="21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figure below provides an illustrative and simplified overview of the assets and activities associated with our Crude Oil segment (within the shaded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131445</wp:posOffset>
            </wp:positionV>
            <wp:extent cx="5863590" cy="1388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and processing facilities. We also generate significant revenue through a variety of commercial and merchant activities that often result in increased utilization of our transportation and storage assets.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 Assets Overview</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assets utilized in our Crude Oil segment included the following:</w:t>
      </w:r>
    </w:p>
    <w:p>
      <w:pPr>
        <w:spacing w:after="0" w:line="25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18,800 miles of active crude oil transportation pipelines and gathering systems;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million barrels of commercial crude oil storage capacity at our terminalling and storage locations;</w:t>
      </w:r>
    </w:p>
    <w:p>
      <w:pPr>
        <w:spacing w:after="0" w:line="117"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barrels of active, above-ground tank capacity used to facilitate pipeline throughput or support our rail assets and help maintain product quality segregation;</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marine facilities in the United States;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condensate processing facility with an aggregate processing capacity of 120,000 barrels per day;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crude oil rail terminals with aggregate loading and unloading capacity of 264,000 and 380,000 barrels per day, respectively;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crude oil railcars;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815 trucks and 1,335 trailers.</w:t>
      </w:r>
    </w:p>
    <w:p>
      <w:pPr>
        <w:spacing w:after="0" w:line="25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our assets include the linefill associated with our commercial activities, including approximately: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barrels of crude oil linefill in pipelines and tanks owned by us; and</w:t>
      </w:r>
    </w:p>
    <w:p>
      <w:pPr>
        <w:sectPr>
          <w:pgSz w:w="11900" w:h="16838" w:orient="portrait"/>
          <w:cols w:equalWidth="0" w:num="1">
            <w:col w:w="11140"/>
          </w:cols>
          <w:pgMar w:left="320" w:top="126" w:right="4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8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barrels of crude oil utilized as linefill in pipelines owned by third parties or otherwise required as long-term inventory.</w:t>
      </w:r>
    </w:p>
    <w:p>
      <w:pPr>
        <w:spacing w:after="0" w:line="25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additional information about our pipelines and terminals by geographic location, including active pipeline miles and commercial storage capacity as of December 31, 2024 and average daily volumes transported on our crude oil pipelines for the year ended December 31,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2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Ownership Percentage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Approximate System</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2024 Average</w:t>
            </w:r>
          </w:p>
        </w:tc>
        <w:tc>
          <w:tcPr>
            <w:tcW w:w="1760" w:type="dxa"/>
            <w:vAlign w:val="bottom"/>
          </w:tcPr>
          <w:p>
            <w:pPr>
              <w:jc w:val="right"/>
              <w:ind w:right="114"/>
              <w:spacing w:after="0"/>
              <w:rPr>
                <w:sz w:val="20"/>
                <w:szCs w:val="20"/>
                <w:color w:val="auto"/>
              </w:rPr>
            </w:pPr>
            <w:r>
              <w:rPr>
                <w:rFonts w:ascii="Times New Roman" w:cs="Times New Roman" w:eastAsia="Times New Roman" w:hAnsi="Times New Roman"/>
                <w:sz w:val="15"/>
                <w:szCs w:val="15"/>
                <w:b w:val="1"/>
                <w:bCs w:val="1"/>
                <w:color w:val="auto"/>
              </w:rPr>
              <w:t>Commercial Storage</w:t>
            </w:r>
          </w:p>
        </w:tc>
        <w:tc>
          <w:tcPr>
            <w:tcW w:w="0" w:type="dxa"/>
            <w:vAlign w:val="bottom"/>
          </w:tcPr>
          <w:p>
            <w:pPr>
              <w:spacing w:after="0"/>
              <w:rPr>
                <w:sz w:val="1"/>
                <w:szCs w:val="1"/>
                <w:color w:val="auto"/>
              </w:rPr>
            </w:pPr>
          </w:p>
        </w:tc>
      </w:tr>
      <w:tr>
        <w:trPr>
          <w:trHeight w:val="216"/>
        </w:trPr>
        <w:tc>
          <w:tcPr>
            <w:tcW w:w="4040" w:type="dxa"/>
            <w:vAlign w:val="bottom"/>
            <w:gridSpan w:val="3"/>
            <w:vMerge w:val="continue"/>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62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7"/>
              </w:rPr>
              <w:t xml:space="preserve">Miles </w:t>
            </w:r>
            <w:r>
              <w:rPr>
                <w:rFonts w:ascii="Times New Roman" w:cs="Times New Roman" w:eastAsia="Times New Roman" w:hAnsi="Times New Roman"/>
                <w:sz w:val="19"/>
                <w:szCs w:val="19"/>
                <w:b w:val="1"/>
                <w:bCs w:val="1"/>
                <w:color w:val="auto"/>
                <w:w w:val="97"/>
                <w:vertAlign w:val="superscript"/>
              </w:rPr>
              <w:t>(1)</w:t>
            </w:r>
          </w:p>
        </w:tc>
        <w:tc>
          <w:tcPr>
            <w:tcW w:w="182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5"/>
                <w:szCs w:val="15"/>
                <w:b w:val="1"/>
                <w:bCs w:val="1"/>
                <w:color w:val="auto"/>
                <w:w w:val="97"/>
              </w:rPr>
              <w:t xml:space="preserve">Barrels per Day </w:t>
            </w:r>
            <w:r>
              <w:rPr>
                <w:rFonts w:ascii="Times New Roman" w:cs="Times New Roman" w:eastAsia="Times New Roman" w:hAnsi="Times New Roman"/>
                <w:sz w:val="19"/>
                <w:szCs w:val="19"/>
                <w:b w:val="1"/>
                <w:bCs w:val="1"/>
                <w:color w:val="auto"/>
                <w:w w:val="97"/>
                <w:vertAlign w:val="superscript"/>
              </w:rPr>
              <w:t>(2)</w:t>
            </w:r>
          </w:p>
        </w:tc>
        <w:tc>
          <w:tcPr>
            <w:tcW w:w="176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5"/>
                <w:szCs w:val="15"/>
                <w:b w:val="1"/>
                <w:bCs w:val="1"/>
                <w:color w:val="auto"/>
              </w:rPr>
              <w:t xml:space="preserve">Capacity </w:t>
            </w:r>
            <w:r>
              <w:rPr>
                <w:rFonts w:ascii="Times New Roman" w:cs="Times New Roman" w:eastAsia="Times New Roman" w:hAnsi="Times New Roman"/>
                <w:sz w:val="19"/>
                <w:szCs w:val="19"/>
                <w:b w:val="1"/>
                <w:bCs w:val="1"/>
                <w:color w:val="auto"/>
                <w:vertAlign w:val="superscript"/>
              </w:rPr>
              <w:t>(3)</w:t>
            </w:r>
          </w:p>
        </w:tc>
        <w:tc>
          <w:tcPr>
            <w:tcW w:w="0" w:type="dxa"/>
            <w:vAlign w:val="bottom"/>
          </w:tcPr>
          <w:p>
            <w:pPr>
              <w:spacing w:after="0"/>
              <w:rPr>
                <w:sz w:val="1"/>
                <w:szCs w:val="1"/>
                <w:color w:val="auto"/>
              </w:rPr>
            </w:pPr>
          </w:p>
        </w:tc>
      </w:tr>
      <w:tr>
        <w:trPr>
          <w:trHeight w:val="190"/>
        </w:trPr>
        <w:tc>
          <w:tcPr>
            <w:tcW w:w="3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7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gridSpan w:val="3"/>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Gathering pipelines </w:t>
            </w:r>
            <w:r>
              <w:rPr>
                <w:rFonts w:ascii="Times New Roman" w:cs="Times New Roman" w:eastAsia="Times New Roman" w:hAnsi="Times New Roman"/>
                <w:sz w:val="23"/>
                <w:szCs w:val="23"/>
                <w:color w:val="auto"/>
                <w:vertAlign w:val="superscript"/>
              </w:rPr>
              <w:t>(4)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3"/>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Intra-basin pipelines </w:t>
            </w:r>
            <w:r>
              <w:rPr>
                <w:rFonts w:ascii="Times New Roman" w:cs="Times New Roman" w:eastAsia="Times New Roman" w:hAnsi="Times New Roman"/>
                <w:sz w:val="23"/>
                <w:szCs w:val="23"/>
                <w:color w:val="auto"/>
                <w:vertAlign w:val="superscript"/>
              </w:rPr>
              <w:t>(4)</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 - 100%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3"/>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Long-haul pipelines </w:t>
            </w:r>
            <w:r>
              <w:rPr>
                <w:rFonts w:ascii="Times New Roman" w:cs="Times New Roman" w:eastAsia="Times New Roman" w:hAnsi="Times New Roman"/>
                <w:sz w:val="23"/>
                <w:szCs w:val="23"/>
                <w:color w:val="auto"/>
                <w:vertAlign w:val="superscript"/>
              </w:rPr>
              <w:t>(5)</w:t>
            </w:r>
          </w:p>
        </w:tc>
        <w:tc>
          <w:tcPr>
            <w:tcW w:w="1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17% - 100%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Basin Total</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Texas/Eagle Ford</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 - 100%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 - 100%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(5)</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 - 100%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(5)</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 - 100%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8,934</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total mileage of pipelines in which we own less than 100%.</w:t>
      </w:r>
    </w:p>
    <w:p>
      <w:pPr>
        <w:spacing w:after="0" w:line="117" w:lineRule="exact"/>
        <w:rPr>
          <w:sz w:val="20"/>
          <w:szCs w:val="20"/>
          <w:color w:val="auto"/>
        </w:rPr>
      </w:pPr>
    </w:p>
    <w:p>
      <w:pPr>
        <w:ind w:left="20" w:right="80" w:hanging="11"/>
        <w:spacing w:after="0" w:line="258" w:lineRule="auto"/>
        <w:rPr>
          <w:sz w:val="20"/>
          <w:szCs w:val="20"/>
          <w:color w:val="auto"/>
        </w:rPr>
      </w:pPr>
      <w:r>
        <w:rPr>
          <w:rFonts w:ascii="Times New Roman" w:cs="Times New Roman" w:eastAsia="Times New Roman" w:hAnsi="Times New Roman"/>
          <w:sz w:val="18"/>
          <w:szCs w:val="18"/>
          <w:color w:val="auto"/>
        </w:rPr>
        <w:t>Represents average daily volumes for the entire year attributable to our interest for pipelines owned by consolidated entities, unconsolidated entities or through undivided joint interests (“UJI”).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or sold during the year represent total volumes for the number of days we actually owned the assets divided by the number of days in the period.</w:t>
      </w:r>
    </w:p>
    <w:p>
      <w:pPr>
        <w:spacing w:after="0" w:line="75"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ind w:left="660" w:right="580" w:hanging="652"/>
        <w:spacing w:after="0" w:line="22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Commercial storage capacity in millions of barrels. Does not include operational storage capacity used to facilitate pipeline throughput and maintain product quality segregation.</w:t>
      </w:r>
    </w:p>
    <w:p>
      <w:pPr>
        <w:spacing w:after="0" w:line="90" w:lineRule="exact"/>
        <w:rPr>
          <w:rFonts w:ascii="Times New Roman" w:cs="Times New Roman" w:eastAsia="Times New Roman" w:hAnsi="Times New Roman"/>
          <w:sz w:val="23"/>
          <w:szCs w:val="23"/>
          <w:color w:val="auto"/>
          <w:vertAlign w:val="superscript"/>
        </w:rPr>
      </w:pPr>
    </w:p>
    <w:p>
      <w:pPr>
        <w:ind w:left="660" w:right="120" w:hanging="652"/>
        <w:spacing w:after="0" w:line="22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of our gathering pipelines and a majority of our intra-basin pipelines in the Permian Basin are owned by the Permian JV, a consolidated entity in which we own a 65% interest. The Permian JV has a 63% UJI in one of the intra-basin pipelines in the Permian Basin.</w:t>
      </w:r>
    </w:p>
    <w:p>
      <w:pPr>
        <w:spacing w:after="0" w:line="60"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pipelines operated by a third party.</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Crude Oil Infrastructure</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 B and another from point B to point C would double the pipeline tariff volumes on a particular system versus a single point A to point C movement).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at times, our reported tariff barrel movements may exceed our total capacity.</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crude oil pipelines are comprised of:</w:t>
      </w:r>
    </w:p>
    <w:p>
      <w:pPr>
        <w:spacing w:after="0" w:line="250"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that move crude oil from wellhead or central battery connections to regional market hubs;</w:t>
      </w:r>
    </w:p>
    <w:p>
      <w:pPr>
        <w:spacing w:after="0" w:line="252" w:lineRule="exact"/>
        <w:rPr>
          <w:rFonts w:ascii="Times New Roman" w:cs="Times New Roman" w:eastAsia="Times New Roman" w:hAnsi="Times New Roman"/>
          <w:sz w:val="18"/>
          <w:szCs w:val="18"/>
          <w:color w:val="auto"/>
        </w:rPr>
      </w:pPr>
    </w:p>
    <w:p>
      <w:pPr>
        <w:ind w:left="1300" w:right="460" w:hanging="320"/>
        <w:spacing w:after="0" w:line="284"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intra-basin pipelines </w:t>
      </w:r>
      <w:r>
        <w:rPr>
          <w:rFonts w:ascii="Times New Roman" w:cs="Times New Roman" w:eastAsia="Times New Roman" w:hAnsi="Times New Roman"/>
          <w:sz w:val="18"/>
          <w:szCs w:val="18"/>
          <w:color w:val="auto"/>
        </w:rPr>
        <w:t>that are used as a hub system allowing for a significant amount of flexibility by creating connections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regional hub locations; and</w:t>
      </w:r>
    </w:p>
    <w:p>
      <w:pPr>
        <w:spacing w:after="0" w:line="185" w:lineRule="exact"/>
        <w:rPr>
          <w:rFonts w:ascii="Times New Roman" w:cs="Times New Roman" w:eastAsia="Times New Roman" w:hAnsi="Times New Roman"/>
          <w:sz w:val="18"/>
          <w:szCs w:val="18"/>
          <w:color w:val="auto"/>
        </w:rPr>
      </w:pPr>
    </w:p>
    <w:p>
      <w:pPr>
        <w:ind w:left="1300" w:right="360" w:hanging="320"/>
        <w:spacing w:after="0" w:line="284"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that move crude oil from (i) regional market hubs to major market hubs such as Cushing, Oklahoma or to export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including our Corpus Christi terminal, or (ii) a refinery or other major market hubs, such as the Houston market.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most significant assets are described further below by region.</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Permian Basin</w:t>
      </w:r>
    </w:p>
    <w:p>
      <w:pPr>
        <w:spacing w:after="0" w:line="25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operate over 5,300 miles of gathering pipelines in both the Midland Basin and the Delaware Basin that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approximately 3.8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 The Permian JV acquired an additional Delaware Basin gathering system in January 2025.</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Intra-Basin Pipelines. </w:t>
      </w:r>
      <w:r>
        <w:rPr>
          <w:rFonts w:ascii="Times New Roman" w:cs="Times New Roman" w:eastAsia="Times New Roman" w:hAnsi="Times New Roman"/>
          <w:sz w:val="18"/>
          <w:szCs w:val="18"/>
          <w:color w:val="auto"/>
        </w:rPr>
        <w:t>Our intra-basin pipeline system in the Permian Basin has a capacity of approximately 3.1 million barrels per day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spacing w:after="0" w:line="21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interests in multiple long-haul pipeline systems that, on a combined basis, represent approximately 2.1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per day of currently operational takeaway capacity out of the Permian Basin to major market hubs in Corpus Christi and Houston, Texas and Cushing, Oklahoma. Our long-haul pipelines are supported by long-term commitments. Below is a description of some of our most significant long-haul pipeline systems originating from the Permian Basin region.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Permian to Cushing/Mid-Continent</w:t>
      </w:r>
    </w:p>
    <w:p>
      <w:pPr>
        <w:spacing w:after="0" w:line="254" w:lineRule="exact"/>
        <w:rPr>
          <w:sz w:val="20"/>
          <w:szCs w:val="20"/>
          <w:color w:val="auto"/>
        </w:rPr>
      </w:pPr>
    </w:p>
    <w:p>
      <w:pPr>
        <w:ind w:left="980" w:right="100" w:hanging="324"/>
        <w:spacing w:after="0" w:line="26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Basin Pipeline (Permian to Cushing). </w:t>
      </w:r>
      <w:r>
        <w:rPr>
          <w:rFonts w:ascii="Times New Roman" w:cs="Times New Roman" w:eastAsia="Times New Roman" w:hAnsi="Times New Roman"/>
          <w:sz w:val="18"/>
          <w:szCs w:val="18"/>
          <w:color w:val="auto"/>
        </w:rPr>
        <w:t>We own an approximate 87% UJI in and are the operator of Basin Pipeline. Basin Pipeline has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206" w:lineRule="exact"/>
        <w:rPr>
          <w:rFonts w:ascii="Times New Roman" w:cs="Times New Roman" w:eastAsia="Times New Roman" w:hAnsi="Times New Roman"/>
          <w:sz w:val="18"/>
          <w:szCs w:val="18"/>
          <w:color w:val="auto"/>
        </w:rPr>
      </w:pPr>
    </w:p>
    <w:p>
      <w:pPr>
        <w:ind w:left="980" w:right="480" w:hanging="324"/>
        <w:spacing w:after="0" w:line="267"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Sunrise II Pipeline. </w:t>
      </w:r>
      <w:r>
        <w:rPr>
          <w:rFonts w:ascii="Times New Roman" w:cs="Times New Roman" w:eastAsia="Times New Roman" w:hAnsi="Times New Roman"/>
          <w:sz w:val="18"/>
          <w:szCs w:val="18"/>
          <w:color w:val="auto"/>
        </w:rPr>
        <w:t>We operate the Sunrise II Pipeline and, through a UJI arrangement, own 80% of the capacity of the pipeline,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equates to approximately 400,000 barrels of capacity. Our Sunrise II Pipeline transports crude oil from Midland and Colorado City to connecting carriers at Wichita Falls.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Permian to Gulf Coast</w:t>
      </w:r>
    </w:p>
    <w:p>
      <w:pPr>
        <w:spacing w:after="0" w:line="254" w:lineRule="exact"/>
        <w:rPr>
          <w:sz w:val="20"/>
          <w:szCs w:val="20"/>
          <w:color w:val="auto"/>
        </w:rPr>
      </w:pPr>
    </w:p>
    <w:p>
      <w:pPr>
        <w:ind w:left="980" w:right="100" w:hanging="324"/>
        <w:spacing w:after="0" w:line="267" w:lineRule="auto"/>
        <w:tabs>
          <w:tab w:leader="none" w:pos="97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BridgeTex Pipeline (Permian to Houston). </w:t>
      </w:r>
      <w:r>
        <w:rPr>
          <w:rFonts w:ascii="Times New Roman" w:cs="Times New Roman" w:eastAsia="Times New Roman" w:hAnsi="Times New Roman"/>
          <w:sz w:val="18"/>
          <w:szCs w:val="18"/>
          <w:color w:val="auto"/>
        </w:rPr>
        <w:t>We own a 20% interest in the entity that owns the BridgeTex Pipeline. The pipeline, operated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ONEOK, Inc. (“ONEOK”), originates at Colorado City, Texas and extends to Houston, Texas. The BridgeTex pipeline has a capacity of approximately 440,000 barrels per day and is capable of receiving supply from both our Basin and Midland South pipelines.</w:t>
      </w:r>
    </w:p>
    <w:p>
      <w:pPr>
        <w:spacing w:after="0" w:line="200" w:lineRule="exact"/>
        <w:rPr>
          <w:rFonts w:ascii="Times New Roman" w:cs="Times New Roman" w:eastAsia="Times New Roman" w:hAnsi="Times New Roman"/>
          <w:sz w:val="18"/>
          <w:szCs w:val="18"/>
          <w:i w:val="1"/>
          <w:iCs w:val="1"/>
          <w:color w:val="auto"/>
        </w:rPr>
      </w:pPr>
    </w:p>
    <w:p>
      <w:pPr>
        <w:ind w:left="980" w:right="220" w:hanging="324"/>
        <w:spacing w:after="0" w:line="261"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Cactus Pipeline (Permian to Corpus Christi). </w:t>
      </w:r>
      <w:r>
        <w:rPr>
          <w:rFonts w:ascii="Times New Roman" w:cs="Times New Roman" w:eastAsia="Times New Roman" w:hAnsi="Times New Roman"/>
          <w:sz w:val="18"/>
          <w:szCs w:val="18"/>
          <w:color w:val="auto"/>
        </w:rPr>
        <w:t>We own and operate the Cactus Pipeline, which has a capacity of 390,000 barrels per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206" w:lineRule="exact"/>
        <w:rPr>
          <w:rFonts w:ascii="Times New Roman" w:cs="Times New Roman" w:eastAsia="Times New Roman" w:hAnsi="Times New Roman"/>
          <w:sz w:val="18"/>
          <w:szCs w:val="18"/>
          <w:color w:val="auto"/>
        </w:rPr>
      </w:pPr>
    </w:p>
    <w:p>
      <w:pPr>
        <w:jc w:val="both"/>
        <w:ind w:left="980" w:right="440" w:hanging="324"/>
        <w:spacing w:after="0" w:line="267" w:lineRule="auto"/>
        <w:tabs>
          <w:tab w:leader="none" w:pos="97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Cactus II Pipeline (Permian to Corpus Christi). </w:t>
      </w:r>
      <w:r>
        <w:rPr>
          <w:rFonts w:ascii="Times New Roman" w:cs="Times New Roman" w:eastAsia="Times New Roman" w:hAnsi="Times New Roman"/>
          <w:sz w:val="18"/>
          <w:szCs w:val="18"/>
          <w:color w:val="auto"/>
        </w:rPr>
        <w:t>The Cactus II Pipeline is a Permian mainline system that extends directly to the Corpus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Christi market and has a capacity of approximately 670,000 barrels per day. We operate the Cactus II Pipeline and own a 70% interest in Cactus II, the entity that owns the Cactus II Pipeline, through a joint venture with Enbridge Inc.</w:t>
      </w:r>
    </w:p>
    <w:p>
      <w:pPr>
        <w:spacing w:after="0" w:line="200" w:lineRule="exact"/>
        <w:rPr>
          <w:rFonts w:ascii="Times New Roman" w:cs="Times New Roman" w:eastAsia="Times New Roman" w:hAnsi="Times New Roman"/>
          <w:sz w:val="18"/>
          <w:szCs w:val="18"/>
          <w:i w:val="1"/>
          <w:iCs w:val="1"/>
          <w:color w:val="auto"/>
        </w:rPr>
      </w:pPr>
    </w:p>
    <w:p>
      <w:pPr>
        <w:ind w:left="980" w:right="280" w:hanging="324"/>
        <w:spacing w:after="0" w:line="258"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Wink to Webster Pipeline. </w:t>
      </w:r>
      <w:r>
        <w:rPr>
          <w:rFonts w:ascii="Times New Roman" w:cs="Times New Roman" w:eastAsia="Times New Roman" w:hAnsi="Times New Roman"/>
          <w:sz w:val="18"/>
          <w:szCs w:val="18"/>
          <w:color w:val="auto"/>
        </w:rPr>
        <w:t>We own an approximate 17% interest in the entity that owns the Wink to Webster Pipeline (“W2W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Our Midland terminal has access to all of the Permian JV gathering pipelines, either through direct connections, or through the Permian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South Texas/Eagle Ford</w:t>
      </w:r>
    </w:p>
    <w:p>
      <w:pPr>
        <w:spacing w:after="0" w:line="254"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own and operate various gathering systems in the Eagle Ford producing region that connect into our Eagle Ford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pipeline system or to third-party pipelines. We acquired an additional Eagle Ford gathering system in January 2025.</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a 50% interest in the entity that owns the Eagle Ford Pipeline through a joint venture with a subsidiary of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Partners, L.P. (“Enterprise Products”). We serve as the operator of the Eagle Ford Pipeline, which has a total capacity of approximately 660,000 barrels per day and connects Permian Basin, through a connection with our Cactus Pipeline, and Eagle Ford area production to Corpus Christi, Texas refiners and terminals. Additionally, the Eagle Ford Pipeline has connectivity to Houston, Texas via a connection with Enterprise Products’ pipeline at Lyssy, Texas. The Eagle Ford Pipeline is supported by long-term shipper commitments.</w:t>
      </w:r>
    </w:p>
    <w:p>
      <w:pPr>
        <w:spacing w:after="0" w:line="210" w:lineRule="exact"/>
        <w:rPr>
          <w:sz w:val="20"/>
          <w:szCs w:val="20"/>
          <w:color w:val="auto"/>
        </w:rPr>
      </w:pPr>
    </w:p>
    <w:p>
      <w:pPr>
        <w:jc w:val="both"/>
        <w:ind w:right="4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We own a 50% interest in the entity that owns the Eagle Ford Corpus Christi terminal through a joint venture with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Products. The Eagle Ford Corpus Christi terminal has a dock with the capacity to export crude oil and approximately one million barrels of commercial storage capacity.</w:t>
      </w:r>
    </w:p>
    <w:p>
      <w:pPr>
        <w:spacing w:after="0" w:line="20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Condensate Processing. </w:t>
      </w:r>
      <w:r>
        <w:rPr>
          <w:rFonts w:ascii="Times New Roman" w:cs="Times New Roman" w:eastAsia="Times New Roman" w:hAnsi="Times New Roman"/>
          <w:sz w:val="18"/>
          <w:szCs w:val="18"/>
          <w:color w:val="auto"/>
        </w:rPr>
        <w:t>We own a 120,000 barrels per day condensate processing facility located in La Salle County, Texas that stabilizes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condensate that is primarily sourced from our Eagle Ford area gathering systems. The processed NGL is delivered to a third-party pipeline that delivers into Mont Belvieu, Texas.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Mid-Continent</w:t>
      </w:r>
    </w:p>
    <w:p>
      <w:pPr>
        <w:spacing w:after="0" w:line="25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own and operate gathering pipelines that source crude oil from Western and Central Oklahoma and Southwest Kansas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delivery into our terminal facilities at Cushing, Oklahoma.</w:t>
      </w:r>
    </w:p>
    <w:p>
      <w:pPr>
        <w:spacing w:after="0" w:line="185"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and operate various pipeline systems that extend from our Cushing terminal in Oklahoma to various refineries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crude oil hubs. Below is a description of some of our most significant pipeline systems in the Mid-Continent region.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jc w:val="both"/>
        <w:ind w:left="980" w:right="200" w:hanging="324"/>
        <w:spacing w:after="0" w:line="267" w:lineRule="auto"/>
        <w:tabs>
          <w:tab w:leader="none" w:pos="97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Diamond Pipeline (Cushing to Memphis). </w:t>
      </w:r>
      <w:r>
        <w:rPr>
          <w:rFonts w:ascii="Times New Roman" w:cs="Times New Roman" w:eastAsia="Times New Roman" w:hAnsi="Times New Roman"/>
          <w:sz w:val="18"/>
          <w:szCs w:val="18"/>
          <w:color w:val="auto"/>
        </w:rPr>
        <w:t>We own a 50% interest in the entity that owns the Diamond Pipeline through a joint venture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Valero Energy Corporation (“Valero”). We operate the Diamond Pipeline, which extends from our Cushing Terminal to Valero’s refinery in Memphis, Tennessee. The Diamond Pipeline has a total capacity of approximately 200,000 barrels per day.</w:t>
      </w:r>
    </w:p>
    <w:p>
      <w:pPr>
        <w:spacing w:after="0" w:line="200" w:lineRule="exact"/>
        <w:rPr>
          <w:rFonts w:ascii="Times New Roman" w:cs="Times New Roman" w:eastAsia="Times New Roman" w:hAnsi="Times New Roman"/>
          <w:sz w:val="18"/>
          <w:szCs w:val="18"/>
          <w:i w:val="1"/>
          <w:iCs w:val="1"/>
          <w:color w:val="auto"/>
        </w:rPr>
      </w:pPr>
    </w:p>
    <w:p>
      <w:pPr>
        <w:ind w:left="980" w:hanging="324"/>
        <w:spacing w:after="0" w:line="258" w:lineRule="auto"/>
        <w:tabs>
          <w:tab w:leader="none" w:pos="97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Red River Pipeline (Cushing to Longview)</w:t>
      </w:r>
      <w:r>
        <w:rPr>
          <w:rFonts w:ascii="Times New Roman" w:cs="Times New Roman" w:eastAsia="Times New Roman" w:hAnsi="Times New Roman"/>
          <w:sz w:val="18"/>
          <w:szCs w:val="18"/>
          <w:color w:val="auto"/>
        </w:rPr>
        <w:t>. We own 67% of the entity that owns the Red River Pipeline through a joint venture with Delek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Partners, LP.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spacing w:after="0" w:line="210" w:lineRule="exact"/>
        <w:rPr>
          <w:rFonts w:ascii="Times New Roman" w:cs="Times New Roman" w:eastAsia="Times New Roman" w:hAnsi="Times New Roman"/>
          <w:sz w:val="18"/>
          <w:szCs w:val="18"/>
          <w:i w:val="1"/>
          <w:iCs w:val="1"/>
          <w:color w:val="auto"/>
        </w:rPr>
      </w:pPr>
    </w:p>
    <w:p>
      <w:pPr>
        <w:ind w:left="980" w:right="200" w:hanging="324"/>
        <w:spacing w:after="0" w:line="267" w:lineRule="auto"/>
        <w:tabs>
          <w:tab w:leader="none" w:pos="97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Midway Pipeline and Cushing Connect Pipeline</w:t>
      </w:r>
      <w:r>
        <w:rPr>
          <w:rFonts w:ascii="Times New Roman" w:cs="Times New Roman" w:eastAsia="Times New Roman" w:hAnsi="Times New Roman"/>
          <w:sz w:val="18"/>
          <w:szCs w:val="18"/>
          <w:color w:val="auto"/>
        </w:rPr>
        <w:t>. We own and operate the Midway pipeline and own a 50% interest in the Cushing Connect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 both of which originate at our Cushing terminal and terminate at refineries in Coffeyville, Kansas and Tulsa, Oklahoma, respectively. Our partner in the Cushing Connect pipeline is the refiner customer at the terminus of the pipeline.</w:t>
      </w:r>
    </w:p>
    <w:p>
      <w:pPr>
        <w:spacing w:after="0" w:line="20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We are a large provider of crude oil terminalling services in Cushing, Oklahoma, which is one of the largest physical trading hubs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is the delivery point for the NYMEX light sweet crude oil futures contracts (the benchmark for U.S. crude oil). Our Cushing terminal has been designated by the NYMEX as an approved delivery location.</w:t>
      </w:r>
    </w:p>
    <w:p>
      <w:pPr>
        <w:spacing w:after="0" w:line="20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Cushing terminal, which has 27 million barrels of commercial storage capacity, is connected to our long-haul pipelines from the Permian Basin and Rocky Mountain regions, as well as to our Mid-Continent region gathering pipelines. Additionally, the terminal supplies crude oil to all of our joint venture, Mid-Continent region long-haul pipelines. Our Cushing terminal is also connected to a rail unloading facility.</w:t>
      </w:r>
    </w:p>
    <w:p>
      <w:pPr>
        <w:spacing w:after="0" w:line="20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crude oil terminal in Patoka, Illinois, which has 7 million barrels of commercial storage capacity, has connectivity to major inbound and outbound pipelines at this hub, including the Capline Pipeline (discussed further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Gulf Coast</w:t>
      </w:r>
    </w:p>
    <w:p>
      <w:pPr>
        <w:spacing w:after="0" w:line="254"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an approximate 54% interest in the entity that owns the Capline Pipeline, which extends from Patoka, Illinois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terminals in St. James, Louisiana. The Capline Pipeline is supported by long-term shipper commitments, and a subsidiary of Marathon Petroleum Corporation serves as the operator.</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Our terminal at St. James, Louisiana, which has 15 million barrels of commercial storage capacity, is a destination facility connected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Rocky Mountain</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Gathering Pipelines</w:t>
      </w:r>
      <w:r>
        <w:rPr>
          <w:rFonts w:ascii="Times New Roman" w:cs="Times New Roman" w:eastAsia="Times New Roman" w:hAnsi="Times New Roman"/>
          <w:sz w:val="18"/>
          <w:szCs w:val="18"/>
          <w:color w:val="auto"/>
        </w:rPr>
        <w:t>. We own and operate pipelines that provide gathering services in the Bakken and the Powder River Basin.</w:t>
      </w:r>
    </w:p>
    <w:p>
      <w:pPr>
        <w:spacing w:after="0" w:line="25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Our pipeline systems in the Rocky Mountain region provide access to our terminal in Cushing, Oklahoma as well as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left="980" w:right="120" w:hanging="324"/>
        <w:spacing w:after="0" w:line="267"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Saddlehorn Pipeline</w:t>
      </w:r>
      <w:r>
        <w:rPr>
          <w:rFonts w:ascii="Times New Roman" w:cs="Times New Roman" w:eastAsia="Times New Roman" w:hAnsi="Times New Roman"/>
          <w:sz w:val="18"/>
          <w:szCs w:val="18"/>
          <w:color w:val="auto"/>
        </w:rPr>
        <w:t>. We own a 40% interest in the entity that owns the Saddlehorn Pipeline which, through a UJI arrangement,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290,000 barrels per day of capacity in the Saddlehorn Pipeline. The pipeline extends from the Niobrara and Denver-Julesburg (“DJ”) Basin to Cushing and is operated by ONEOK. The Saddlehorn Pipeline is supported by minimum volume commitments.</w:t>
      </w:r>
    </w:p>
    <w:p>
      <w:pPr>
        <w:spacing w:after="0" w:line="200"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7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White Cliffs Pipeline. </w:t>
      </w:r>
      <w:r>
        <w:rPr>
          <w:rFonts w:ascii="Times New Roman" w:cs="Times New Roman" w:eastAsia="Times New Roman" w:hAnsi="Times New Roman"/>
          <w:sz w:val="18"/>
          <w:szCs w:val="18"/>
          <w:color w:val="auto"/>
        </w:rPr>
        <w:t>We own an approximate 36% interest in the entity that owns the White Cliffs Pipeline system through a joint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4"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Gathering Pipelines</w:t>
      </w:r>
      <w:r>
        <w:rPr>
          <w:rFonts w:ascii="Times New Roman" w:cs="Times New Roman" w:eastAsia="Times New Roman" w:hAnsi="Times New Roman"/>
          <w:sz w:val="18"/>
          <w:szCs w:val="18"/>
          <w:color w:val="auto"/>
        </w:rPr>
        <w:t>. We own and operate gathering systems that source crude oil from truck terminals and pipeline-connected facilities to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Enbridge Mainline system at our Kerrobert and Regina terminals in Saskatchewan, Canada.</w:t>
      </w:r>
    </w:p>
    <w:p>
      <w:pPr>
        <w:spacing w:after="0" w:line="185"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Intra-basin Pipelines. </w:t>
      </w:r>
      <w:r>
        <w:rPr>
          <w:rFonts w:ascii="Times New Roman" w:cs="Times New Roman" w:eastAsia="Times New Roman" w:hAnsi="Times New Roman"/>
          <w:sz w:val="18"/>
          <w:szCs w:val="18"/>
          <w:color w:val="auto"/>
        </w:rPr>
        <w:t>We own and operate intra-basin pipelines with a capacity of approximately 290,000 barrels per day that deliver crude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northern and southern Alberta to the Edmonton, Alberta market hub. These pipelines provide shippers with flexibility to access the Enbridge and TransMountain long-haul pipelines along with the Imperial Oil Refinery.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Western</w:t>
      </w:r>
    </w:p>
    <w:p>
      <w:pPr>
        <w:spacing w:after="0" w:line="254"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own and operate a pipeline in the San Joaquin Valley in California that gathers locally produced crude oil, which is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via our Line 63 pipeline system and/or Line 2000 pipeline for transportation to Los Angeles area refiners.</w:t>
      </w:r>
    </w:p>
    <w:p>
      <w:pPr>
        <w:spacing w:after="0" w:line="185"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and operate Line 63 and Line 2000 pipelines in California. Line 2000 is a mainline system that has the capacity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Segment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Market and Business Overview</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figure below provides an illustrative and simplified overview of the assets and activities associated with our NGL segment (within the shaded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5863590" cy="1705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359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 Assets Overview</w:t>
      </w:r>
    </w:p>
    <w:p>
      <w:pPr>
        <w:spacing w:after="0" w:line="24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operate a highly integrated network of assets, strategically positioned across Canada and the United States, with a particular focus on serving production from the liquids-rich Western Canadian Sedimentary Basin. As of December 31, 2024, the assets utilized in our NGL segment included the following:</w:t>
      </w:r>
    </w:p>
    <w:p>
      <w:pPr>
        <w:spacing w:after="0" w:line="5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natural gas processing plants;</w:t>
      </w:r>
    </w:p>
    <w:p>
      <w:pPr>
        <w:spacing w:after="0" w:line="11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fractionation plants located throughout Canada and the United States with an aggregate useable capacity of approximately 172,000 barrels per day;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storage facilities with approximately 23 million barrels of capacity;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1,775 miles of active NGL transportation pipelines;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NGL rail terminals and approximately 4,100 NGL rail cars;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220 trailers.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our assets include the linefill associated with our commercial activities, including approximately:</w:t>
      </w:r>
    </w:p>
    <w:p>
      <w:pPr>
        <w:spacing w:after="0" w:line="117"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barrels of NGL linefill in pipelines and storage owned by us;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barrels of NGL utilized as linefill in pipelines owned by third parties or otherwise required as long-term inventory.</w:t>
      </w:r>
    </w:p>
    <w:p>
      <w:pPr>
        <w:spacing w:after="0" w:line="23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tables below present approximate volumes and capacities for our NGL assets and activities as of December 31, 2024 and our natural gas processing and NGL infrastructure and activities are described further below.</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Inlet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Natural Gas Processing Facilities</w:t>
            </w:r>
          </w:p>
        </w:tc>
        <w:tc>
          <w:tcPr>
            <w:tcW w:w="20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 xml:space="preserve">Volume </w:t>
            </w:r>
            <w:r>
              <w:rPr>
                <w:rFonts w:ascii="Times New Roman" w:cs="Times New Roman" w:eastAsia="Times New Roman" w:hAnsi="Times New Roman"/>
                <w:sz w:val="17"/>
                <w:szCs w:val="17"/>
                <w:b w:val="1"/>
                <w:bCs w:val="1"/>
                <w:color w:val="auto"/>
                <w:w w:val="94"/>
                <w:vertAlign w:val="superscript"/>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4"/>
            <w:vMerge w:val="continue"/>
          </w:tcPr>
          <w:p>
            <w:pPr>
              <w:spacing w:after="0"/>
              <w:rPr>
                <w:sz w:val="17"/>
                <w:szCs w:val="17"/>
                <w:color w:val="auto"/>
              </w:rPr>
            </w:pPr>
          </w:p>
        </w:tc>
        <w:tc>
          <w:tcPr>
            <w:tcW w:w="2000" w:type="dxa"/>
            <w:vAlign w:val="bottom"/>
            <w:gridSpan w:val="4"/>
            <w:vMerge w:val="continue"/>
          </w:tcPr>
          <w:p>
            <w:pPr>
              <w:spacing w:after="0"/>
              <w:rPr>
                <w:sz w:val="17"/>
                <w:szCs w:val="17"/>
                <w:color w:val="auto"/>
              </w:rPr>
            </w:pPr>
          </w:p>
        </w:tc>
        <w:tc>
          <w:tcPr>
            <w:tcW w:w="16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1"/>
              </w:rPr>
              <w:t xml:space="preserve">(Bcf/d) </w:t>
            </w:r>
            <w:r>
              <w:rPr>
                <w:rFonts w:ascii="Times New Roman" w:cs="Times New Roman" w:eastAsia="Times New Roman" w:hAnsi="Times New Roman"/>
                <w:sz w:val="18"/>
                <w:szCs w:val="18"/>
                <w:b w:val="1"/>
                <w:bCs w:val="1"/>
                <w:color w:val="auto"/>
                <w:w w:val="91"/>
                <w:vertAlign w:val="superscript"/>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(Bcf/d)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Empress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Fractionation</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xml:space="preserve">Average Volume </w:t>
            </w:r>
            <w:r>
              <w:rPr>
                <w:rFonts w:ascii="Times New Roman" w:cs="Times New Roman" w:eastAsia="Times New Roman" w:hAnsi="Times New Roman"/>
                <w:sz w:val="18"/>
                <w:szCs w:val="18"/>
                <w:b w:val="1"/>
                <w:bCs w:val="1"/>
                <w:color w:val="auto"/>
                <w:w w:val="97"/>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NGL Fractionation Facilities</w:t>
            </w:r>
          </w:p>
        </w:tc>
        <w:tc>
          <w:tcPr>
            <w:tcW w:w="200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6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60" w:type="dxa"/>
            <w:vAlign w:val="bottom"/>
            <w:gridSpan w:val="5"/>
            <w:vMerge w:val="continue"/>
          </w:tcPr>
          <w:p>
            <w:pPr>
              <w:spacing w:after="0"/>
              <w:rPr>
                <w:sz w:val="17"/>
                <w:szCs w:val="17"/>
                <w:color w:val="auto"/>
              </w:rPr>
            </w:pPr>
          </w:p>
        </w:tc>
        <w:tc>
          <w:tcPr>
            <w:tcW w:w="2000" w:type="dxa"/>
            <w:vAlign w:val="bottom"/>
            <w:gridSpan w:val="4"/>
            <w:vMerge w:val="continue"/>
          </w:tcPr>
          <w:p>
            <w:pPr>
              <w:spacing w:after="0"/>
              <w:rPr>
                <w:sz w:val="17"/>
                <w:szCs w:val="17"/>
                <w:color w:val="auto"/>
              </w:rPr>
            </w:pPr>
          </w:p>
        </w:tc>
        <w:tc>
          <w:tcPr>
            <w:tcW w:w="160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(Bbls/d) </w:t>
            </w:r>
            <w:r>
              <w:rPr>
                <w:rFonts w:ascii="Times New Roman" w:cs="Times New Roman" w:eastAsia="Times New Roman" w:hAnsi="Times New Roman"/>
                <w:sz w:val="18"/>
                <w:szCs w:val="18"/>
                <w:b w:val="1"/>
                <w:bCs w:val="1"/>
                <w:color w:val="auto"/>
                <w:w w:val="95"/>
                <w:vertAlign w:val="superscript"/>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(Bbls/d)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Empress</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Fort Saskatchewan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Sarnia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82-100%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NGL Storage Facilities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 xml:space="preserve">Capacity </w:t>
            </w:r>
            <w:r>
              <w:rPr>
                <w:rFonts w:ascii="Times New Roman" w:cs="Times New Roman" w:eastAsia="Times New Roman" w:hAnsi="Times New Roman"/>
                <w:sz w:val="17"/>
                <w:szCs w:val="17"/>
                <w:b w:val="1"/>
                <w:bCs w:val="1"/>
                <w:color w:val="auto"/>
                <w:w w:val="96"/>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8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vMerge w:val="continue"/>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(MMBbls)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Fort Saskatchewan</w:t>
            </w: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48-100%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Sarnia</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Empress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50-100%</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4"/>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Approximate System</w:t>
            </w: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5"/>
                <w:szCs w:val="15"/>
                <w:b w:val="1"/>
                <w:bCs w:val="1"/>
                <w:color w:val="auto"/>
                <w:w w:val="97"/>
              </w:rPr>
              <w:t xml:space="preserve">Average Volumes </w:t>
            </w:r>
            <w:r>
              <w:rPr>
                <w:rFonts w:ascii="Times New Roman" w:cs="Times New Roman" w:eastAsia="Times New Roman" w:hAnsi="Times New Roman"/>
                <w:sz w:val="19"/>
                <w:szCs w:val="19"/>
                <w:b w:val="1"/>
                <w:bCs w:val="1"/>
                <w:color w:val="auto"/>
                <w:w w:val="97"/>
                <w:vertAlign w:val="superscript"/>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center"/>
              <w:ind w:right="260"/>
              <w:spacing w:after="0" w:line="216" w:lineRule="exact"/>
              <w:rPr>
                <w:sz w:val="20"/>
                <w:szCs w:val="20"/>
                <w:color w:val="auto"/>
              </w:rPr>
            </w:pPr>
            <w:r>
              <w:rPr>
                <w:rFonts w:ascii="Times New Roman" w:cs="Times New Roman" w:eastAsia="Times New Roman" w:hAnsi="Times New Roman"/>
                <w:sz w:val="15"/>
                <w:szCs w:val="15"/>
                <w:b w:val="1"/>
                <w:bCs w:val="1"/>
                <w:color w:val="auto"/>
                <w:w w:val="97"/>
              </w:rPr>
              <w:t xml:space="preserve">Miles </w:t>
            </w:r>
            <w:r>
              <w:rPr>
                <w:rFonts w:ascii="Times New Roman" w:cs="Times New Roman" w:eastAsia="Times New Roman" w:hAnsi="Times New Roman"/>
                <w:sz w:val="19"/>
                <w:szCs w:val="19"/>
                <w:b w:val="1"/>
                <w:bCs w:val="1"/>
                <w:color w:val="auto"/>
                <w:w w:val="97"/>
                <w:vertAlign w:val="superscript"/>
              </w:rPr>
              <w:t>(3)</w:t>
            </w: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(MBbls/d)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NGL Pipelines</w:t>
            </w:r>
          </w:p>
        </w:tc>
        <w:tc>
          <w:tcPr>
            <w:tcW w:w="1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8"/>
        </w:trPr>
        <w:tc>
          <w:tcPr>
            <w:tcW w:w="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Rack Spots</w:t>
            </w: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Storage Spots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NGL Rail Facilities</w:t>
            </w:r>
          </w:p>
        </w:tc>
        <w:tc>
          <w:tcPr>
            <w:tcW w:w="1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2885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total capacity of the facilities, net to our ownership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Average daily volumes are calculated as the total volumes for the year, net to our interest, divided by the number of days in the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total mileage of pipelines in which we own a less than 100% interest.</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Natural Gas Processing and NGL Infrastructure</w:t>
      </w:r>
    </w:p>
    <w:p>
      <w:pPr>
        <w:spacing w:after="0" w:line="200"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spacing w:after="0" w:line="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infrastructure provides the opportunity to maximize margins across the NGL value chain for both us and our customers. The most significant of these assets include the following: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Empress Facility</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2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Empress plants are capable of processing up to 5.7 Bcf of natural gas per day; however, supply available to these plants is typically in the 3.5 to 4.5 Bcf per day range. These plants produce approximately 65,000 to 100,000 barrels per day of ethane, and 40,000 to 60,000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Co-Ed Pipeline</w:t>
      </w:r>
    </w:p>
    <w:p>
      <w:pPr>
        <w:spacing w:after="0" w:line="25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Fort Saskatchewan Complex</w:t>
      </w:r>
    </w:p>
    <w:p>
      <w:pPr>
        <w:spacing w:after="0" w:line="25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Fort Saskatchewan fractionation facility has an inlet design capacity of 88,400 barrels per day and is able to produce up to approximately 44,500 barrels per day of propane, butane and condensate. The remaining throughput capacity is used to produce a propane and butane mix, which is transported via the Enbridge pipeline system to our Sarnia facility for further fractionation.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Sarnia Area</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Sarnia Area assets in Southwestern Ontario consist of (i) our Sarnia facility, (ii) our Windsor storage terminal and (iii) 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Commodity Price Volatility and Dynamic Market Conditions on Our Business Model</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Crude oil, NGL and natural gas commodity prices have historically been very volatile. For example, in 2024, the prompt month NYMEX light, sweet futures contract (commonly referred to as “WTI”) price ranged from a low of approximately $66 per barrel to a high of approximately $87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21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In addition, relative contribution levels will vary from quarter-to-quarter due to seasonality, particularly with respect to our NGL merchant activities.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22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merchant activities in our Crude Oil and NGL segments require significant extensions of credit by our suppliers.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21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ExxonMobil Corporation and its subsidiaries accounted for 30%, 26% and 20% of our revenues for the years ended December 31, 2024, 2023 and 2022, respectively. BP p.l.c. and its subsidiaries accounted for 10% of our revenues for the year ended December 31, 2023. No other customers accounted for 10% or more of our revenues during any of the three years ended December 31, 2024.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spacing w:after="0" w:line="2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1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 and Joint Ownership Arrangements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are party to more than 25 joint venture and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significant joint ventures as of December 31,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0" w:type="dxa"/>
            <w:vAlign w:val="bottom"/>
          </w:tcPr>
          <w:p>
            <w:pPr>
              <w:spacing w:after="0"/>
              <w:rPr>
                <w:sz w:val="1"/>
                <w:szCs w:val="1"/>
                <w:color w:val="auto"/>
              </w:rPr>
            </w:pPr>
          </w:p>
        </w:tc>
      </w:tr>
      <w:tr>
        <w:trPr>
          <w:trHeight w:val="146"/>
        </w:trPr>
        <w:tc>
          <w:tcPr>
            <w:tcW w:w="5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6"/>
        </w:trPr>
        <w:tc>
          <w:tcPr>
            <w:tcW w:w="5700" w:type="dxa"/>
            <w:vAlign w:val="bottom"/>
            <w:gridSpan w:val="3"/>
            <w:vMerge w:val="continue"/>
          </w:tcPr>
          <w:p>
            <w:pPr>
              <w:spacing w:after="0"/>
              <w:rPr>
                <w:sz w:val="17"/>
                <w:szCs w:val="17"/>
                <w:color w:val="auto"/>
              </w:rPr>
            </w:pPr>
          </w:p>
        </w:tc>
        <w:tc>
          <w:tcPr>
            <w:tcW w:w="3900" w:type="dxa"/>
            <w:vAlign w:val="bottom"/>
            <w:gridSpan w:val="2"/>
            <w:vMerge w:val="continue"/>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29"/>
        </w:trPr>
        <w:tc>
          <w:tcPr>
            <w:tcW w:w="570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Cactus II Pipeline LLC </w:t>
            </w:r>
            <w:r>
              <w:rPr>
                <w:rFonts w:ascii="Times New Roman" w:cs="Times New Roman" w:eastAsia="Times New Roman" w:hAnsi="Times New Roman"/>
                <w:sz w:val="23"/>
                <w:szCs w:val="23"/>
                <w:color w:val="auto"/>
                <w:vertAlign w:val="superscript"/>
              </w:rPr>
              <w:t>(2)</w:t>
            </w:r>
          </w:p>
        </w:tc>
        <w:tc>
          <w:tcPr>
            <w:tcW w:w="39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0" w:type="dxa"/>
            <w:vAlign w:val="bottom"/>
          </w:tcPr>
          <w:p>
            <w:pPr>
              <w:spacing w:after="0"/>
              <w:rPr>
                <w:sz w:val="1"/>
                <w:szCs w:val="1"/>
                <w:color w:val="auto"/>
              </w:rPr>
            </w:pPr>
          </w:p>
        </w:tc>
      </w:tr>
      <w:tr>
        <w:trPr>
          <w:trHeight w:val="23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Capline Pipeline Company LLC</w:t>
            </w:r>
          </w:p>
        </w:tc>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c>
          <w:tcPr>
            <w:tcW w:w="0" w:type="dxa"/>
            <w:vAlign w:val="bottom"/>
          </w:tcPr>
          <w:p>
            <w:pPr>
              <w:spacing w:after="0"/>
              <w:rPr>
                <w:sz w:val="1"/>
                <w:szCs w:val="1"/>
                <w:color w:val="auto"/>
              </w:rPr>
            </w:pPr>
          </w:p>
        </w:tc>
      </w:tr>
      <w:tr>
        <w:trPr>
          <w:trHeight w:val="229"/>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Diamond Pipeline LLC</w:t>
            </w:r>
          </w:p>
        </w:tc>
        <w:tc>
          <w:tcPr>
            <w:tcW w:w="39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3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Eagle Ford Pipeline LLC</w:t>
            </w:r>
          </w:p>
        </w:tc>
        <w:tc>
          <w:tcPr>
            <w:tcW w:w="390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39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 xml:space="preserve">Crude Oil Terminal and Dock </w:t>
            </w:r>
            <w:r>
              <w:rPr>
                <w:rFonts w:ascii="Times New Roman" w:cs="Times New Roman" w:eastAsia="Times New Roman" w:hAnsi="Times New Roman"/>
                <w:sz w:val="23"/>
                <w:szCs w:val="23"/>
                <w:color w:val="auto"/>
                <w:w w:val="97"/>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57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Plains Oryx Permian Basin LLC </w:t>
            </w:r>
            <w:r>
              <w:rPr>
                <w:rFonts w:ascii="Times New Roman" w:cs="Times New Roman" w:eastAsia="Times New Roman" w:hAnsi="Times New Roman"/>
                <w:sz w:val="23"/>
                <w:szCs w:val="23"/>
                <w:color w:val="auto"/>
                <w:vertAlign w:val="superscript"/>
              </w:rPr>
              <w:t>(2)</w:t>
            </w:r>
          </w:p>
        </w:tc>
        <w:tc>
          <w:tcPr>
            <w:tcW w:w="390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8"/>
              </w:rPr>
              <w:t xml:space="preserve">Crude Oil Pipelines and Related Assets </w:t>
            </w:r>
            <w:r>
              <w:rPr>
                <w:rFonts w:ascii="Times New Roman" w:cs="Times New Roman" w:eastAsia="Times New Roman" w:hAnsi="Times New Roman"/>
                <w:sz w:val="23"/>
                <w:szCs w:val="23"/>
                <w:color w:val="auto"/>
                <w:w w:val="98"/>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0" w:type="dxa"/>
            <w:vAlign w:val="bottom"/>
          </w:tcPr>
          <w:p>
            <w:pPr>
              <w:spacing w:after="0"/>
              <w:rPr>
                <w:sz w:val="1"/>
                <w:szCs w:val="1"/>
                <w:color w:val="auto"/>
              </w:rPr>
            </w:pPr>
          </w:p>
        </w:tc>
      </w:tr>
      <w:tr>
        <w:trPr>
          <w:trHeight w:val="230"/>
        </w:trPr>
        <w:tc>
          <w:tcPr>
            <w:tcW w:w="570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Red River Pipeline Company LLC </w:t>
            </w:r>
            <w:r>
              <w:rPr>
                <w:rFonts w:ascii="Times New Roman" w:cs="Times New Roman" w:eastAsia="Times New Roman" w:hAnsi="Times New Roman"/>
                <w:sz w:val="23"/>
                <w:szCs w:val="23"/>
                <w:color w:val="auto"/>
                <w:vertAlign w:val="superscript"/>
              </w:rPr>
              <w:t>(2) (3)</w:t>
            </w:r>
          </w:p>
        </w:tc>
        <w:tc>
          <w:tcPr>
            <w:tcW w:w="39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0" w:type="dxa"/>
            <w:vAlign w:val="bottom"/>
          </w:tcPr>
          <w:p>
            <w:pPr>
              <w:spacing w:after="0"/>
              <w:rPr>
                <w:sz w:val="1"/>
                <w:szCs w:val="1"/>
                <w:color w:val="auto"/>
              </w:rPr>
            </w:pPr>
          </w:p>
        </w:tc>
      </w:tr>
      <w:tr>
        <w:trPr>
          <w:trHeight w:val="229"/>
        </w:trPr>
        <w:tc>
          <w:tcPr>
            <w:tcW w:w="57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Saddlehorn Pipeline Company, LLC </w:t>
            </w:r>
            <w:r>
              <w:rPr>
                <w:rFonts w:ascii="Times New Roman" w:cs="Times New Roman" w:eastAsia="Times New Roman" w:hAnsi="Times New Roman"/>
                <w:sz w:val="23"/>
                <w:szCs w:val="23"/>
                <w:color w:val="auto"/>
                <w:vertAlign w:val="superscript"/>
              </w:rPr>
              <w:t>(3)</w:t>
            </w:r>
          </w:p>
        </w:tc>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29"/>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White Cliffs Pipeline, L.L.C.</w:t>
            </w: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c>
          <w:tcPr>
            <w:tcW w:w="0" w:type="dxa"/>
            <w:vAlign w:val="bottom"/>
          </w:tcPr>
          <w:p>
            <w:pPr>
              <w:spacing w:after="0"/>
              <w:rPr>
                <w:sz w:val="1"/>
                <w:szCs w:val="1"/>
                <w:color w:val="auto"/>
              </w:rPr>
            </w:pPr>
          </w:p>
        </w:tc>
      </w:tr>
      <w:tr>
        <w:trPr>
          <w:trHeight w:val="230"/>
        </w:trPr>
        <w:tc>
          <w:tcPr>
            <w:tcW w:w="57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Wink to Webster Pipeline LLC </w:t>
            </w:r>
            <w:r>
              <w:rPr>
                <w:rFonts w:ascii="Times New Roman" w:cs="Times New Roman" w:eastAsia="Times New Roman" w:hAnsi="Times New Roman"/>
                <w:sz w:val="23"/>
                <w:szCs w:val="23"/>
                <w:color w:val="auto"/>
                <w:vertAlign w:val="superscript"/>
              </w:rPr>
              <w:t>(3)</w:t>
            </w:r>
          </w:p>
        </w:tc>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Assets are operated by Plains.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consolidate the entity based on control, with our partner’s interest accounted for as a noncontrolling interest.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owns a UJI in the crude oil pipeline.</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52" w:lineRule="exact"/>
        <w:rPr>
          <w:sz w:val="20"/>
          <w:szCs w:val="20"/>
          <w:color w:val="auto"/>
        </w:rPr>
      </w:pPr>
    </w:p>
    <w:p>
      <w:pPr>
        <w:ind w:right="52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significant UJIs as of December 31, 2024, excluding UJIs that are indirectly owned by us through joint ventures (e.g., Wink to Webster, Saddlehorn and Red River joint ventures):</w:t>
      </w: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UJI</w:t>
            </w:r>
          </w:p>
        </w:tc>
        <w:tc>
          <w:tcPr>
            <w:tcW w:w="0" w:type="dxa"/>
            <w:vAlign w:val="bottom"/>
          </w:tcPr>
          <w:p>
            <w:pPr>
              <w:spacing w:after="0"/>
              <w:rPr>
                <w:sz w:val="1"/>
                <w:szCs w:val="1"/>
                <w:color w:val="auto"/>
              </w:rPr>
            </w:pPr>
          </w:p>
        </w:tc>
      </w:tr>
      <w:tr>
        <w:trPr>
          <w:trHeight w:val="149"/>
        </w:trPr>
        <w:tc>
          <w:tcPr>
            <w:tcW w:w="6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74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5"/>
        </w:trPr>
        <w:tc>
          <w:tcPr>
            <w:tcW w:w="6860" w:type="dxa"/>
            <w:vAlign w:val="bottom"/>
            <w:gridSpan w:val="3"/>
            <w:vMerge w:val="continue"/>
          </w:tcPr>
          <w:p>
            <w:pPr>
              <w:spacing w:after="0"/>
              <w:rPr>
                <w:sz w:val="16"/>
                <w:szCs w:val="16"/>
                <w:color w:val="auto"/>
              </w:rPr>
            </w:pP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6660" w:type="dxa"/>
            <w:vAlign w:val="bottom"/>
            <w:tcBorders>
              <w:top w:val="single" w:sz="8" w:color="auto"/>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Basin Pipeline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87%</w:t>
            </w:r>
          </w:p>
        </w:tc>
        <w:tc>
          <w:tcPr>
            <w:tcW w:w="0" w:type="dxa"/>
            <w:vAlign w:val="bottom"/>
          </w:tcPr>
          <w:p>
            <w:pPr>
              <w:spacing w:after="0"/>
              <w:rPr>
                <w:sz w:val="1"/>
                <w:szCs w:val="1"/>
                <w:color w:val="auto"/>
              </w:rPr>
            </w:pPr>
          </w:p>
        </w:tc>
      </w:tr>
      <w:tr>
        <w:trPr>
          <w:trHeight w:val="230"/>
        </w:trPr>
        <w:tc>
          <w:tcPr>
            <w:tcW w:w="68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Fort Saskatchewan NGL Storage </w:t>
            </w:r>
            <w:r>
              <w:rPr>
                <w:rFonts w:ascii="Times New Roman" w:cs="Times New Roman" w:eastAsia="Times New Roman" w:hAnsi="Times New Roman"/>
                <w:sz w:val="23"/>
                <w:szCs w:val="23"/>
                <w:color w:val="auto"/>
                <w:vertAlign w:val="superscript"/>
              </w:rPr>
              <w:t>(2)</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NGL Facility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c>
          <w:tcPr>
            <w:tcW w:w="0" w:type="dxa"/>
            <w:vAlign w:val="bottom"/>
          </w:tcPr>
          <w:p>
            <w:pPr>
              <w:spacing w:after="0"/>
              <w:rPr>
                <w:sz w:val="1"/>
                <w:szCs w:val="1"/>
                <w:color w:val="auto"/>
              </w:rPr>
            </w:pPr>
          </w:p>
        </w:tc>
      </w:tr>
      <w:tr>
        <w:trPr>
          <w:trHeight w:val="230"/>
        </w:trPr>
        <w:tc>
          <w:tcPr>
            <w:tcW w:w="68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Kerrobert Storage and Pipeline Assets </w:t>
            </w:r>
            <w:r>
              <w:rPr>
                <w:rFonts w:ascii="Times New Roman" w:cs="Times New Roman" w:eastAsia="Times New Roman" w:hAnsi="Times New Roman"/>
                <w:sz w:val="23"/>
                <w:szCs w:val="23"/>
                <w:color w:val="auto"/>
                <w:vertAlign w:val="superscript"/>
              </w:rPr>
              <w:t>(1)</w:t>
            </w:r>
          </w:p>
        </w:tc>
        <w:tc>
          <w:tcPr>
            <w:tcW w:w="2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NGL Pipeline and Facility</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30"/>
        </w:trPr>
        <w:tc>
          <w:tcPr>
            <w:tcW w:w="68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Sarnia NGL Storage and Fractionation </w:t>
            </w:r>
            <w:r>
              <w:rPr>
                <w:rFonts w:ascii="Times New Roman" w:cs="Times New Roman" w:eastAsia="Times New Roman" w:hAnsi="Times New Roman"/>
                <w:sz w:val="23"/>
                <w:szCs w:val="23"/>
                <w:color w:val="auto"/>
                <w:vertAlign w:val="superscript"/>
              </w:rPr>
              <w:t>(2)</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NGL Facility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 to 85%</w:t>
            </w:r>
          </w:p>
        </w:tc>
        <w:tc>
          <w:tcPr>
            <w:tcW w:w="0" w:type="dxa"/>
            <w:vAlign w:val="bottom"/>
          </w:tcPr>
          <w:p>
            <w:pPr>
              <w:spacing w:after="0"/>
              <w:rPr>
                <w:sz w:val="1"/>
                <w:szCs w:val="1"/>
                <w:color w:val="auto"/>
              </w:rPr>
            </w:pPr>
          </w:p>
        </w:tc>
      </w:tr>
      <w:tr>
        <w:trPr>
          <w:trHeight w:val="229"/>
        </w:trPr>
        <w:tc>
          <w:tcPr>
            <w:tcW w:w="68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Sunrise II Pipeline </w:t>
            </w:r>
            <w:r>
              <w:rPr>
                <w:rFonts w:ascii="Times New Roman" w:cs="Times New Roman" w:eastAsia="Times New Roman" w:hAnsi="Times New Roman"/>
                <w:sz w:val="23"/>
                <w:szCs w:val="23"/>
                <w:color w:val="auto"/>
                <w:vertAlign w:val="superscript"/>
              </w:rPr>
              <w:t>(1)</w:t>
            </w:r>
          </w:p>
        </w:tc>
        <w:tc>
          <w:tcPr>
            <w:tcW w:w="2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Asset is operated by Plains.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these assets are operated by Plains.</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Since PAA’s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2024, we have completed several acquisitions for an aggregate of approximately $3.0 billion (which figure excludes the value of our Permian JV formed in October 2021), and we have completed asset sales and sales of partial interests in assets to strategic joint venture partners totaling more than $4.9 billion. In addition, in the first quarter of 2025, PAA closed two additional acquisitions for approximately $580 million, net to our interest. See Note 7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Projects</w:t>
      </w:r>
    </w:p>
    <w:p>
      <w:pPr>
        <w:spacing w:after="0" w:line="25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2025 capital plan consists of capital-efficient, highly contracted projects that help address industry needs.</w:t>
      </w:r>
    </w:p>
    <w:p>
      <w:pPr>
        <w:spacing w:after="0" w:line="20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Total investment capital for the year ending December 31, 2025 is currently projected to be approximately $500 million ($400 million net to our interest), of which over half is expected to be associated with the Permian JV. Additionally, maintenance capital for 2025 is currently projected to be approximately $260 million ($240 million net to our interest). Note that potential variation to current capital cost estimates may result from (i) changes to project design, (ii) final cost of materials and labor and (iii) timing of incurrence of costs due to uncontrollable factors such as receipt of permits or regulatory approvals and weather.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 Impacting PAA’s Business—PAA’s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21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but not all, of the laws and regulations affecting our operations. Unless the context requires otherwise, references herein to our “facilities” includes all of the pipelines, terminals, storage and other assets owned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Environmental Regulation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Pipeline Safety/Integrity Management</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$40 million in 2024. Based on currently available information, our preliminary estimate for 2025 is that we will incur approximately $50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$17 million in 2024, and our preliminary estimate for 2025 is that we will incur approximately $15 million of such costs.</w:t>
      </w:r>
    </w:p>
    <w:p>
      <w:pPr>
        <w:spacing w:after="0" w:line="221"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20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DOT has also generally adopted American Petroleum Institute Standard 653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$35 million in 2024. For 2025, we have budgeted approximately $45 million in connection with continued compliance activities with respect to API 653 and similar Environmental Protection Agency (“EPA”) regulations for tanks not regulated by the DOT. Certain storage tanks may be taken out of service if we believe the cost of compliance will exceed the value of the storage tanks and replacement tankage may be constructed.</w:t>
      </w:r>
    </w:p>
    <w:p>
      <w:pPr>
        <w:spacing w:after="0" w:line="21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$100 million in 2024. Our preliminary estimate for 2025 is approximately $85 million of costs on such projects.</w:t>
      </w:r>
    </w:p>
    <w:p>
      <w:pPr>
        <w:spacing w:after="0" w:line="21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Occupational Safety and Health</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and the Emergency Planning and Community Right-to-Know Act require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Solid Waste</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Hazardous Substances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EPA’s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Environmental Remediation</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Air Emissions</w:t>
      </w:r>
    </w:p>
    <w:p>
      <w:pPr>
        <w:spacing w:after="0" w:line="25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United States operations are subject to the United States Clean Air Act (“Clean Air Act” or “CAA”), comparable state laws and associated federal, state and local regulations. Our Canadian operations are also subject to federal and provincial air emission regulations, which are discussed in subsequent sections.</w:t>
      </w:r>
    </w:p>
    <w:p>
      <w:pPr>
        <w:spacing w:after="0" w:line="203" w:lineRule="exact"/>
        <w:rPr>
          <w:sz w:val="20"/>
          <w:szCs w:val="20"/>
          <w:color w:val="auto"/>
        </w:rPr>
      </w:pPr>
    </w:p>
    <w:p>
      <w:pPr>
        <w:ind w:right="220" w:firstLine="648"/>
        <w:spacing w:after="0" w:line="281" w:lineRule="auto"/>
        <w:rPr>
          <w:sz w:val="20"/>
          <w:szCs w:val="20"/>
          <w:color w:val="auto"/>
        </w:rPr>
      </w:pPr>
      <w:r>
        <w:rPr>
          <w:rFonts w:ascii="Times New Roman" w:cs="Times New Roman" w:eastAsia="Times New Roman" w:hAnsi="Times New Roman"/>
          <w:sz w:val="17"/>
          <w:szCs w:val="17"/>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Climate Change Initiatives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climate-related mitigation funds, and regulations that directly limit GHG emissions from certain sources. Additionally, certain laws, like the Inflation Reduction Act of 2022 (“IRA”), have been enacted to advance climate-related objectives and provide substantial financial support for alternative or lower GHG-emitting energy production. These proposals and related legislation and policy initiatives could increase operating costs within the oil and gas industry and accelerate the transition away from fossil fuels, which could in turn reduce demand for our products and services and adversely affect our business and results of operations.</w:t>
      </w:r>
    </w:p>
    <w:p>
      <w:pPr>
        <w:spacing w:after="0" w:line="2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following the U.S. Supreme Court (“SCOTUS”) finding that GHG emissions constitute a pollutant under the CAA, the EPA has adopted rules and regulations that, among other things, establish construction and operating permit reviews for GHG emissions from certain large stationary sources, require the monitoring and annual reporting of GHG emissions from certain petroleum and gas system sources, and impose performance standards for reducing methane emissions from oil and gas operations through limitations on venting and flaring and the implementation of enhanced emission leak detection and repair requirements. For 2024, one of our facilities was subject to the federal GHG reporting requirements for combustion GHG emissions and potential fugitive emissions above the reporting thresholds. We import sufficient quantities of finished fuel products into the United States to be required to report that activity as well. In recent years, there has been considerable uncertainty surrounding regulation of methane emissions. The EPA, under the Biden Administration, revisited federal regulations promulgated during the first Trump Administration regarding methane and promulgated final rules establishing new or more stringent standards for existing and new sources in the oil and gas sector, including the transmission and storage segments. The IRA also imposed a first-ever federal fee on excess methane emissions. Separately, the Bureau of Land Management has also finalized rules to limit venting, flaring, and methane leaks for oil and gas operations on federal lands. Whether or how the current Trump Administration or U.S. Congress may pursue changes to these regulations cannot be predicted at this time.</w:t>
      </w:r>
    </w:p>
    <w:p>
      <w:pPr>
        <w:spacing w:after="0" w:line="21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At the state level, California has implemented a GHG cap-and-trade program. California finished fuels providers, including Plains Marketing and Plains Midstream Canada, are required to purchase GHG emission credits for finished fuel sold in or imported into California.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Water</w:t>
      </w:r>
    </w:p>
    <w:p>
      <w:pPr>
        <w:spacing w:after="0" w:line="25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21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January 2021, the Corps published a reissuance of NWP 12, but this permit is being challenged in federal court on the same grounds that were litigated in an April 2020 case surrounding a failure to conduct Endangered Species Act consultations. In May 2022, the Corps announced it was beginning a formal review of NWP 12 and may make changes to the program. While the full extent and impact of these recent developments is unclear at this time, any disruption in our ability to obtain coverage under NWP 12 or other general permits may result in increased costs and project delays if we are forced to seek individual permits from the Corps.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Also, there continues to be uncertainty on the federal government’s applicable jurisdictional reach under the CWA over waters of the United States (“WOTUS”), including wetlands. The EPA and the Corps have pursued multiple rulemakings under the Obama, Trump, and Biden Administrations in attempts to determine the scope of such reach. Following legal actions, implementation of the most recent rule is currently split across the country. The rule is subject to an injunction in 27 states resulting in implementation of the pre-2015 rule adjusted to take in into account jurisdictional limitations decided by SCOTUS in </w:t>
      </w:r>
      <w:r>
        <w:rPr>
          <w:rFonts w:ascii="Times New Roman" w:cs="Times New Roman" w:eastAsia="Times New Roman" w:hAnsi="Times New Roman"/>
          <w:sz w:val="18"/>
          <w:szCs w:val="18"/>
          <w:i w:val="1"/>
          <w:iCs w:val="1"/>
          <w:color w:val="auto"/>
        </w:rPr>
        <w:t>Sackett v. EPA</w:t>
      </w:r>
      <w:r>
        <w:rPr>
          <w:rFonts w:ascii="Times New Roman" w:cs="Times New Roman" w:eastAsia="Times New Roman" w:hAnsi="Times New Roman"/>
          <w:sz w:val="18"/>
          <w:szCs w:val="18"/>
          <w:color w:val="auto"/>
        </w:rPr>
        <w:t xml:space="preserve">. The other 23 states are subject to a WOTUS-defining rule published in September 2023. Further, the current Trump Administration may pursue a new rulemaking to further revise or clarify the extent of federal jurisdiction under the CWA, though the substance and timing of such action cannot be predicted. In addition, on January 8, 2025, the Corps published revisions to their Ordinary High Water Mark Manual, a key technical document used by the Corps to make jurisdictional determinations. At this time, it is difficult to judge how impactful these revisions will be. In an April 2020 decision, </w:t>
      </w:r>
      <w:r>
        <w:rPr>
          <w:rFonts w:ascii="Times New Roman" w:cs="Times New Roman" w:eastAsia="Times New Roman" w:hAnsi="Times New Roman"/>
          <w:sz w:val="18"/>
          <w:szCs w:val="18"/>
          <w:i w:val="1"/>
          <w:iCs w:val="1"/>
          <w:color w:val="auto"/>
        </w:rPr>
        <w:t>Maui v. Hawaii Wildlife Fund</w:t>
      </w:r>
      <w:r>
        <w:rPr>
          <w:rFonts w:ascii="Times New Roman" w:cs="Times New Roman" w:eastAsia="Times New Roman" w:hAnsi="Times New Roman"/>
          <w:sz w:val="18"/>
          <w:szCs w:val="18"/>
          <w:color w:val="auto"/>
        </w:rPr>
        <w:t xml:space="preserve">, SCOTUS held that, in certain cases, discharges from a point source to groundwater could fall within the scope of the CWA and require a permit. The Court rejected the EPA’s and Corps’ assertion that groundwater should be totally excluded from the CWA. In response to SCOTUS’ decision, EPA published a draft </w:t>
      </w:r>
      <w:r>
        <w:rPr>
          <w:rFonts w:ascii="Times New Roman" w:cs="Times New Roman" w:eastAsia="Times New Roman" w:hAnsi="Times New Roman"/>
          <w:sz w:val="18"/>
          <w:szCs w:val="18"/>
          <w:i w:val="1"/>
          <w:iCs w:val="1"/>
          <w:color w:val="auto"/>
        </w:rPr>
        <w:t>Maui</w:t>
      </w:r>
      <w:r>
        <w:rPr>
          <w:rFonts w:ascii="Times New Roman" w:cs="Times New Roman" w:eastAsia="Times New Roman" w:hAnsi="Times New Roman"/>
          <w:sz w:val="18"/>
          <w:szCs w:val="18"/>
          <w:color w:val="auto"/>
        </w:rPr>
        <w:t xml:space="preserve"> Guidance on November 27, 2023 which was intended to clarify when certain discharges to groundwater may require a CWA permit. Preliminarily, it appears that this draft guidance requires additional clarity and considerations to better understand permitting requirements specific to groundwater discharges. To date, the guidance has not been finalized and whether or how the current Trump Administration will pursue revisions to the guidance is uncertain.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Endangered Species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Transportation Regulation</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8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Interstate Liquids Regulation in the United States. </w:t>
      </w:r>
      <w:r>
        <w:rPr>
          <w:rFonts w:ascii="Times New Roman" w:cs="Times New Roman" w:eastAsia="Times New Roman" w:hAnsi="Times New Roman"/>
          <w:sz w:val="18"/>
          <w:szCs w:val="18"/>
          <w:color w:val="auto"/>
        </w:rPr>
        <w:t>Our common carrier pipeline operations with interstate movements of liquids are subject to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 Many FERC-regulated liquids pipelines also use the FERC indexing methodology to change their rates. For those pipelines that use the FERC indexing methodology, FERC reviews the index formula every five years to determine whether a change in the methodology is required or, if not, to determine the appropriate index for the subsequent five-year period. On January 20, 2022, FERC issued an order on rehearing of its December 17, 2020 Order Establishing Index Level in which FERC reduced the oil pricing index factor for oil pipelines to use for the current five-year period. The ceiling levels computed for July 1, 2022 to June 30, 2023, as well as the ceiling levels for July 1, 2023 to June 30, 2024, and the resulting rates currently in effect for certain of our liquids pipelines, were computed to account for the appropriate index factor. Some parties sought rehearing of the January 20 order on rehearing, which was denied by FERC on May 6, 2022. Certain parties subsequently appealed the January 20 and May 6 orders to the U.S. Court of Appeals for the District of Columbia (“D.C. Circuit”). On July 26, 2024, the D.C. Circuit </w:t>
      </w:r>
      <w:r>
        <w:rPr>
          <w:rFonts w:ascii="Times New Roman" w:cs="Times New Roman" w:eastAsia="Times New Roman" w:hAnsi="Times New Roman"/>
          <w:sz w:val="18"/>
          <w:szCs w:val="18"/>
          <w:color w:val="222222"/>
        </w:rPr>
        <w:t>ruled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22222"/>
        </w:rPr>
        <w:t>LEPA v. FERC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that FERC violated the Administrative Procedure Act because the January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order modified the index level without following notice and comment. As a result, the D.C. Circuit vacated the January 20 order and on September 17, 2024, the Commission reinstated the index level established by its original December 17 Order Establishing Index Level, directed pipelines to file an informational filing to show their recomputed ceiling levels reflecting the reinstated index level, and stated that pipelines may file to prospectively increase their indexed rates to their recomputed levels. On October 17, 2024, FERC issued a Supplemental Notice of Proposed Rulemaking (“Supplemental NOPR”) that proposes a reduction to the currently effective index by one percent. The Supplemental NOPR could result in the reimplementation through a notice-and-comment rulemaking of the same rulings that were vacated by the D.C. Circuit in </w:t>
      </w:r>
      <w:r>
        <w:rPr>
          <w:rFonts w:ascii="Times New Roman" w:cs="Times New Roman" w:eastAsia="Times New Roman" w:hAnsi="Times New Roman"/>
          <w:sz w:val="18"/>
          <w:szCs w:val="18"/>
          <w:i w:val="1"/>
          <w:iCs w:val="1"/>
          <w:color w:val="222222"/>
        </w:rPr>
        <w:t>LEPA v. FERC</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FERC has also retained cost-of-service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ratemaking, market-based rates and settlement rates as alternatives to the indexing approach that may be used in certain specified circumstances.</w:t>
      </w:r>
    </w:p>
    <w:p>
      <w:pPr>
        <w:spacing w:after="0" w:line="216"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spacing w:after="0" w:line="19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Energy Policy Act of 2005 authorized FERC to impose civil penalties for violations of the ICA and FERC regulations thereunder, up to a maximum amount that is adjusted annually for inflation, which for 2025 equals $16,590 per day, per violation. Should we fail to comply with applicable statutes, rules, regulations and orders administered by FERC, we could be subject to substantial penalties and fines.</w:t>
      </w:r>
    </w:p>
    <w:p>
      <w:pPr>
        <w:spacing w:after="0" w:line="201"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Intrastate Regulation in the United States. </w:t>
      </w:r>
      <w:r>
        <w:rPr>
          <w:rFonts w:ascii="Times New Roman" w:cs="Times New Roman" w:eastAsia="Times New Roman" w:hAnsi="Times New Roman"/>
          <w:sz w:val="18"/>
          <w:szCs w:val="18"/>
          <w:color w:val="auto"/>
        </w:rPr>
        <w:t>Our intrastate liquids pipeline transportation activities are subject to various state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orders of state regulatory bodies, including the Railroad Commission of Texas and the California Public Utility Commission (“CPUC”). The CPUC prohibits certain of our subsidiaries from acting as guarantors of our senior notes and credit facilities.</w:t>
      </w:r>
    </w:p>
    <w:p>
      <w:pPr>
        <w:spacing w:after="0" w:line="20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Canadian Regulation. </w:t>
      </w:r>
      <w:r>
        <w:rPr>
          <w:rFonts w:ascii="Times New Roman" w:cs="Times New Roman" w:eastAsia="Times New Roman" w:hAnsi="Times New Roman"/>
          <w:sz w:val="18"/>
          <w:szCs w:val="18"/>
          <w:color w:val="auto"/>
        </w:rPr>
        <w:t>Our Canadian pipeline assets are subject to regulation by the CER and by provincial regulators. With respect to pipelines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Trucking Regulation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Railcar Regulation</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own and operate a number of railcar loading and unloading facilities in the United States and Canada. In connection with these operations, we own and lease a significant number of railcars. Our railcar operations are subject to the regulatory jurisdiction of the Federal Railroad Administration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Indigenous Protections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Transportation Security Administration Security Directives</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response to cybersecurity incidents affecting the pipeline industry, the United States Department of Homeland Security’s Transportation Security Administration has issued comprehensive security directives that include various cybersecurity and reporting requirements for critical infrastructure pipeline owners and/or operators. Compliance with these security directives may have a significant impact on our operations and results of operations.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Cross Border Regulation</w:t>
      </w:r>
    </w:p>
    <w:p>
      <w:pPr>
        <w:spacing w:after="0" w:line="256"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As a result of our cross border activities, including the transportation and importation of crude oil and NGL between the United States and Canada, we are subject to a variety of legal requirements including export license requirements, trade tariffs, Canadian and U.S. customs and taxes, and requirements relating to toxic substances. U.S. legal requirements relating to these activities include the United States-Mexico-Canada Agreement (“USMCA”) and the Toxic Substances Control Act (“TSCA”), as well as presidential permit requirements of the U.S. Department of State. Violations of these licensing, trade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Market Anti-Manipulation Regulation</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$1.49 million, subject to the CFTC’s annual inflation adjustment, or triple the monetary gain to the person for each violation.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Hazards and Insurance</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w:t>
      </w:r>
    </w:p>
    <w:p>
      <w:pPr>
        <w:spacing w:after="0" w:line="2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or losses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18 to our Consolidated Financial Statements for a discussion regarding the Line 901 incident and our related insurance receivable.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 and Rights-of-Way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real property holdings generally consist of: (i) parcels of land that we own in fee; (ii) surface leases and underground storage leases; and</w:t>
      </w:r>
    </w:p>
    <w:p>
      <w:pPr>
        <w:spacing w:after="0" w:line="27" w:lineRule="exact"/>
        <w:rPr>
          <w:sz w:val="20"/>
          <w:szCs w:val="20"/>
          <w:color w:val="auto"/>
        </w:rPr>
      </w:pPr>
    </w:p>
    <w:p>
      <w:pPr>
        <w:ind w:right="80" w:firstLine="8"/>
        <w:spacing w:after="0" w:line="253" w:lineRule="auto"/>
        <w:tabs>
          <w:tab w:leader="none" w:pos="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primary human capital management objective is to retain, attract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engaging and inclusive; and promote efficiency and a high performance culture by investing in technology and systems and providing tools and resources that enable employees at work.</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Neither we nor our general partner have officers or employees. All of our officers and other personnel necessary for our business to function are employed by GP LLC or PMC ULC. As of December 31, 2024, GP LLC and PMC ULC employed approximately 4,200 people in North America, of which approximately 3,000 were employed in the U.S. and approximately 1,200 were employed in Canada. Approximately 69% of our workforce (approximately 2,900 employees) are field employees, which includes approximately 800 employees in our trucking division. Our employees are located in 24 states in the U.S. and in four provinces in Canada. Approximately 200 employees are covered by six separate collective bargaining agreements, which are open for renegotiation in 2025 through 2027.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“Hazard ID / Near Miss Program”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 In addition, the HSES Committee assists the Board in its evaluation and oversight of our management of HSES matters. Through the discharge of its oversight responsibilities, the HSES Committee facilitates the efforts of management to further strengthen our focus on Sustainability matters.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Leadership Development</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are committed to providing a professional work environment where all employees are treated with respect and dignity and provided with opportunities for growth and development. To foster the continued development of our people, we provide a comprehensive set of training programs covering subjects such as field operations, health and safety, regulatory compliance, technical training, management and leadership skills, and professional development. We also operate a number of internal development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compensation and benefits programs are designed to retain, attract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Tax Considerations</w:t>
      </w:r>
    </w:p>
    <w:p>
      <w:pPr>
        <w:spacing w:after="0" w:line="2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of the shareholder’s investment in us under applicable U.S. federal, state and local law, as well as the law applicable in Canada and the Canadian provinces. Further, it is the responsibility of each shareholder to file all U.S. federal, Canadian, state, provincial and local tax returns that may be required of the shareholder. Also see Item 1A. “Risk Factors—Tax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Status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to U.S. Holders</w:t>
      </w:r>
    </w:p>
    <w:p>
      <w:pPr>
        <w:spacing w:after="0" w:line="2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89"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52" w:lineRule="exact"/>
        <w:rPr>
          <w:rFonts w:ascii="Times New Roman" w:cs="Times New Roman" w:eastAsia="Times New Roman" w:hAnsi="Times New Roman"/>
          <w:sz w:val="18"/>
          <w:szCs w:val="18"/>
          <w:color w:val="auto"/>
        </w:rPr>
      </w:pPr>
    </w:p>
    <w:p>
      <w:pPr>
        <w:jc w:val="both"/>
        <w:ind w:left="980" w:right="200" w:hanging="324"/>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Both AAP and PAA have made elections permitted by Section 754 of the Code. As a result, our acquisition of AAP units in connection with our initial public offering (“IPO”) and in connection with exchanges since the IPO by the holders of our Class B shares and the AAP units not held by us (“Legacy Owners”) and their permitted transferees of their AAP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21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Disposition of Class A Shares</w:t>
      </w:r>
    </w:p>
    <w:p>
      <w:pPr>
        <w:spacing w:after="0" w:line="256"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to Non-U.S. Holders</w:t>
      </w:r>
    </w:p>
    <w:p>
      <w:pPr>
        <w:spacing w:after="0" w:line="25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56"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22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Disposition of Class A Shares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Backup Withholding and Information Reporting,” a non-U.S. holder generally will not be subject to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or withholding tax on any gain realized upon the sale or other disposition of our Class A shares unless:</w:t>
      </w:r>
    </w:p>
    <w:p>
      <w:pPr>
        <w:spacing w:after="0" w:line="234" w:lineRule="exact"/>
        <w:rPr>
          <w:sz w:val="20"/>
          <w:szCs w:val="20"/>
          <w:color w:val="auto"/>
        </w:rPr>
      </w:pPr>
    </w:p>
    <w:p>
      <w:pPr>
        <w:ind w:left="980" w:right="52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88" w:lineRule="exact"/>
        <w:rPr>
          <w:rFonts w:ascii="Times New Roman" w:cs="Times New Roman" w:eastAsia="Times New Roman" w:hAnsi="Times New Roman"/>
          <w:sz w:val="18"/>
          <w:szCs w:val="18"/>
          <w:color w:val="auto"/>
        </w:rPr>
      </w:pPr>
    </w:p>
    <w:p>
      <w:pPr>
        <w:ind w:left="980" w:right="620" w:hanging="324"/>
        <w:spacing w:after="0" w:line="312" w:lineRule="auto"/>
        <w:tabs>
          <w:tab w:leader="none" w:pos="97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66" w:lineRule="exact"/>
        <w:rPr>
          <w:rFonts w:ascii="Times New Roman" w:cs="Times New Roman" w:eastAsia="Times New Roman" w:hAnsi="Times New Roman"/>
          <w:sz w:val="17"/>
          <w:szCs w:val="17"/>
          <w:color w:val="auto"/>
        </w:rPr>
      </w:pPr>
    </w:p>
    <w:p>
      <w:pPr>
        <w:ind w:left="980" w:right="80" w:hanging="324"/>
        <w:spacing w:after="0" w:line="312" w:lineRule="auto"/>
        <w:tabs>
          <w:tab w:leader="none" w:pos="97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6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210" w:lineRule="exact"/>
        <w:rPr>
          <w:sz w:val="20"/>
          <w:szCs w:val="20"/>
          <w:color w:val="auto"/>
        </w:rPr>
      </w:pPr>
    </w:p>
    <w:p>
      <w:pPr>
        <w:ind w:firstLine="729"/>
        <w:spacing w:after="0" w:line="253" w:lineRule="auto"/>
        <w:rPr>
          <w:sz w:val="20"/>
          <w:szCs w:val="20"/>
          <w:color w:val="auto"/>
        </w:rPr>
      </w:pPr>
      <w:r>
        <w:rPr>
          <w:rFonts w:ascii="Times New Roman" w:cs="Times New Roman" w:eastAsia="Times New Roman" w:hAnsi="Times New Roman"/>
          <w:sz w:val="18"/>
          <w:szCs w:val="18"/>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221" w:lineRule="exact"/>
        <w:rPr>
          <w:sz w:val="20"/>
          <w:szCs w:val="20"/>
          <w:color w:val="auto"/>
        </w:rPr>
      </w:pPr>
    </w:p>
    <w:p>
      <w:pPr>
        <w:ind w:right="40" w:firstLine="729"/>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2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Requirements under FATCA</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w:t>
      </w:r>
    </w:p>
    <w:p>
      <w:pPr>
        <w:spacing w:after="0" w:line="6" w:lineRule="exact"/>
        <w:rPr>
          <w:sz w:val="20"/>
          <w:szCs w:val="20"/>
          <w:color w:val="auto"/>
        </w:rPr>
      </w:pPr>
    </w:p>
    <w:p>
      <w:pPr>
        <w:ind w:right="60" w:firstLine="8"/>
        <w:spacing w:after="0" w:line="252"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 xml:space="preserve">We make available, free of charge on our Internet website at </w:t>
      </w:r>
      <w:r>
        <w:rPr>
          <w:rFonts w:ascii="Times New Roman" w:cs="Times New Roman" w:eastAsia="Times New Roman" w:hAnsi="Times New Roman"/>
          <w:sz w:val="18"/>
          <w:szCs w:val="18"/>
          <w:i w:val="1"/>
          <w:iCs w:val="1"/>
          <w:color w:val="auto"/>
        </w:rPr>
        <w:t>www.plains.com</w:t>
      </w:r>
      <w:r>
        <w:rPr>
          <w:rFonts w:ascii="Times New Roman" w:cs="Times New Roman" w:eastAsia="Times New Roman" w:hAnsi="Times New Roman"/>
          <w:sz w:val="18"/>
          <w:szCs w:val="18"/>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partnership structure carries inherent risks, including but not limited to:</w:t>
      </w:r>
    </w:p>
    <w:p>
      <w:pPr>
        <w:spacing w:after="0" w:line="117" w:lineRule="exact"/>
        <w:rPr>
          <w:sz w:val="20"/>
          <w:szCs w:val="20"/>
          <w:color w:val="auto"/>
        </w:rPr>
      </w:pPr>
    </w:p>
    <w:p>
      <w:pPr>
        <w:ind w:left="660" w:right="7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will be entirely dependent upon the ability of PAA to make cash distributions to AAP, and the ability of AAP to make cash distributions to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distributions AAP is entitled to receive may fluctuate, which may reduce cash distributions to our Class A shareholders;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distributions on our Class A shares are not paid with respect to any fiscal quarter, our Class A shareholders will not be entitled to receive that quarter’s payments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that we and PAA distribute each quarter may limit our ability to grow;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shareholders own a significant number of shares, which may make the removal of our general partner difficult; and</w:t>
      </w:r>
    </w:p>
    <w:p>
      <w:pPr>
        <w:spacing w:after="0" w:line="117"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Conflicts of Interest</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existing organizational structure and the current and future relationships among us, PAA, our respective general partners, the Legacy Owners and affiliated entities present the potential for conflicts of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PAA’s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PAA’s business, results of operations, financial condition, cash flows and unit price can be adversely affected by many factors including but not limited to:</w:t>
      </w:r>
    </w:p>
    <w:p>
      <w:pPr>
        <w:spacing w:after="0" w:line="252" w:lineRule="exact"/>
        <w:rPr>
          <w:sz w:val="20"/>
          <w:szCs w:val="20"/>
          <w:color w:val="auto"/>
        </w:rPr>
      </w:pPr>
    </w:p>
    <w:p>
      <w:pPr>
        <w:ind w:left="660" w:right="240" w:hanging="328"/>
        <w:spacing w:after="0" w:line="260"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the volume of crude oil, natural gas and NGL shipped, processed, purchased, stored, fractionated and/or gathered at or through the use of PAA’s pipelines and facilities, which can be negatively impacted by a variety of factors outside of its control;</w:t>
      </w:r>
    </w:p>
    <w:p>
      <w:pPr>
        <w:spacing w:after="0" w:line="1" w:lineRule="exact"/>
        <w:rPr>
          <w:rFonts w:ascii="Arial" w:cs="Arial" w:eastAsia="Arial" w:hAnsi="Arial"/>
          <w:sz w:val="18"/>
          <w:szCs w:val="18"/>
          <w:color w:val="auto"/>
        </w:rPr>
      </w:pPr>
    </w:p>
    <w:p>
      <w:pPr>
        <w:ind w:left="660" w:right="660" w:hanging="328"/>
        <w:spacing w:after="0" w:line="259"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competition in PAA’s industry, including recontracting and other risks associated with the general capacity overbuild of midstream energy infrastructure in some of the areas where PAA operates;</w:t>
      </w:r>
    </w:p>
    <w:p>
      <w:pPr>
        <w:spacing w:after="0" w:line="20" w:lineRule="exact"/>
        <w:rPr>
          <w:rFonts w:ascii="Arial" w:cs="Arial" w:eastAsia="Arial" w:hAnsi="Arial"/>
          <w:sz w:val="18"/>
          <w:szCs w:val="18"/>
          <w:color w:val="auto"/>
        </w:rPr>
      </w:pPr>
    </w:p>
    <w:p>
      <w:pPr>
        <w:ind w:left="660" w:right="40" w:hanging="328"/>
        <w:spacing w:after="0" w:line="280"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supply and demand for the products PAA handles and the services it provides, which can be caused by a variety of factors outside of its control;</w:t>
      </w:r>
    </w:p>
    <w:p>
      <w:pPr>
        <w:spacing w:after="0" w:line="2" w:lineRule="exact"/>
        <w:rPr>
          <w:rFonts w:ascii="Arial" w:cs="Arial" w:eastAsia="Arial" w:hAnsi="Arial"/>
          <w:sz w:val="18"/>
          <w:szCs w:val="18"/>
          <w:color w:val="auto"/>
        </w:rPr>
      </w:pPr>
    </w:p>
    <w:p>
      <w:pPr>
        <w:ind w:left="660" w:right="640" w:hanging="328"/>
        <w:spacing w:after="0" w:line="280"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natural disasters, catastrophes, terrorist attacks (including eco-terrorist attacks), process safety failures, equipment failures or other events, including pipeline or facility accidents;</w:t>
      </w:r>
    </w:p>
    <w:p>
      <w:pPr>
        <w:spacing w:after="0" w:line="2" w:lineRule="exact"/>
        <w:rPr>
          <w:rFonts w:ascii="Arial" w:cs="Arial" w:eastAsia="Arial" w:hAnsi="Arial"/>
          <w:sz w:val="18"/>
          <w:szCs w:val="18"/>
          <w:color w:val="auto"/>
        </w:rPr>
      </w:pPr>
    </w:p>
    <w:p>
      <w:pPr>
        <w:ind w:left="660" w:right="340" w:hanging="328"/>
        <w:spacing w:after="0" w:line="281"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information or operations technology failures, including cybersecurity attacks, data breaches and other disruptions affecting PAA or its service providers;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climate change, energy conservation measures, or initiatives that stimulate demand for alternative forms of energy;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societal and political pressures from various groups, including opposition to the development or operation of PAA’s pipelines and facilities;</w:t>
      </w:r>
    </w:p>
    <w:p>
      <w:pPr>
        <w:spacing w:after="0" w:line="62"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concern by financial stakeholders with respect to PAA’s governance structure and the perceived social and environmental cost of PAA’s industry;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the overall forward market for crude oil and NGL, and certain market structures, the absence of pricing volatility and other market factors;</w:t>
      </w:r>
    </w:p>
    <w:p>
      <w:pPr>
        <w:spacing w:after="0" w:line="6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an inability to fully implement or realize expected returns or other anticipated benefits associated with acquisitions/divestitures, joint venture and joint ownership arrangements, and other projects;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businesses in connection with PAA’s strategy to participate in emerging energy opportunities;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loss of PAA’s investment grade credit rating or a significant reduction in the ability of PAA to receive open credit;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2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credit risk of PAA’s customers and other counterparties it transacts with in the ordinary course of business activities;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tightened capital markets or other factors that increase PAA’s cost of capital or otherwise limit its access to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insufficiency of, or non-compliance with, PAA’s risk policies;</w:t>
      </w:r>
    </w:p>
    <w:p>
      <w:pPr>
        <w:spacing w:after="0" w:line="6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insurance coverage may not fully cover its losses and it may in the future encounter increased costs related to, and lack of availability of, insurance;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tariffs, duties, quotas, inflation, supply disruptions or other factors affecting the commodities and materials PAA uses in its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other public health events;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current or future debt levels, or inability to borrow additional funds or capitalize on business opportunities;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interest rates and currency exchange rates;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recruiting and retaining PAA’s workforce;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long-term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certain assets due to fixed costs incurred to obtain the right to use such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repair and maintain PAA’s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does not own all of the land on which its pipelines and facilities are located, which could result in disruptions to its operations;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infrastructure could have an adverse impact on expected crude oil production growth in the Permian Basin.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 Impacting PAA’s Business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PAA’s business may be adversely impacted by existing or new laws, executive orders and regulations relating to protection of the environment and wildlife, operational safety, cross-border import/export and tax matters, financial and hedging activities, climate change and related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PAA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PAA’s partnership structure carries inherent risks, including but not limited to:</w:t>
      </w:r>
    </w:p>
    <w:p>
      <w:pPr>
        <w:spacing w:after="0" w:line="25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reimbursements due to PAA’s general partner may be substantial and will reduce PAA’s cash available for distribution to its unitholders;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are not guaranteed and may fluctuate with PAA’s performance and the establishment of financial reserves; and</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preferred units have rights, preferences and privileges that are not the same as, and are preferential to, the rights of holders of PAA’s common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shares are subject to tax risks, which may adversely impact the value of or market for our shares and may reduce our cash available for distribution or debt service, including but not limited to:</w:t>
      </w:r>
    </w:p>
    <w:p>
      <w:pPr>
        <w:spacing w:after="0" w:line="54" w:lineRule="exact"/>
        <w:rPr>
          <w:sz w:val="20"/>
          <w:szCs w:val="20"/>
          <w:color w:val="auto"/>
        </w:rPr>
      </w:pPr>
    </w:p>
    <w:p>
      <w:pPr>
        <w:ind w:left="660" w:right="2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PAA depends on its status as a partnership for U.S. federal income tax purposes and not being subject to a material amount of entity-level taxation. The cash available for distribution to us from PAA may be substantially reduced if PAA were to become subject to entity-level taxation as a result of the Internal Revenue Service (“IRS”) treating PAA as a corporation or legislative, judicial or administrative changes, and may also be reduced by any audit adjustments if imposed directly on PAA. Additionally, the treatment of PAA as a corporation would increase the portion of our distributions treated as taxable dividends; and</w:t>
      </w:r>
    </w:p>
    <w:p>
      <w:pPr>
        <w:spacing w:after="0" w:line="7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tax treatment may change, which could affect the value of our Class A shares or reduce our cash available for distribution, and any decrease in our Class A share price could adversely affect our amount of cash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flow will be entirely dependent upon the ability of PAA to make cash distributions to AAP, and the ability of AAP to make cash distributions to us.</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“—Risks Related to Laws and Regulations Impacting PAA’s Business”, “—Risks Inherent in an Investment in PAA” and Item 7.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2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AAP’s ability to distribute cash to us and our ability to distribute cash received from AAP to our Class A shareholders is limited by a number of factors, including:</w:t>
      </w:r>
    </w:p>
    <w:p>
      <w:pPr>
        <w:spacing w:after="0" w:line="54"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of any income taxes;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distributions contained in PAA’s credit facilities and any future debt agreements entered into by AAP, PAA or us; and</w:t>
      </w:r>
    </w:p>
    <w:p>
      <w:pPr>
        <w:spacing w:after="0" w:line="117"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our general partner establishes for, among other things, the proper conduct of our business or to comply with applicable law or any agreement binding on us or our subsidiaries (exclusive of PAA and its subsidiaries).</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 material increase in amounts paid or reserved with respect to any of these factors could restrict our ability to pay quarterly distributions to our Class A shareholders. See Item 5. “Market for Registrant’s Shares, Related Shareholder Matters and Issuer Purchases of Equity Securities—Cash Distribution Policy.”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distributions AAP is entitled to receive may fluctuate, which may reduce cash distributions to our Class A shareholders.</w:t>
      </w:r>
    </w:p>
    <w:p>
      <w:pPr>
        <w:spacing w:after="0" w:line="25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At December 31, 2024, we owned an approximate 85% limited partner interest in AAP, which owned approximately 232.9 million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21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8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of cash that we and PAA distribute each quarter may limit our ability to grow.</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21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PAA’s credit facilities could limit AAP’s ability to make distributions to us, thereby limiting our ability to make distributions to our Class A shareholders.</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 B shareholders own a significant number of shares, which may make the removal of our general partner difficult.</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it may be difficult for them to remove our general partner. Our general partner may only be removed by vote of the holders of at least 66 </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our outstanding shares (including both Class A and Class B shares). At December 31, 2024, the Legacy Owners owned approximately 15% of our outstanding Class A and Class B shares. Without the support of our Legacy Owners, such ownership level may make it more difficult for our Class A shareholders to obtain the requisite vote level required to remove our general partner.</w:t>
      </w:r>
    </w:p>
    <w:p>
      <w:pPr>
        <w:spacing w:after="0" w:line="21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provisions, the price at which our shares trade may be lower because of the absence or reduction of a control or takeover premium in the trading price.</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8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79"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shareholder’s proportionate ownership interest in us may decrease;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on each Class A share may decrease;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Class A share may be diminished;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Class A shares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PAA’s unitholders remove PAA GP as PAA”s general partner, AAP may be required to sell or exchange its indirect general partner interest and we may lose our ability to manage and control PAA.</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currently manage our investment in PAA through our indirect ownership of PAA GP, which serves as PAA’s general partner. PAA’s partnership agreement gives unitholders of PAA the right to remove PAA GP as general partner upon the affirmative vote of holders of 66 </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PAA’s outstanding units. If PAA GP withdraws as general partner or is removed without cause (as defined in PAA’s partnership agreement) and a successor general partner is elected, AAP will receive cash in exchange for its indirect general partner interest. If PAA GP withdraws under circumstances other than those described in the preceding sentence and a successor general partner is elected, the successor general partner will purchase the general partner interest for its fair market value. If PAA GP’s interests are not purchased, they will be converted into common units. In either case, we could lose our ability to manage and control PAA.</w:t>
      </w:r>
    </w:p>
    <w:p>
      <w:pPr>
        <w:spacing w:after="0" w:line="21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addition, if PAA GP is removed or withdraws as general partner of PAA, we could face an increased risk of being deemed an investment company. Please read “—If in the future we cease to manage and control PAA, we may be deemed to be an investment company under the Investment Company Act of 1940.”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may not have limited liability if a court finds that shareholder action constitutes control of our business.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in the future we cease to manage and control PAA, we may be deemed to be an investment company under the Investment Company Act of 1940.</w:t>
      </w:r>
    </w:p>
    <w:p>
      <w:pPr>
        <w:spacing w:after="0" w:line="25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rights of shareholders owning 20% or more of our shares.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shares may be volatile, and holders of our Class A shares could lose a significant portion of their investments.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7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operating and financial performance and prospects and the trading price of its common units;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PAA’s quarterly distributions and our quarterly distributions;</w:t>
      </w:r>
    </w:p>
    <w:p>
      <w:pPr>
        <w:spacing w:after="0" w:line="117"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of our financial indicators, such as distributable cash flow per Class A share, net income and revenues;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and distribution estimates or publication of research reports by analysts;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by the press or investment community;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shares by our shareholders;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the Legacy Owners of their exchange rights with respect to any retained AAP units;</w:t>
      </w:r>
    </w:p>
    <w:p>
      <w:pPr>
        <w:spacing w:after="0" w:line="117"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PAA or its competitors of significant contracts, acquisitions, strategic partnerships, joint ventures, securities offerings or capital commitments;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conditions in financial markets;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tax laws or regulations;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related to PAA’s performance;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these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may cause the market price of our shares to decline.</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2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Legacy Owners hold a meaningful portion of the combined voting power of our Class A and Class B shares.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December 31, 2024, through their ownership of Class B shares, the Legacy Owners held approximately 15% of the combined voting power of our Class A and Class B shares. The Legacy Owners are entitled to act separately in their own respective interests with respect to their partnership interests in us, and collectively they currently have the ability to influence (although not the ability to block outright) (i) the outcome of any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meaningful amount of our outstanding shares, even if such amount is less than 50%, they will continue to be able to influence any matters requiring shareholder approval, regardless of whether or not other shareholders believe that such matters are in their own best interests.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valuation allowance on our deferred tax asset could reduce our earnings.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we had a gross deferred tax asset of approximately $1.3 billion. Generally accepted accounting principles in the United States (“GAAP”) requires that a valuation allowance must be established for deferred tax assets when it is more likely than not that they will not be realized. We believe that the deferred tax asset we recorded through 2024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liability as a result of our ownership of our and PAA’s general partner.</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Conflicts of Interest</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existing organizational structure and the current and future relationships among us, PAA, our respective general partners, the Legacy Owners and affiliated entities present the potential for conflicts of interest.</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Conflicts of interest may arise as a result of our organizational structure and the current and future relationships among us, PAA, our respective general partners, the Legacy Owners and affiliated entities.</w:t>
      </w:r>
    </w:p>
    <w:p>
      <w:pPr>
        <w:spacing w:after="0" w:line="18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20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8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provisions that substantially reduce the standards to which our general partner would otherwise be held by state fiduciary duty law. For example, our partnership agreement:</w:t>
      </w:r>
    </w:p>
    <w:p>
      <w:pPr>
        <w:spacing w:after="0" w:line="54" w:lineRule="exact"/>
        <w:rPr>
          <w:sz w:val="20"/>
          <w:szCs w:val="20"/>
          <w:color w:val="auto"/>
        </w:rPr>
      </w:pPr>
    </w:p>
    <w:p>
      <w:pPr>
        <w:ind w:left="980" w:hanging="324"/>
        <w:spacing w:after="0" w:line="277" w:lineRule="auto"/>
        <w:tabs>
          <w:tab w:leader="none" w:pos="97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59" w:lineRule="exact"/>
        <w:rPr>
          <w:rFonts w:ascii="Times New Roman" w:cs="Times New Roman" w:eastAsia="Times New Roman" w:hAnsi="Times New Roman"/>
          <w:sz w:val="17"/>
          <w:szCs w:val="17"/>
          <w:color w:val="auto"/>
        </w:rPr>
      </w:pPr>
    </w:p>
    <w:p>
      <w:pPr>
        <w:ind w:left="980" w:right="14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67" w:lineRule="exact"/>
        <w:rPr>
          <w:rFonts w:ascii="Times New Roman" w:cs="Times New Roman" w:eastAsia="Times New Roman" w:hAnsi="Times New Roman"/>
          <w:sz w:val="18"/>
          <w:szCs w:val="18"/>
          <w:color w:val="auto"/>
        </w:rPr>
      </w:pPr>
    </w:p>
    <w:p>
      <w:pPr>
        <w:ind w:left="1620" w:right="260" w:hanging="316"/>
        <w:spacing w:after="0" w:line="282" w:lineRule="auto"/>
        <w:tabs>
          <w:tab w:leader="none" w:pos="161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53" w:lineRule="exact"/>
        <w:rPr>
          <w:rFonts w:ascii="Times New Roman" w:cs="Times New Roman" w:eastAsia="Times New Roman" w:hAnsi="Times New Roman"/>
          <w:sz w:val="18"/>
          <w:szCs w:val="18"/>
          <w:color w:val="auto"/>
        </w:rPr>
      </w:pPr>
    </w:p>
    <w:p>
      <w:pPr>
        <w:ind w:left="1620" w:right="240" w:hanging="316"/>
        <w:spacing w:after="0" w:line="282" w:lineRule="auto"/>
        <w:tabs>
          <w:tab w:leader="none" w:pos="161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53" w:lineRule="exact"/>
        <w:rPr>
          <w:rFonts w:ascii="Times New Roman" w:cs="Times New Roman" w:eastAsia="Times New Roman" w:hAnsi="Times New Roman"/>
          <w:sz w:val="18"/>
          <w:szCs w:val="18"/>
          <w:color w:val="auto"/>
        </w:rPr>
      </w:pPr>
    </w:p>
    <w:p>
      <w:pPr>
        <w:ind w:left="1620" w:right="40" w:hanging="316"/>
        <w:spacing w:after="0" w:line="282" w:lineRule="auto"/>
        <w:tabs>
          <w:tab w:leader="none" w:pos="16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by our general partner (after due inquiry) to be on terms no less favorable to us than those generally being provided to or available from unrelated third parties; or</w:t>
      </w:r>
    </w:p>
    <w:p>
      <w:pPr>
        <w:spacing w:after="0" w:line="53"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67" w:lineRule="exact"/>
        <w:rPr>
          <w:rFonts w:ascii="Times New Roman" w:cs="Times New Roman" w:eastAsia="Times New Roman" w:hAnsi="Times New Roman"/>
          <w:sz w:val="18"/>
          <w:szCs w:val="18"/>
          <w:color w:val="auto"/>
        </w:rPr>
      </w:pPr>
    </w:p>
    <w:p>
      <w:pPr>
        <w:ind w:left="980" w:right="20" w:hanging="324"/>
        <w:spacing w:after="0" w:line="25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79" w:lineRule="exact"/>
        <w:rPr>
          <w:rFonts w:ascii="Times New Roman" w:cs="Times New Roman" w:eastAsia="Times New Roman" w:hAnsi="Times New Roman"/>
          <w:sz w:val="18"/>
          <w:szCs w:val="18"/>
          <w:color w:val="auto"/>
        </w:rPr>
      </w:pPr>
    </w:p>
    <w:p>
      <w:pPr>
        <w:jc w:val="both"/>
        <w:ind w:left="980" w:right="80" w:hanging="324"/>
        <w:spacing w:after="0" w:line="261"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Legacy Owners may have interests that conflict with holders of our Class A shares.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the Legacy Owners owned approximately 15% of our outstanding Class A and Class B shares and approximately 15%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presented with business opportunities, PAA has the first right to pursue such opportunities.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partner’s affiliates and the Legacy Owners may compete with us.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call right that may require our shareholders to sell their Class A shares at an undesirable time or price.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2024, the Legacy Owners owned approximately 15% of the Class A shares and Class B shares on a combined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PAA’s Business</w:t>
      </w:r>
    </w:p>
    <w:p>
      <w:pPr>
        <w:spacing w:after="0" w:line="25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profitability depends on the volume of crude oil, natural gas and NGL shipped, processed, purchased, stored, fractionated and/or gathered at or through the use of its pipelines and facilities, which can be negatively impacted by a variety of factors outside of its control.</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PAA’s pipelines and at its other facilities, which, depending on the level of production declines, could have a material adverse effect on PAA’s business.</w:t>
      </w:r>
    </w:p>
    <w:p>
      <w:pPr>
        <w:spacing w:after="0" w:line="21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Also, except with respect to some of PAA’s more recently constructed long haul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PAA’s ability to secure additional supplies of crude oil.</w:t>
      </w:r>
    </w:p>
    <w:p>
      <w:pPr>
        <w:spacing w:after="0" w:line="18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profitability can be negatively affected by a variety of factors stemming from competition in its industry, including recontracting and other risks associated with the general capacity overbuild of midstream energy infrastructure in some of the areas where it operates.</w:t>
      </w:r>
    </w:p>
    <w:p>
      <w:pPr>
        <w:spacing w:after="0" w:line="18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investment capital projects, acquisitions and joint venture activities. Some of PAA’s competitors have capital resources many times greater than PAA’s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PAA to attract new customers and expose PAA to increased contract renewal and customer retention risk with respect to its existing customers and make recontracting at favorable rates and volumes more challenging, including, for example, with respect to certain of PAA’s long-haul Permian pipelines.</w:t>
      </w:r>
    </w:p>
    <w:p>
      <w:pPr>
        <w:spacing w:after="0" w:line="219" w:lineRule="exact"/>
        <w:rPr>
          <w:sz w:val="20"/>
          <w:szCs w:val="20"/>
          <w:color w:val="auto"/>
        </w:rPr>
      </w:pPr>
    </w:p>
    <w:p>
      <w:pPr>
        <w:ind w:right="500" w:firstLine="648"/>
        <w:spacing w:after="0" w:line="276" w:lineRule="auto"/>
        <w:rPr>
          <w:sz w:val="20"/>
          <w:szCs w:val="20"/>
          <w:color w:val="auto"/>
        </w:rPr>
      </w:pPr>
      <w:r>
        <w:rPr>
          <w:rFonts w:ascii="Times New Roman" w:cs="Times New Roman" w:eastAsia="Times New Roman" w:hAnsi="Times New Roman"/>
          <w:sz w:val="17"/>
          <w:szCs w:val="17"/>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w:t>
      </w:r>
    </w:p>
    <w:p>
      <w:pPr>
        <w:spacing w:after="0" w:line="1" w:lineRule="exact"/>
        <w:rPr>
          <w:sz w:val="20"/>
          <w:szCs w:val="20"/>
          <w:color w:val="auto"/>
        </w:rPr>
      </w:pPr>
    </w:p>
    <w:p>
      <w:pPr>
        <w:ind w:firstLine="8"/>
        <w:spacing w:after="0" w:line="251"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 areas where PAA operates have become overbuilt, resulting in an excess of midstream energy infrastructure capacity. In addition, as an established participant in some markets, PAA also faces competition from aggressive new entrants to the market who are willing to provide services at a lower rate of return in order to establish relationships and gain a foothold in the market. In addition, PAA’s crude oil and NGL merchant activities utilize many of its pipelines and facilities. Competition that impacts PAA’s merchant activities could result in a reduction in the use of its transportation and facilities assets.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2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20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supply and demand for the products PAA handles, which can be caused by a variety of factors outside of its control, can negatively affect its operating results.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Supply and demand for crude oil and other hydrocarbon products PAA handles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PAA’s transportation assets to satisfy their demand by deliveries through those assets. Decreases in demand for the products PAA handles, whether at a global level or in areas its assets serve, can negatively affect its operating results.</w:t>
      </w:r>
    </w:p>
    <w:p>
      <w:pPr>
        <w:spacing w:after="0" w:line="22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2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the availability of certain grades of crude oil at specific locations, and thus is largely unpredictable.</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or margins it earns. Also, increased supply of NGL products could reduce the value of NGL PAA handles and reduce the margins realized by it.</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19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Natural disasters, catastrophes, terrorist attacks (including eco-terrorist attacks), process safety failures, equipment failures or other events, including pipeline or facility accidents and cyber or other attacks on PAA’s electronic and computer systems, could interrupt its operations, hinder its ability to fulfil its contractual obligations and/or result in severe personal injury, property damage and environmental damage, which could have a material adverse effect on its financial position, results of operations and cash flows.</w:t>
      </w:r>
    </w:p>
    <w:p>
      <w:pPr>
        <w:spacing w:after="0" w:line="20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PAA’s physical facilities and hackers may attack its electronic and computer systems.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In addition, PAA’s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its operations, hinders its ability to fulfil its contractual obligations or which causes PAA to make significant expenditures not covered by insurance, could reduce its profitability, cash flows and cash available for paying distributions to its partners and, accordingly, adversely affect its financial condition and the market price of its securities.</w:t>
      </w:r>
    </w:p>
    <w:p>
      <w:pPr>
        <w:spacing w:after="0" w:line="22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 or other transactions.</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PAA’s business is highly dependent on the use of information and operations technology systems and the unavailability or ineffectiveness of such systems, whether due to cybersecurity attacks, data breaches, human error or other disruptions affecting PAA, or its service providers, could materially and adversely affect PAA’s business, operations, reputation and financial results.</w:t>
      </w:r>
    </w:p>
    <w:p>
      <w:pPr>
        <w:spacing w:after="0" w:line="20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continuous and uninterrupted operation of the information and operations technology systems and infrastructure PAA uses (collectively, its “IT systems”), which include a broad array of third party and cloud-based software, technologies, tools, and security products, is critical to the operation of its business and essential to its ability to perform day-to-day operations. If PAA is unable to implement, use and maintain effective IT systems, it could have a material adverse effect on its business.</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PAA and certain of its service providers have, from time to time, been subject to cyberattacks. The frequency and magnitude of cyberattacks is expected to increase and attackers are becoming more sophisticated. Infrastructure assets including pipelines, may be specifically targeted by certain groups, such as “hacktivists,” state-sponsored groups, criminal organizations or private individuals. PAA may be unable to anticipate, detect or prevent future attacks, particularly as the methodologies used by attackers change frequently or are not recognized until launched, and PAA may be unable to investigate or remediate incidents because attackers are increasingly using techniques and tools designed to circumvent controls, to avoid detection, and to remove or obfuscate forensic evidence.</w:t>
      </w:r>
    </w:p>
    <w:p>
      <w:pPr>
        <w:spacing w:after="0" w:line="21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Any breach or failure of PAA’s IT systems, whether due to cyberattacks or other malfeasance, human error, power failures or other disruptions, could result in interruptions to its operations, damage to its assets, safety incidents, damage to the environment and disclosure of sensitive information (including proprietary business information, critical operating information and data, information regarding our customers, suppliers, royalty owners and business partners, and personally identifiable information of our employees). This could in turn cause PAA to incur significant costs and liabilities, including ransom payments, remediation costs, legal claims, regulatory enforcement actions, violation of privacy or securities laws and regulations and the loss of contracts or the inability to fulfil its contractual obligations. Any of these events could have a material adverse effect on its operations, financial position and results of operations. In addition, PAA may be required to invest significant additional resources to enhance its information security and controls or to comply with evolving cybersecurity laws or regulations.</w:t>
      </w:r>
    </w:p>
    <w:p>
      <w:pPr>
        <w:spacing w:after="0" w:line="21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emergence of new technologies (including generative artificial intelligence) could increase any of the foregoing risks or create new risks. We or our counterparties may rely upon such technologies for our operations or security, which could make us more vulnerable to technology failures. Our competitors may more effectively implement such technologies in their businesses, and we may be unable to compete as effectively. New technologies are also subject to intentional misuse by criminals, terrorists or other bad actors.</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PAA self-insures and thus does not carry insurance specifically for cybersecurity events; however, certain of PAA’s insurance policies may allow for coverage of associated damages resulting from such events. If PAA were to incur a significant liability for which it was not fully insured, or if PAA incurred costs in excess of reserves established for uninsured or self-insured risks, it could have a material adverse effect on PAA’s financial position, results of operations and cash flows.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PAA’s and its customers’ operations are subject to various risks arising out of the threat of climate change.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PAA’s and its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PAA’s services or the products it handles. Government initiatives or technological advances may also create new competitive conditions that result in reduced demand for products PAA’s customers produce and, in turn, the services PAA provides. The potential impact of changing demand for crude oil and natural gas services and products may have a material adverse effect on PAA’s business, financial condition, results of operations and cash flows. Additionally, the threat of climate change may negatively impact PAA’s business if it results in PAA restricting, delaying or canceling development activities and new projects.</w:t>
      </w:r>
    </w:p>
    <w:p>
      <w:pPr>
        <w:spacing w:after="0" w:line="21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PAA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PAA’s operations and financial condition.</w:t>
      </w:r>
    </w:p>
    <w:p>
      <w:pPr>
        <w:spacing w:after="0" w:line="21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Climate changes that have significant physical effects, such as increased frequency and severity of storms, droughts, floods and other climatic events, as well as shifts in temperature and precipitation patterns have the potential to cause physical damage to PAA’s assets or disrupt its supply chains and thus could have an adverse effect on its operations. PAA’s ability to manage the adverse impacts of these events depends in part on the effectiveness its disaster preparedness and response and business continuity planning, which may not have considered or be prepared for every eventuality.</w:t>
      </w:r>
    </w:p>
    <w:p>
      <w:pPr>
        <w:spacing w:after="0" w:line="20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full impact of climate change on PAA’s business, as well as the businesses of its customers and suppliers is unknown. Any of factors discussed above, or any other unanticipated developments, could have a material adverse effect on PAA’s business, results of operations and financial condition.</w:t>
      </w:r>
    </w:p>
    <w:p>
      <w:pPr>
        <w:spacing w:after="0" w:line="19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 may face opposition from various groups to the development or operation of its pipelines and facilities and PAA’s business may be subject to societal and political pressures.</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PAA may face opposition to the development or operation of its pipelines and facilities from environmental groups, landowners, indigenous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spacing w:after="0" w:line="2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PAA’s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PAA operates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PAA’s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PAA’s services and directly affect PAA’s ability to fund construction or other capital projects and its ongoing operations.</w:t>
      </w:r>
    </w:p>
    <w:p>
      <w:pPr>
        <w:spacing w:after="0" w:line="20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 is subject to scrutiny by financial stakeholders with respect to the perceived social and environmental cost of its industry and its governance structure, which may adversely impact its ability to raise capital from such investors.</w:t>
      </w:r>
    </w:p>
    <w:p>
      <w:pPr>
        <w:spacing w:after="0" w:line="17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spacing w:after="0" w:line="2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Financial stakeholders’ focus and activism related to sustainability and similar matters could constrain PAA’s ability to raise capital. Any material limitations on its ability to access capital as a result of such scrutiny could limit its ability to obtain future financing on favorable terms, or at all, or could result in increased financing costs in the future. Similarly, such activism could negatively impact PAA’s unit price or the price of its debt, limiting its ability to raise capital through equity issuances or debt financing, or could negatively affect its ability to engage in, expand or pursue its business activities, and could also prevent it from engaging in certain transactions that might otherwise be considered beneficial to PAA.</w:t>
      </w:r>
    </w:p>
    <w:p>
      <w:pPr>
        <w:spacing w:after="0" w:line="21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PAA’s services or the products it handles, reduced profits, increased legislative and judicial scrutiny, investigations and litigation, reputational damage, and negative impacts on PAA’s access to capital markets. PAA could also be subject to additional governmental investigations, private litigation, or activist campaigns as unitholders may attempt to effect changes to PAA’s business or governance practices.</w:t>
      </w:r>
    </w:p>
    <w:p>
      <w:pPr>
        <w:spacing w:after="0" w:line="21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March 2024, the SEC finalized a set of climate disclosure rules that would mandate extensive disclosure of climate-related risks, including financial impacts, physical and transition risks, climate-related governance and strategy, and GHG emissions, for all U.S.-listed public companies. Several states, including California, have passed or proposed bills requiring similar, or more extensive, climate disclosure rules. These rules have been subject to legal challenges, and in April 2024 the SEC issued a voluntary stay of its rules. Although the outcome of these challenges is not yet known and the ultimate impact of these rules on PAA’s business is uncertain, compliance with the rules, if implemented,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spacing w:after="0" w:line="21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crude oil and NGL merchant activities are influenced by the overall forward market for crude oil and NGL, and certain market structures, the absence of pricing volatility and other market factors may adversely impact its results.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profitability of PAA’s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PAA’s merchant activities. During periods where midstream infrastructure is over-built and/or there is a lack of volatility in the pricing structure, PAA’s results may be negatively impacted. Depending on the overall duration of these transition periods, how PAA has allocated its assets to particular strategies and the tenor of its crude oil purchase and sale contracts and storage agreements, these periods may have either an adverse or beneficial effect on the profitability of PAA’s merchant activities. In the past, the results of such activities have varied significantly based on market conditions and these activities may continue to experience highly variable results as a result of future changes to the markets for crude oil and NGL.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Joint ventures, joint ownership arrangements and other capital projects pose unique challenges and PAA may not be able to fully implement or realize synergies, expected returns or other anticipated benefits associated with such projects.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PAA is involved in many strategic joint ventures and other joint ownership arrangements. PAA may not always be in complete alignment with its joint venture or joint owner counterparties; PAA may have differing strategic or commercial objectives and may be outvoted by its joint venture partners or PAA may disagree on governance matters with respect to the joint venture entity or the jointly owned assets. When PAA enters into joint ventures or joint ownership arrangements it may be subject to the risk that its counterparties do not fund their obligations. In some joint ventures and joint ownership arrangements PAA may not be responsible for construction or operation of such projects and will rely on its joint venture or joint owner counterparties for such services. Joint ventures and joint ownership arrangements may also require PAA to expend additional internal resources that could otherwise be directed to other projects. If PAA is unable to successfully execute and manage its existing and proposed joint venture and joint owner projects, it could adversely impact PAA’s financial and operating results.</w:t>
      </w:r>
    </w:p>
    <w:p>
      <w:pPr>
        <w:spacing w:after="0" w:line="21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PAA currently participates in a number of projects with various counterparties, and may continue to pursue new capital projects in the future. Thees projects can involve the expansion, modification, divestiture or combination of existing assets or the construction of new midstream energy infrastructure assets and involve numerous regulatory, environmental, commercial, economic, weather-related, political and legal uncertainties that are beyond its control, including the following:</w:t>
      </w:r>
    </w:p>
    <w:p>
      <w:pPr>
        <w:spacing w:after="0" w:line="72" w:lineRule="exact"/>
        <w:rPr>
          <w:sz w:val="20"/>
          <w:szCs w:val="20"/>
          <w:color w:val="auto"/>
        </w:rPr>
      </w:pPr>
    </w:p>
    <w:p>
      <w:pPr>
        <w:ind w:left="9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be unable to realize its forecasted commercial, operational or administrative synergies in connection with its joint ventures and joint ownership arrangements, including the Permian JV;</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and other joint ownership arrangements may demand substantial internal resources and may divert resources and attention from other areas of PAA’s business;</w:t>
      </w:r>
    </w:p>
    <w:p>
      <w:pPr>
        <w:spacing w:after="0" w:line="53" w:lineRule="exact"/>
        <w:rPr>
          <w:rFonts w:ascii="Times New Roman" w:cs="Times New Roman" w:eastAsia="Times New Roman" w:hAnsi="Times New Roman"/>
          <w:sz w:val="18"/>
          <w:szCs w:val="18"/>
          <w:color w:val="auto"/>
        </w:rPr>
      </w:pPr>
    </w:p>
    <w:p>
      <w:pPr>
        <w:ind w:left="980" w:right="82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construct pipelines, facilities or other assets in anticipation of market demand that dissipates or market growth that never materializes;</w:t>
      </w:r>
    </w:p>
    <w:p>
      <w:pPr>
        <w:spacing w:after="0" w:line="53" w:lineRule="exact"/>
        <w:rPr>
          <w:rFonts w:ascii="Times New Roman" w:cs="Times New Roman" w:eastAsia="Times New Roman" w:hAnsi="Times New Roman"/>
          <w:sz w:val="18"/>
          <w:szCs w:val="18"/>
          <w:color w:val="auto"/>
        </w:rPr>
      </w:pPr>
    </w:p>
    <w:p>
      <w:pPr>
        <w:jc w:val="both"/>
        <w:ind w:left="980" w:right="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the fact that PAA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67" w:lineRule="exact"/>
        <w:rPr>
          <w:rFonts w:ascii="Times New Roman" w:cs="Times New Roman" w:eastAsia="Times New Roman" w:hAnsi="Times New Roman"/>
          <w:sz w:val="18"/>
          <w:szCs w:val="18"/>
          <w:color w:val="auto"/>
        </w:rPr>
      </w:pPr>
    </w:p>
    <w:p>
      <w:pPr>
        <w:ind w:left="980" w:right="56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67"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face opposition to its planned projects from environmental groups, landowners, local groups and other advocates, including lawsuits or other actions designed to disrupt or delay PAA’s planned projects;</w:t>
      </w:r>
    </w:p>
    <w:p>
      <w:pPr>
        <w:spacing w:after="0" w:line="53"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71"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or success of PAA’s projects may depend on the completion or success of third-party facilities over which PAA has no control.</w:t>
      </w:r>
    </w:p>
    <w:p>
      <w:pPr>
        <w:spacing w:after="0" w:line="18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uncertainties, the anticipated benefits associated with PAA’s joint ventures, joint ownership arrangements and other capital projects may not be achieved or could be delayed. In turn, this could negatively impact PAA’s cash flow and its ability to make or increase cash distributions to its partners.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 involve risks that may adversely affect PAA’s business.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PAA’s ability to execute its financial strategy is in part dependent on its ability to complete strategic transactions, including acquisitions, divestitures or sales of interests to strategic partners. If PAA is unable to successfully complete, integrate or realize the anticipated benefits of future acquisitions or planned divestitures (due to reduced investment in the energy sector, governmental action, litigation, counterparty non-performance or other factors), it may be more difficult for PAA to implement its business strategies, maintain its desired leverage levels, increase returns to equity holders or otherwise accomplish its financial goals. In addition, in connection with our divestitures, PAA may agree to retain responsibility for certain liabilities that relate to its period of ownership, which could adversely impact its future financial performance.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Acquisitions also involve potential risks, including:</w:t>
      </w:r>
    </w:p>
    <w:p>
      <w:pPr>
        <w:spacing w:after="0" w:line="252"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from the acquired businesses or assets that is below the forecasts PAA used in evaluating the acquisition;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PAA’s indebtedness and working capital requirements;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timely and effectively integrate the operations of recently acquired businesses or assets;</w:t>
      </w:r>
    </w:p>
    <w:p>
      <w:pPr>
        <w:spacing w:after="0" w:line="117"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lines of business that are distinct and separate from PAA’s historical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key employee loss from the acquired businesses;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25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adversely affect PAA’s ability to achieve anticipated levels of cash flows or other benefits from its acquisitions, pay distributions to its partners or meet its debt service requirements.</w:t>
      </w:r>
    </w:p>
    <w:p>
      <w:pPr>
        <w:spacing w:after="0" w:line="18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PAA may enter into new businesses in connection with its strategy to participate in emerging energy opportunities. If PAA is unable to execute on this strategy or operate these new lines of business effectively, PAA’s future growth could be limited. These new lines of business may never develop or may present risks that PAA cannot effectively manage.</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part of PAA’s strategy, it intends to evaluate the potential to repurpose certain under-utilized assets for an alternative use in emerging energy opportunities. This may involve entering into new lines of businesses, which present different challenges and risks. PAA may be unable to execute on its business plans, demand for these new services may not develop on a large or economic scale, or PAA may fail to operate these businesses effectively. In addition, PAA may not be able to compete with companies who also plan to enter into these new lines of business, and who may be larger than PAA and may have greater financial resources to devote to these businesses. These new businesses may also present novel issues in law, taxation, safety or environmental policy, and other areas that PAA may not be able to manage effectively. Management’s assessment of the risks in these new lines of business may be inexact and not identify or resolve all the problems that PAA would face. If PAA is not able to enter into these new lines of business effectively or at all, it could limit PAA’s future growth if such emerging energy businesses grow and become a more important part of the energy industry.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 is exposed to the credit risk of its customers and other counterparties it transacts with in the ordinary course of its business activities.</w:t>
      </w:r>
    </w:p>
    <w:p>
      <w:pPr>
        <w:spacing w:after="0" w:line="25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Risks of nonpayment and nonperformance by customers or other counterparties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PAA has a number of minimum volume commitment contracts that support its pipelines.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movements by shippers of volumes that are less than minimum volume commitments could be significant and could adversely affect PAA’s profitability and earnings.</w:t>
      </w:r>
    </w:p>
    <w:p>
      <w:pPr>
        <w:spacing w:after="0" w:line="2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231F20"/>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231F20"/>
        </w:rPr>
        <w:t>PAA also relies to a significant degree on the banks that lend to it under its revolving credit facility for financial liquidity, and any failure of those banks to perform their obligations to PAA could significantly impair its liquidity. Furthermore, nonpayment by the counterparties to PAA’s interest rate and/or commodity derivatives could expose it to additional interest rate and/or commodity price risk.</w:t>
      </w:r>
    </w:p>
    <w:p>
      <w:pPr>
        <w:spacing w:after="0" w:line="19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Tightened capital markets or other factors that increase PAA’s cost of capital or otherwise limit its access to capital could impair its ability to achieve its strategic objectives.</w:t>
      </w:r>
    </w:p>
    <w:p>
      <w:pPr>
        <w:spacing w:after="0" w:line="186" w:lineRule="exact"/>
        <w:rPr>
          <w:sz w:val="20"/>
          <w:szCs w:val="20"/>
          <w:color w:val="auto"/>
        </w:rPr>
      </w:pPr>
    </w:p>
    <w:p>
      <w:pPr>
        <w:jc w:val="both"/>
        <w:ind w:right="400" w:firstLine="648"/>
        <w:spacing w:after="0" w:line="258" w:lineRule="auto"/>
        <w:rPr>
          <w:sz w:val="20"/>
          <w:szCs w:val="20"/>
          <w:color w:val="auto"/>
        </w:rPr>
      </w:pPr>
      <w:r>
        <w:rPr>
          <w:rFonts w:ascii="Times New Roman" w:cs="Times New Roman" w:eastAsia="Times New Roman" w:hAnsi="Times New Roman"/>
          <w:sz w:val="18"/>
          <w:szCs w:val="18"/>
          <w:color w:val="auto"/>
        </w:rPr>
        <w:t>Any limitations on PAA’s access to capital or increase in the cost of that capital could significantly impair the implementation of its strategy. PAA’s inability to maintain its targeted credit profile, including maintaining its credit ratings, could adversely affect PAA’s cost of capital as well as its ability to execute its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21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strategic projects and transactions, take advantage of business opportunities or respond to competitive pressures, any of which could have a material adverse effect on its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risk policies cannot eliminate all risks and the insufficiency of, or non-compliance with its risk policies could result in significant financial losses.</w:t>
      </w:r>
    </w:p>
    <w:p>
      <w:pPr>
        <w:spacing w:after="0" w:line="18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Generally, it is PAA’s policy to establish a margin for crude oil or other products it purchases by selling such products for physical delivery to third-party users, or by entering into futures or derivative contracts that require future delivery or financial settlement, as applicable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or benchmark and sold against a different index or benchmark. PAA may also face disruptions to futures markets for crude oil, NGL and other petroleum products, which may impair its ability to execute its commercial or hedging strategies. Margin requirements due to spikes or crashes in commodity prices may require PAA to exit hedge strategies at inopportune times. PAA is also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and NGL, up to predefined limits and authorizations. Although this activity is monitored independently by PAA’s risk management function, it exposes PAA to commodity price risks within these limits.</w:t>
      </w:r>
    </w:p>
    <w:p>
      <w:pPr>
        <w:spacing w:after="0" w:line="21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PAA has taken steps within its organization to implement processes and procedures designed to detect unauthorized trading and non-compliance with its risk policies; however, PAA can provide no assurance that these steps will detect and prevent all violations of its risk policies and procedures, particularly if deception, collusion or other intentional misconduct is involved.</w:t>
      </w:r>
    </w:p>
    <w:p>
      <w:pPr>
        <w:spacing w:after="0" w:line="19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insurance coverage may not fully cover its losses and it may in the future encounter increased costs related to, and lack of availability of, insurance.</w:t>
      </w:r>
    </w:p>
    <w:p>
      <w:pPr>
        <w:spacing w:after="0" w:line="186" w:lineRule="exact"/>
        <w:rPr>
          <w:sz w:val="20"/>
          <w:szCs w:val="20"/>
          <w:color w:val="auto"/>
        </w:rPr>
      </w:pPr>
    </w:p>
    <w:p>
      <w:pPr>
        <w:ind w:right="180" w:firstLine="648"/>
        <w:spacing w:after="0" w:line="273" w:lineRule="auto"/>
        <w:rPr>
          <w:sz w:val="20"/>
          <w:szCs w:val="20"/>
          <w:color w:val="auto"/>
        </w:rPr>
      </w:pPr>
      <w:r>
        <w:rPr>
          <w:rFonts w:ascii="Times New Roman" w:cs="Times New Roman" w:eastAsia="Times New Roman" w:hAnsi="Times New Roman"/>
          <w:sz w:val="17"/>
          <w:szCs w:val="17"/>
          <w:color w:val="auto"/>
        </w:rPr>
        <w:t>While PAA maintains insurance coverage at levels that it believes to be reasonable and prudent, PAA can provide no assurance that its current levels of insurance will be sufficient to cover any losses that it has incurred or may incur in the future, whether due to deductibles, coverage challenges or</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other limitations. In addition, 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in the past,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losses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PAA’s financial position, results of operations and cash flows. For a discussion of our Line 901 Incident insurance receivable, please read Item 7. “Management’s Discussion and Analysis of Financial Condition and Results of Operations—Critical Accounting Policies and Estimates— Line 901 Incident Insurance Receivable” and Note 18 to our Consolidated Financial Statements.</w:t>
      </w: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Trade tariffs, duties, quotas, inflation, supply disruptions or other factors affecting the commodities and materials PAA uses in its business could have a material and adverse impact on its results of operations, financial condition and cash flows.</w:t>
      </w:r>
    </w:p>
    <w:p>
      <w:pPr>
        <w:spacing w:after="0" w:line="18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Many of the commodities and materials PAA uses in its business are imported and exported. PAA exports crude oil and NGL from Canada into U.S. markets. To the extent these products become subject to import tariffs in the U.S., it could expose PAA to costs that it cannot recover from its customers.Existing and future trade tariffs, import duties and quotas could also materially increase PAA’s costs of procuring the commodities and materials it uses and disrupt the markets for the products it handles, which in turn could have a material adverse effect on its financial position, results of operations and cash flows.</w:t>
      </w:r>
    </w:p>
    <w:p>
      <w:pPr>
        <w:spacing w:after="0" w:line="21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PAA’s business also depends on having access to significant amounts of electricity and other commodities. If PAA is unable to obtain commodities sufficient to operate and maintain its assets, or only able to do so at commercially unreasonable prices, it could materially and adversely affect PAA’s business.</w:t>
      </w:r>
    </w:p>
    <w:p>
      <w:pPr>
        <w:spacing w:after="0" w:line="20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Supply chain disruptions and inflation of prices for commodities, materials, products and shipping may make it more challenging to obtain sufficient quantities of high quality materials at acceptable prices and in a timely manner. If PAA is unable to source such materials, it could materially and adversely affect its ability to construct new infrastructure and operate and maintain its existing assets.</w:t>
      </w:r>
    </w:p>
    <w:p>
      <w:pPr>
        <w:spacing w:after="0" w:line="19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business, results of operations, financial condition, cash flows and unit price can be adversely affected by pandemics, epidemics or other public health events.</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PAA’s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spacing w:after="0" w:line="21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PAA’s investment grade credit rating or the ability to receive open credit could negatively affect its borrowing costs, ability to purchase crude oil, NGL and natural gas supplies or to capitalize on market opportunities.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PAA’s business is dependent on its ability to maintain an attractive credit rating and continue to receive open credit from its suppliers and trade counterparties. PAA’s senior unsecured debt is currently rated as “investment grade” by Standard &amp; Poor’s, Moody’s Investors Service and Fitch Ratings Inc. A downgrade by such agencies to a level below investment grade could increase PAA’s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Accordingly, loss of PAA’s investment grade credit ratings could adversely impact its cash flows, its ability to make distributions and the value of its outstanding equity and debt securities.</w:t>
      </w:r>
    </w:p>
    <w:p>
      <w:pPr>
        <w:spacing w:after="0" w:line="211"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terms of PAA’s indebtedness may limit its ability to borrow additional funds or capitalize on business opportunities. In addition, PAA’s current or future debt levels, or inability to borrow additional funds or capitalize on business opportunities, may limit its future financial and operating flexibility.</w:t>
      </w:r>
    </w:p>
    <w:p>
      <w:pPr>
        <w:spacing w:after="0" w:line="16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the face value of PAA’s consolidated debt outstanding was approximately $7.7 billion (excluding unamortized discounts and debt issuance costs of approximately $42 million), consisting of approximately $7.3 billion face value of long-term debt (including senior notes and finance lease obligations) and approximately $408 million of short-term borrowings. As of December 31, 2024, PAA had over $2.6 billion of liquidity available, including cash and cash equivalents and available borrowing capacity under its senior unsecured revolving credit facility and its senior secured hedged inventory facility, subject to continued covenant compliance. Lower Adjusted EBITDA could increase PAA’s leverage ratios and effectively reduce its ability to incur additional indebtedness.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PAA’s current or future indebtedness could have significant effects on its operations, including, among other things:</w:t>
      </w:r>
    </w:p>
    <w:p>
      <w:pPr>
        <w:spacing w:after="0" w:line="117" w:lineRule="exact"/>
        <w:rPr>
          <w:sz w:val="20"/>
          <w:szCs w:val="20"/>
          <w:color w:val="auto"/>
        </w:rPr>
      </w:pPr>
    </w:p>
    <w:p>
      <w:pPr>
        <w:ind w:left="980" w:right="6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 agencies may view PAA’s debt level negatively;</w:t>
      </w:r>
    </w:p>
    <w:p>
      <w:pPr>
        <w:spacing w:after="0" w:line="117"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PAA’s existing debt arrangements will require it to continue to meet financial tests that may adversely affect its flexibility to plan for and react to changes in its business;</w:t>
      </w:r>
    </w:p>
    <w:p>
      <w:pPr>
        <w:spacing w:after="0" w:line="53"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ability to obtain additional financing for working capital, capital expenditures, acquisitions and general partnership purposes may be limited;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82"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be at a competitive disadvantage relative to similar companies that have less debt;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may be more vulnerable to adverse economic and industry conditions as a result of its significant debt level.</w:t>
      </w:r>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21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In addition,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more expensive and restrictive bank credit, as opposed to long-term public debt securities or equity securities, or the sale of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execute its capital allocation strategies and priorities.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could adversely affect PAA’s business and the trading price of its units.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face value of PAA’s consolidated debt was approximately $7.7 billion (excluding unamortized discounts and debt issuance costs of approximately $42 million), substantially all of which was at fixed interest rates. Significant increases in interest rates above current levels could adversely affect PAA’s results of operations, cash flows and financial position due to, among other things:</w:t>
      </w:r>
    </w:p>
    <w:p>
      <w:pPr>
        <w:spacing w:after="0" w:line="203" w:lineRule="exact"/>
        <w:rPr>
          <w:sz w:val="20"/>
          <w:szCs w:val="20"/>
          <w:color w:val="auto"/>
        </w:rPr>
      </w:pPr>
    </w:p>
    <w:p>
      <w:pPr>
        <w:ind w:left="980" w:right="400" w:hanging="324"/>
        <w:spacing w:after="0" w:line="261"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exposure to market risk due to the short-term nature of its commercial paper borrowings and the floating interest rates on its credit facilities;</w:t>
      </w: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refinancing of PAA’s indebtedness at rates higher than historical amounts;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interest costs associated with the storage of hedged crude oil and NGL inventory in PAA’s merchant activities; and</w:t>
      </w:r>
    </w:p>
    <w:p>
      <w:pPr>
        <w:spacing w:after="0" w:line="9" w:lineRule="exact"/>
        <w:rPr>
          <w:rFonts w:ascii="Times New Roman" w:cs="Times New Roman" w:eastAsia="Times New Roman" w:hAnsi="Times New Roman"/>
          <w:sz w:val="18"/>
          <w:szCs w:val="18"/>
          <w:color w:val="auto"/>
        </w:rPr>
      </w:pPr>
    </w:p>
    <w:p>
      <w:pPr>
        <w:ind w:left="980" w:right="80" w:hanging="324"/>
        <w:spacing w:after="0" w:line="255"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payable on PAA’s Series B preferred units, which accumulate for each distribution period at a percentage of the liquidation preference equal to the applicable three-month Secured Overnight Financing Rate (SOFR), plus a credit spread adjustment of 0.26161%, plus 4.11% per annum.</w:t>
      </w:r>
    </w:p>
    <w:p>
      <w:pPr>
        <w:spacing w:after="0" w:line="21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Further, the trading price of PAA’s common units may be sensitive to changes in interest rates and any rise in interest rates could adversely impact such trading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currency exchange rates could adversely affect PAA’s operating results.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if the U.S. dollar appreciates against the Canadian dollar, the U.S. dollar value of PAA’s Canadian dollar denominated earnings is reduced for U.S. reporting purposes.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business requires the retention and recruitment of a skilled workforce, and difficulties retaining and recruiting its workforce could result in a failure to implement PAA’s business plans.</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PAA’s operations and management require the retention and recruitment of a skilled workforce, including engineers, technical personnel and other professionals. PAA and its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PAA is unable to (i) retain current employees; and/or (ii) recruit new employees of comparable knowledge and experience, PAA’s business could be negatively impacted. In addition, PAA could experience increased costs to retain current employees and recruit new employees.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impairment of long-term assets could reduce PAA’s earnings.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December 31, 2024, PAA had approximately $15.4 billion of net property and equipment, $968 million of linefill, $2.8 billion of investments accounted for under the equity method of accounting and approximately $1.7 billion of net intangible assets capitalized on its balance sheet. GAAP requires an assessment for impairment in certain circumstances, including when there is an indication that the carrying value of property and equipment may not be recoverable. If PAA was to determine that any of its property and equipment, linefill,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 is dependent on the use or availability of third-party assets for certain of its operations.</w:t>
      </w:r>
    </w:p>
    <w:p>
      <w:pPr>
        <w:spacing w:after="0" w:line="25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spacing w:after="0" w:line="19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under-utilization of certain assets could significantly reduce PAA’s profitability due to fixed costs incurred to obtain the right to use such assets.</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(such as maintenance, storage or other costs). Significant under-utilization of assets PAA leases or otherwise secures the right to use in connection with its business could have a significant negative impact on PAA’s profitability and cash flows.</w:t>
      </w:r>
    </w:p>
    <w:p>
      <w:pPr>
        <w:spacing w:after="0" w:line="21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PAA’s assets have been in service for many years and require significant expenditures to maintain them or remove them from service. As a result, its maintenance, repair or asset retirement costs may increase in the future.</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PAA’s pipelines, terminals, storage and processing and fractionation assets are generally long-lived assets, and many of them have been in service for many years. The age and condition of its assets could result in increased maintenance, repair or asset retirement expenditures in the future. Any significant increase in these expenditures could adversely affect PAA’s results of operations, financial position or cash flows, as well as its ability to make cash distributions to its unitholders.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 does not own all of the land on which its pipelines and facilities are located, which could result in disruptions to its operations.</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PAA does not own all of the land on which its pipelines and facilities have been constructed, and therefore is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PAA’s operations cross land that has historically been apportioned to various Native American/First Nations tribes, who may exercise significant jurisdiction and sovereignty over their lands. For more information, see our regulatory disclosure entitled “Indigenous Protections.” PAA cannot guarantee that it will always be able to renew existing rights-of-way or obtain new rights-of-way on favorable terms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pace of development of natural gas infrastructure could have an adverse impact on expected crude oil production growth in the Permian Basin.</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certain areas where PAA operates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that PAA purchases in connection with its operations and reduced throughput on its pipelines and at its other facilities, which, depending on the impact to production growth, could have a material adverse effect on PAA’s financial position, results of operations and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 Impacting PAA’s Business</w:t>
      </w:r>
    </w:p>
    <w:p>
      <w:pPr>
        <w:spacing w:after="0" w:line="25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w:t>
      </w:r>
    </w:p>
    <w:p>
      <w:pPr>
        <w:spacing w:after="0" w:line="207" w:lineRule="exact"/>
        <w:rPr>
          <w:sz w:val="20"/>
          <w:szCs w:val="20"/>
          <w:color w:val="auto"/>
        </w:rPr>
      </w:pPr>
    </w:p>
    <w:p>
      <w:pPr>
        <w:jc w:val="both"/>
        <w:ind w:right="200" w:firstLine="648"/>
        <w:spacing w:after="0" w:line="272" w:lineRule="auto"/>
        <w:rPr>
          <w:sz w:val="20"/>
          <w:szCs w:val="20"/>
          <w:color w:val="auto"/>
        </w:rPr>
      </w:pPr>
      <w:r>
        <w:rPr>
          <w:rFonts w:ascii="Times New Roman" w:cs="Times New Roman" w:eastAsia="Times New Roman" w:hAnsi="Times New Roman"/>
          <w:sz w:val="17"/>
          <w:szCs w:val="17"/>
          <w:color w:val="auto"/>
        </w:rPr>
        <w:t>PAA’s operations involving the storage, treatment, processing, and transportation of liquid hydrocarbons, including crude oil, NGL and natural gas, are subject to stringent federal, state, and local laws and regulations governing the discharge of materials into the environment. PAA’s operations are also subject to laws and regulations relating to protection of the environment, natural resources, operational safety, climate change and related matters.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Compliance with these laws and regulations may increase its overall cost of doing business, including its capital costs to construct, maintain and upgrade equipment and facilities. Also, new or additional laws and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or remedial obligations or the incurrence of capital expenditures, the costs of which may be substantial. Any such failure could also result in the imposition of restrictions, delays or cancellations in the permitting or performance of projects, or the issuance of injunctions that may subject PAA to additional operational requirements and constraints, or claims of damages to property or persons.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new or additional laws or regulations. For example, certain U.S presidential administrations have pursued regulatory agendas focused on the emission of GHGs or other pollutants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PAA could have a material adverse effect on its financial position, results of operations and cash flows.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PAA has a history of making incremental additions to the miles of pipelines it owns, both through acquisitions and investment capital projects. PAA has also increased its terminal and storage capacity and operates several facilities on or near navigable waters and domestic water supplies. Although PAA has implemented programs intended to maintain the integrity of its assets (discussed below), as it increases the capacity of its existing assets or acquires additional assets it is at risk for an increase in the number and/or volume of releases of liquid hydrocarbons into the environment. These releases expose PAA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w:t>
      </w:r>
    </w:p>
    <w:p>
      <w:pPr>
        <w:spacing w:after="0" w:line="2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PAA currently devotes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spacing w:after="0" w:line="21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18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21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8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PAA’s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PAA is also subject to the Pipeline Safety Regulations of the DOT. PAA’s intrastate pipeline transportation activities are subject to various state laws and regulations as well as orders of state regulatory bodies.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PAA’s U.S. interstate common carrier liquids pipelines subject to FERC regulation under the ICA, shippers may protest its pipeline tariff filings or file complaints against its existing rates or complaints alleging that it is engaging in discriminatory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 is improper, overbroad or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PAA’s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PAA’s operations cross the U.S./Canada border and are subject to cross-border regulation.</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PAA’s cross border activities subject it to regulatory matters, including import and export licenses, trade tariffs, Canadian and U.S. customs and tax issues and toxic substance certifications. Such regulations include the USMCA and the TSCA. Violations of these licensing, trade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PAA’s purchases and sales of crude oil, natural gas and NGL, and hedging activities, expose it to potential regulatory risks.</w:t>
      </w:r>
    </w:p>
    <w:p>
      <w:pPr>
        <w:spacing w:after="0" w:line="2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spacing w:after="0" w:line="215"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Existing or future derivatives legislation and regulations could have an adverse impact on PAA’s ability to use derivative instruments to reduce the effect of commodity price, interest rate and other risks associated with its business and increase the amount of working capital required to conduct these hedging activities.</w:t>
      </w:r>
    </w:p>
    <w:p>
      <w:pPr>
        <w:spacing w:after="0" w:line="20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established federal oversight and regulation of derivative markets and entities, such as PAA, that participate in those markets. The CFTC has promulgated implementing regulations with respect to the Dodd-Frank Act.</w:t>
      </w:r>
    </w:p>
    <w:p>
      <w:pPr>
        <w:spacing w:after="0" w:line="20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2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its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our credit facilities) and reduce its ability to use cash for capital expenditures or other partnership purposes.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 Frank Act and related rules and regulations could reduce the overall liquidity and depth of the markets for financial and other derivatives PAA utilizes in connection with its business, which could expose PAA to additional risks or limit the opportunities it is able to capture by limiting the extent to which PAA is able to execute its hedging strategies.</w:t>
      </w:r>
    </w:p>
    <w:p>
      <w:pPr>
        <w:spacing w:after="0" w:line="21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current statutory or regulatory provisions implementing derivatives regulations could be amended, and PAA cannot predict the impact on its hedging activities of any future amendments. Any such changes could have a material adverse effect on PAA, its financial condition and its results of operations.</w:t>
      </w:r>
    </w:p>
    <w:p>
      <w:pPr>
        <w:spacing w:after="0" w:line="19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Legislation, executive orders and regulatory initiatives relating to climate change could have a material adverse effect on PAA’s business, demand for its services, financial condition, results of operations and cash flows.</w:t>
      </w:r>
    </w:p>
    <w:p>
      <w:pPr>
        <w:spacing w:after="0" w:line="18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or require enhanced disclosure of such GHG emission and other climate-related information, or promote and subsidize lower GHG emitting, alternative energy products, could result in reduced demand for crude oil and natural gas, and thus PAA’s services, as well as increase its compliance costs. Although it is not possible at this time to predict how legislation or new regulations that may be adopted to address GHG emissions and climate change could impact PAA’s business, any such future laws and regulations could have a material adverse effect on its business, demand for our services, financial condition, results of operations and cash flows.</w:t>
      </w:r>
    </w:p>
    <w:p>
      <w:pPr>
        <w:spacing w:after="0" w:line="21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PAA does not perform hydraulic fracturing, but much of the production that flows on its assets was produced with the benefit of hydraulic fracturing. There have been a variety of legislative and regulatory proposals to prohibit, restrict, or more closely regulate various forms of hydraulic fracturing; for example, California’s Department of Conservation’s Geologic Energy Management Division issued a final regulatory statewide ban on hydraulic fracturing in October 2024. Other states require the disclosure of certain chemicals used in hydraulic fracturing and have conducted investigations into connections between hydraulic fracturing and induced seismicity.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PAA’s transportation, terminalling and storage services as well as its merchant activities.</w:t>
      </w:r>
    </w:p>
    <w:p>
      <w:pPr>
        <w:spacing w:after="0" w:line="21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pertaining to the protection of threatened and endangered species or to critical habitat, wetlands and natural resources could delay, restrict or prohibit PAA’s and its customers’ operations and cause PAA or its customers to incur substantial costs that may have a material adverse effect on its results of operations.</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PAA’s operations are conducted in areas where protected species or their habitats are known to exist, and from time to time PAA’s development plans have been impacted in these areas. PAA may be obligated to develop and implement plans to avoid potential adverse effects to protected species and their habitats, and PAA may be delayed, restricted or prohibited from conducting operations in certain locations or during certain seasons, such as breeding and nesting seasons, when its operations could have an adverse effect on the species. Additionally, the designation of previously unprotected species or the re-designation of under-protected species as threatened or endangered in areas where PAA or its customers conduct operations could cause PAA to incur increased costs arising from species protection measures or could result in delays, restrictions or prohibitions on PAA’s customers’ development and production activities that could have a material adverse effect on its results of operations.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PAA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reimbursements due to PAA’s general partner may be substantial and will reduce PAA’s cash available for distribution to its unitholders.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 are not guaranteed and may fluctuate with PAA’s performance and the establishment of financial reserves.</w:t>
      </w:r>
    </w:p>
    <w:p>
      <w:pPr>
        <w:spacing w:after="0" w:line="25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legal or contractual obligations and funding of future distributions to its Series A and Series B preferred unitholders. Therefore, cash distributions might be made during periods when PAA records losses and might not be made during periods when it records profits.</w:t>
      </w:r>
    </w:p>
    <w:p>
      <w:pPr>
        <w:spacing w:after="0" w:line="2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PAA’s preferred units have rights, preferences and privileges that are not the same as, and are preferential to, the rights of holders of PAA’s common units.</w:t>
      </w:r>
    </w:p>
    <w:p>
      <w:pPr>
        <w:spacing w:after="0" w:line="18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distributions on PAA’s preferred units accrue and are cumulative, at a fixed rate with respect to PAA’s Series A preferred units and at a floating rate with respect to PAA’s Series B preferred units.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 tax treatment of PAA depends on its status as a partnership for U.S. federal income tax purposes, as well as it not being subject to a material amount of additional entity-level taxation by individual states or foreign jurisdictions. If the IRS were to treat PAA as a corporation for U.S. federal income tax purposes or if PAA becomes subject to a material amount of additional entity-level or other form of taxation for state or foreign tax purposes, it would reduce the amount of cash available for distribution to us and increase the portion of our distributions treated as taxable dividends.</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At December 31, 2024, we owned an approximate 85% limited partner interest in AAP, which directly owned a limited partner interest in PAA through its ownership of approximately 232.9 million PAA common units (approximately 30% of PAA’s Series A preferred units and common units combined). Accordingly, the value of our indirect investment in PAA, as well as the anticipated after-tax economic benefit of an investment in our Class A shares, depends largely on PAA being treated as a partnership for U.S. federal income tax purposes, which requires that 90% or more of PAA’s gross income for every taxable year consist of qualifying income, as defined in Section 7704 of the Code. Based on PAA’s current operations, and current U.S. Treasury regulations, PAA believes that it is treated as a partnership rather than a corporation for such purposes; however, a change in PAA’s business could cause it to be treated as a corporation for U.S. federal income tax purposes.</w:t>
      </w:r>
    </w:p>
    <w:p>
      <w:pPr>
        <w:spacing w:after="0" w:line="21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Current law may change, causing PAA to be treated as a corporation for U.S. federal income tax purposes or otherwise subjecting PAA to additional entity-level taxation. In addition, several states impose and others have been evaluating ways to subject partnerships to entity-level taxation through the imposition of state income, franchise and other forms of taxation. For example, PAA is subject to entity-level tax on the portion of its income apportioned to Texas. Imposition of any similar taxes by individual states or additional federal or foreign taxes on PAA may result in a decrease in the amount of distributions AAP receives from PAA and our resulting cash flows could be reduced substantially, which would adversely affect our ability to pay distributions to our shareholders.</w:t>
      </w:r>
    </w:p>
    <w:p>
      <w:pPr>
        <w:spacing w:after="0" w:line="21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PAA were treated as a corporation for U.S. federal income tax purposes, it would pay U.S.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21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203"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publicly traded partnerships or an investment in PAA common units could be subject to potential legislative, judicial or administrative changes or differing interpretations, possibly applied on a retroactive basis.</w:t>
      </w:r>
    </w:p>
    <w:p>
      <w:pPr>
        <w:spacing w:after="0" w:line="186" w:lineRule="exact"/>
        <w:rPr>
          <w:sz w:val="20"/>
          <w:szCs w:val="20"/>
          <w:color w:val="auto"/>
        </w:rPr>
      </w:pPr>
    </w:p>
    <w:p>
      <w:pPr>
        <w:jc w:val="both"/>
        <w:ind w:right="260" w:firstLine="648"/>
        <w:spacing w:after="0" w:line="256" w:lineRule="auto"/>
        <w:rPr>
          <w:sz w:val="20"/>
          <w:szCs w:val="20"/>
          <w:color w:val="auto"/>
        </w:rPr>
      </w:pPr>
      <w:r>
        <w:rPr>
          <w:rFonts w:ascii="Times New Roman" w:cs="Times New Roman" w:eastAsia="Times New Roman" w:hAnsi="Times New Roman"/>
          <w:sz w:val="18"/>
          <w:szCs w:val="18"/>
          <w:color w:val="auto"/>
        </w:rPr>
        <w:t>The present U.S. federal income tax treatment of publicly traded partnerships, including PAA, or an investment in PAA common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PAA’s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PAA relies for its partnership tax treatment.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addition, the Treasury Department has issued, and in the future may issue, regulations interpreting those laws that affect publicly traded</w:t>
      </w:r>
    </w:p>
    <w:p>
      <w:pPr>
        <w:spacing w:after="0" w:line="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partnerships. There can be no assurance that there will not be further changes to U.S. federal income tax laws or the Treasury Department’s interpretation of the qualifying income rules in a manner that could impact PAA’s ability to qualify as a partnership in the future.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Any modification to the U.S. federal income tax laws and interpretations thereof may or may not be retroactively applied and could make it more difficult or impossible for PAA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our indirect investment in PAA.</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PAA’s income tax returns, it (and some states) may assess and collect any taxes (including any applicable penalties and interest) resulting from such audit adjustments directly from PAA, in which case PAA’s cash distribution to AAP and our cash available for distribution to our shareholders might be substantially reduced.</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the IRS makes audit adjustments to PAA’s income tax returns, it (and some states) may assess and collect any taxes (including any applicable penalties and interest) resulting from such audit adjustments directly from PAA. To the extent possible,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Taxable gain or loss on the sale of our Class A shares could be more or less than expected.</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a holder sells our Class A shares, the holder will recognize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2024 and we do not expect to have any earnings and profits for an extended period of time.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tax treatment may change, which could affect the value of our Class A shares or reduce our cash available for distribution.</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U.S.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decrease in our Class A share price could adversely affect our amount of cash available for distribution.</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21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spacing w:after="0" w:line="2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21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 a non-U.S. holder of our shares, “dividends” for U.S. federal income tax purposes will be subject to withholding of U.S. federal income tax at a 30% rate (or such lower rate as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56"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Cybersecurity Risk Management and Strategy</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To assess, identify and manage material cybersecurity risks, we have endeavored to implement policies, standards and technical controls with the aim of protecting our information and operations systems (collectively,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spacing w:after="0" w:line="21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spacing w:after="0" w:line="20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Despite the implementation of our cybersecurity programs, our security measures cannot guarantee that a significant cyberattack will not occur. A successful attack on our IT systems or those of our vendors could have significant consequences to the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Program Governance</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program is led by our Vice President of Information Services, North America, who reports directly to our CFO and oversees the dedicated team responsible for executing our cybersecurity strategy, including the primary assessment and management of cybersecurity risks. Our cybersecurity leadership team also includes our Director, Technology Risk and Cybersecurity, our Senior Director, Strategic Planning, our Senior Director, North American Solution Delivery and our Senior Director, Enterprise Technology. The Board receives quarterly updates on material security incidents (if applicable), detection, monitoring, security culture scores, and other key initiatives and notable events from our cybersecurity leadership team.</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spacing w:after="0" w:line="21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Our cybersecurity leadership team is made up of highly experienced professionals with an extensive background in information security, risk management, and incident response. This background includes more than 50 years of collective experience in infrastructure, cybersecurity and telecommunications.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included in Note 18 to our Consolidated Financial Statements, and is incorporated herein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30"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Shares, Related Shareholder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Holders and Distributions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Class A shares are listed and traded on Nasdaq under the symbol “PAGP.” As of February 14, 2025, there were 197,743,624 Class A shares outstanding and approximately 85,000 record holders and beneficial owners (held in street name).</w:t>
      </w:r>
    </w:p>
    <w:p>
      <w:pPr>
        <w:spacing w:after="0" w:line="18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distributions per Class A share pertaining to the quarter presented, which were declared and paid in the following calendar quarter (see the “Cash Distribution Policy” section below for a discussion of our policy regarding distribution payments):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16"/>
                <w:szCs w:val="16"/>
                <w:color w:val="auto"/>
              </w:rPr>
            </w:pPr>
          </w:p>
        </w:tc>
        <w:tc>
          <w:tcPr>
            <w:tcW w:w="14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Fourth Quarter</w:t>
            </w:r>
          </w:p>
        </w:tc>
      </w:tr>
      <w:tr>
        <w:trPr>
          <w:trHeight w:val="23"/>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220" w:type="dxa"/>
            <w:vAlign w:val="bottom"/>
            <w:shd w:val="clear" w:color="auto" w:fill="CCEEFF"/>
          </w:tcPr>
          <w:p>
            <w:pPr>
              <w:jc w:val="right"/>
              <w:ind w:right="37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r>
      <w:tr>
        <w:trPr>
          <w:trHeight w:val="238"/>
        </w:trPr>
        <w:tc>
          <w:tcPr>
            <w:tcW w:w="4220" w:type="dxa"/>
            <w:vAlign w:val="bottom"/>
          </w:tcPr>
          <w:p>
            <w:pPr>
              <w:jc w:val="right"/>
              <w:ind w:right="37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r>
    </w:tbl>
    <w:p>
      <w:pPr>
        <w:spacing w:after="0" w:line="310"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Class A shares are also used as a form of compensation to our directors. See Note 17 to our Consolidated Financial Statements for additional information regarding our equity-indexed compensation plans.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B shares and Class C shares are not listed or traded on any stock exchange.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total unitholder return performance of our Class A shares with the performance of: (i) 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Class A shares and each comparison index beginning on December 31, 2019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142875</wp:posOffset>
            </wp:positionV>
            <wp:extent cx="5846445" cy="2914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64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12/31/2024</w:t>
            </w:r>
          </w:p>
        </w:tc>
      </w:tr>
      <w:tr>
        <w:trPr>
          <w:trHeight w:val="24"/>
        </w:trPr>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PAGP</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259.05</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AMNA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56"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and cash equivalents on hand on the date of determination of available cash for the distribution in respect of such quarter (including expected distributions from AAP in respect of such quarter), less the amount of cash reserves established by our general partner to:</w:t>
      </w:r>
    </w:p>
    <w:p>
      <w:pPr>
        <w:spacing w:after="0" w:line="139"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agreement binding upon us or our subsidiaries (exclusive of PAA and its subsidiaries);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future distributions to shareholders;</w:t>
      </w:r>
    </w:p>
    <w:p>
      <w:pPr>
        <w:spacing w:after="0" w:line="117"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future capital expenditures, debt service and other credit needs as well as any federal, state, provincial or other income tax that may affect us in the future;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our general, administrative or other expenses; 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w:t>
      </w:r>
    </w:p>
    <w:p>
      <w:pPr>
        <w:spacing w:after="0" w:line="252"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Our principal source of cash flow is derived from our indirect investment in PAA. As of December 31, 2024, we owned approximately 197.5 million AAP units, which represented an approximate 85% limited partner interest in AAP. AAP currently receives all of its cash flows from its ownership of PAA common units. Therefore, our cash flow and resulting ability to make distributions is dependent upon the ability of PAA to make distributions to AAP in respect of the common units AAP owns. As of December 31, 2024, AAP owned approximately 232.9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general partner owns a non-economic general partner interest in us, which does not entitle it to receive cash distributions.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comparative discussion of our 2023 to 2022 operating results and performance measures can be found in Item 7. “Management’s Discussion and Analysis of Financial Condition and Results of Operations—Results of Operations” included in our Annual Report on Form 10-K for the year ended December 31, 2023 filed with the SEC on February 29,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a Delaware limited partnership formed in 2013 that has elected to be taxed as a corporation for United States federal income tax purposes. As of December 31, 2024, our sole cash-generating assets consisted of an approximate 85% limited partner interest in AAP through our ownership of approximately 197.5 million AAP units. We also own a 100% managing member interest in GP LLC. GP LLC is a Delaware limited liability company that holds the non-economic general partner interest in AAP. AAP is a Delaware limited partnership that, as of December 31, 2024, directly owned a limited partner interest in PAA through its ownership of approximately 232.9 million PAA common units (approximately 30% of PAA’s total outstanding common units and Series A preferred units combined). AAP is the sole member of PAA GP, a Delaware limited liability company that directly holds the non-economic general partner interest in PAA.</w:t>
      </w:r>
    </w:p>
    <w:p>
      <w:pPr>
        <w:spacing w:after="0" w:line="21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 and Outlook</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Crude oil and other petroleum liquids are supplied to the global market by producers around the world, with the majority coming from the Organization of Petroleum Exporting Countries (“OPEC”), North American producers and the Russian Federation, among others. The chart below depicts the relationship between global supply of crude oil and other petroleum liquids and demand since the beginning of 2020 and the U.S. Energy Information Administration’s (“EIA”) Short-Term Energy Outlook as of January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4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 xml:space="preserve">World Liquid Fuels Production and Consumption Balance </w:t>
      </w:r>
      <w:r>
        <w:rPr>
          <w:rFonts w:ascii="Times New Roman" w:cs="Times New Roman" w:eastAsia="Times New Roman" w:hAnsi="Times New Roman"/>
          <w:sz w:val="23"/>
          <w:szCs w:val="23"/>
          <w:b w:val="1"/>
          <w:bCs w:val="1"/>
          <w:color w:val="auto"/>
          <w:vertAlign w:val="superscript"/>
        </w:rPr>
        <w:t>(1)</w:t>
      </w:r>
    </w:p>
    <w:p>
      <w:pPr>
        <w:ind w:left="4460"/>
        <w:spacing w:after="0"/>
        <w:rPr>
          <w:sz w:val="20"/>
          <w:szCs w:val="20"/>
          <w:color w:val="auto"/>
        </w:rPr>
      </w:pPr>
      <w:r>
        <w:rPr>
          <w:rFonts w:ascii="Times New Roman" w:cs="Times New Roman" w:eastAsia="Times New Roman" w:hAnsi="Times New Roman"/>
          <w:sz w:val="18"/>
          <w:szCs w:val="18"/>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6497955" cy="31718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9795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Barrels produced and consumed per quarter.</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combination of population growth and progressively improving living standards for non-OECD (Organization for Economic Cooperation and Development) countries underpins increasing energy demand globally for decades to come. We believe reliable, affordable, and responsible energy resources are all critical components to maintain energy security and global stability, requiring all sources of energy including both hydrocarbons and renewables.</w:t>
      </w:r>
    </w:p>
    <w:p>
      <w:pPr>
        <w:spacing w:after="0" w:line="20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Consistent with the forecast from the EIA’s Short-Term Energy Outlook (as depicted in the chart above), we expect crude oil demand to continue to increase, driven largely by our view that hydrocarbon-based fuels are the most efficient fuels for the transportation of people and goods, and hydrocarbon-based products provide the building blocks for modern civilization such as fertilizers, plastics and cement.</w:t>
      </w:r>
    </w:p>
    <w:p>
      <w:pPr>
        <w:spacing w:after="0" w:line="20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North America has proven to be an essential and reliable source of crude oil and NGL production growth for the global market. This is driven by the lifting of the U.S. crude oil export ban, infrastructure debottlenecking in both the U.S. and Canada, and world-class geological formations unlocked through technological improvements and techniques.</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Permian Basin continues to be one of the most prolific basins in the world and was the predominant driver of U.S. production growth in 2024. We expect the Permian Basin to be a key contributor to global supply for years to come, based on strong economics and the recent wave of consolidation leading to more stable activity levels over a wide range of commodity price environments.</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It is against this macro energy market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5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recognized net income of $1.070 billion for the year ended December 31, 2024 compared to net income of $1.425 billion for the year ended December 31, 2023.</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decrease in net income was largely driven by higher costs in the 2024 period associated with the Line 901 incident that occurred in May 2015 (including $225 million related to the write-off of a receivable for insurance proceeds in the fourth quarter of 2024 and $120 million related to settlements in the third quarter of 2024), losses on asset sales, asset impairments and other related items (as compared to gains from such items in the 2023 period), and higher income tax expense largely associated with Canadian withholding tax. In addition, net income for the 2023 period included the favorable impact of gains from the mark-to-market adjustment of the Preferred Distribution Rate Reset Option. However, our Segment Adjusted EBITDA increased in 2024 compared to 2023 due to more favorable results from our Crude Oil segment, partially offset by lower contributions from our NGL segment. See the “— Results of Operations” section below for further discussion.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c>
          <w:tcPr>
            <w:tcW w:w="11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0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2885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w:t>
        <w:tab/>
        <w:t>Indicates that variance as a percentage is not meaningful.</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Fluctuations in our consolidated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 majority of our crude oil sales and purchases are indexed to the prompt month price of the NYMEX Light, Sweet crude oil futures contract (“NYMEX Price”) and our NGL sales are indexed to Mont Belvieu prices. The following table presents the range of the NYMEX Price over the last two years (in dollars per barrel):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During the Year Ended December 31,</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6"/>
                <w:szCs w:val="16"/>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29"/>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Product sales revenues and purchases increased for the year ended December 31, 2024 compared to the year ended December 31, 2023 primarily due to higher crude oil sales volumes.</w:t>
      </w:r>
    </w:p>
    <w:p>
      <w:pPr>
        <w:spacing w:after="0" w:line="18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Revenues from services increased for the year ended December 31, 2024 compared to the year ended December 31, 2023 primarily due to higher pipeline volumes and tariff escalations, as well as the impact of acquisitions.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further discussion of net revenues (revenues less purchases and related costs) in the “—Analysis of Operating Segments” section below.</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year ended December 31, 2024 compared to the year ended December 31, 2023 was primarily due to (i) higher employee-related costs, (ii) higher information systems costs due to ongoing systems integration work and (iii) higher office rent due to an operating cost abatement in the prior year.</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Gains/(Losses) on Asset Sales, Asset Impairments and Other, Net</w:t>
      </w:r>
    </w:p>
    <w:p>
      <w:pPr>
        <w:spacing w:after="0" w:line="256"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net loss on asset sales and asset impairments for the year ended December 31, 2024 was primarily due to non-cash charges related to the write-down of certain of our long-lived U.S. terminal assets included in our NGL segment due to asset impairments and accelerated depreciation in the fourth quarter of 2024.</w:t>
      </w:r>
    </w:p>
    <w:p>
      <w:pPr>
        <w:spacing w:after="0" w:line="20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net gain on asset sales and asset impairments for the year ended December 31, 2023 was primarily related to the sale of our ownership interest in the Keyera Fort Saskatchewan facility in the first quarter of 2023.</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6 and Note 7 to our Consolidated Financial Statements for additional information regarding these asset sales and asset impairments.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 in Unconsolidated Entities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Investments in Unconsolidated Entities,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fourth quarter of 2024, we recognized a gain of $15 million related to our acquisition of the remaining 50% interest in Midway Pipeline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w:t>
      </w:r>
    </w:p>
    <w:p>
      <w:pPr>
        <w:spacing w:after="0" w:line="23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of 2023, we recognized a gain of $29 million related to the Permian JV’s acquisition of the remaining 43% interest in OMOG JV Holdings LLC.</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7 to our Consolidated Financial Statements for additional information regarding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ind w:left="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Other Income/(Expense), Net</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Other income/(expense), net (in millions):</w:t>
      </w: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8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0" w:type="dxa"/>
            <w:vAlign w:val="bottom"/>
          </w:tcPr>
          <w:p>
            <w:pPr>
              <w:spacing w:after="0"/>
              <w:rPr>
                <w:sz w:val="19"/>
                <w:szCs w:val="19"/>
                <w:color w:val="auto"/>
              </w:rPr>
            </w:pPr>
          </w:p>
        </w:tc>
        <w:tc>
          <w:tcPr>
            <w:tcW w:w="8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0" w:type="dxa"/>
            <w:vAlign w:val="bottom"/>
          </w:tcPr>
          <w:p>
            <w:pPr>
              <w:spacing w:after="0"/>
              <w:rPr>
                <w:sz w:val="19"/>
                <w:szCs w:val="19"/>
                <w:color w:val="auto"/>
              </w:rPr>
            </w:pPr>
          </w:p>
        </w:tc>
        <w:tc>
          <w:tcPr>
            <w:tcW w:w="8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mark-to-market adjustment of Preferred Distribution Rate Reset Option embedded derivative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40" w:type="dxa"/>
            <w:vAlign w:val="bottom"/>
          </w:tcPr>
          <w:p>
            <w:pPr>
              <w:spacing w:after="0"/>
              <w:rPr>
                <w:sz w:val="19"/>
                <w:szCs w:val="19"/>
                <w:color w:val="auto"/>
              </w:rPr>
            </w:pPr>
          </w:p>
        </w:tc>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4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r>
    </w:tbl>
    <w:p>
      <w:pPr>
        <w:spacing w:after="0" w:line="171" w:lineRule="exact"/>
        <w:rPr>
          <w:sz w:val="20"/>
          <w:szCs w:val="20"/>
          <w:color w:val="auto"/>
        </w:rPr>
      </w:pPr>
    </w:p>
    <w:p>
      <w:pPr>
        <w:sectPr>
          <w:pgSz w:w="11900" w:h="16838" w:orient="portrait"/>
          <w:cols w:equalWidth="0" w:num="1">
            <w:col w:w="11300"/>
          </w:cols>
          <w:pgMar w:left="240" w:top="126" w:right="359" w:bottom="1440" w:gutter="0" w:footer="0" w:header="0"/>
        </w:sectPr>
      </w:pP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See Note 12 to our Consolidated Financial Statements for additional information.</w:t>
      </w:r>
    </w:p>
    <w:p>
      <w:pPr>
        <w:spacing w:after="0" w:line="117" w:lineRule="exact"/>
        <w:rPr>
          <w:sz w:val="20"/>
          <w:szCs w:val="20"/>
          <w:color w:val="auto"/>
        </w:rPr>
      </w:pPr>
    </w:p>
    <w:p>
      <w:pPr>
        <w:ind w:left="20" w:right="520" w:hanging="11"/>
        <w:spacing w:after="0" w:line="282" w:lineRule="auto"/>
        <w:rPr>
          <w:sz w:val="20"/>
          <w:szCs w:val="20"/>
          <w:color w:val="auto"/>
        </w:rPr>
      </w:pPr>
      <w:r>
        <w:rPr>
          <w:rFonts w:ascii="Times New Roman" w:cs="Times New Roman" w:eastAsia="Times New Roman" w:hAnsi="Times New Roman"/>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220" w:space="500"/>
            <w:col w:w="10580"/>
          </w:cols>
          <w:pgMar w:left="240" w:top="126" w:right="359" w:bottom="1440" w:gutter="0" w:footer="0" w:header="0"/>
          <w:type w:val="continuous"/>
        </w:sectPr>
      </w:pPr>
    </w:p>
    <w:p>
      <w:pPr>
        <w:spacing w:after="0" w:line="56" w:lineRule="exact"/>
        <w:rPr>
          <w:sz w:val="20"/>
          <w:szCs w:val="20"/>
          <w:color w:val="auto"/>
        </w:rPr>
      </w:pPr>
    </w:p>
    <w:p>
      <w:pPr>
        <w:ind w:left="80" w:right="60" w:firstLine="648"/>
        <w:spacing w:after="0" w:line="261" w:lineRule="auto"/>
        <w:rPr>
          <w:sz w:val="20"/>
          <w:szCs w:val="20"/>
          <w:color w:val="auto"/>
        </w:rPr>
      </w:pPr>
      <w:r>
        <w:rPr>
          <w:rFonts w:ascii="Times New Roman" w:cs="Times New Roman" w:eastAsia="Times New Roman" w:hAnsi="Times New Roman"/>
          <w:sz w:val="18"/>
          <w:szCs w:val="18"/>
          <w:color w:val="auto"/>
        </w:rPr>
        <w:t>The net unfavorable income tax variance for the year ended December 31, 2024 compared to the year ended December 31, 2023 was primarily due to higher income tax expense in 2024 associated with Canadian withholding tax on dividends from our Canadian entities to other Plains entities driven by timing of dividend payments, including proceeds from asset divestitures, partially offset by the impact of lower earnings at PAA on income tax attributable to PAGP.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56" w:lineRule="exact"/>
        <w:rPr>
          <w:sz w:val="20"/>
          <w:szCs w:val="20"/>
          <w:color w:val="auto"/>
        </w:rPr>
      </w:pPr>
    </w:p>
    <w:p>
      <w:pPr>
        <w:ind w:left="80" w:right="100"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spacing w:after="0" w:line="203" w:lineRule="exact"/>
        <w:rPr>
          <w:sz w:val="20"/>
          <w:szCs w:val="20"/>
          <w:color w:val="auto"/>
        </w:rPr>
      </w:pPr>
    </w:p>
    <w:p>
      <w:pPr>
        <w:ind w:left="80" w:right="200" w:firstLine="648"/>
        <w:spacing w:after="0" w:line="26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40" w:top="126" w:right="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defined as earnings before (i) interest expense, (ii) income tax (expense)/benefit, (iii) depreciation and amortization (including our proportionate share of depreciation and amortization, including write-downs related to cancelled projects and impairments, of unconsolidated entities), (iv) gains and losses on asset sales, asset impairments and other, net and (v) gains on investments in unconsolidated entities, net, and adjusted for (vi) certain selected items impacting comparability. Adjusted EBITDA attributable to PAA excludes the portion of Adjusted EBITDA that is attributable to noncontrolling interests in consolidated joint venture entities.</w:t>
      </w:r>
    </w:p>
    <w:p>
      <w:pPr>
        <w:spacing w:after="0" w:line="21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performance measures Adjusted EBITDA and Adjusted EBITDA attributable to PAA from Net Income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0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0" w:type="dxa"/>
            <w:vAlign w:val="bottom"/>
          </w:tcPr>
          <w:p>
            <w:pPr>
              <w:spacing w:after="0"/>
              <w:rPr>
                <w:sz w:val="19"/>
                <w:szCs w:val="19"/>
                <w:color w:val="auto"/>
              </w:rPr>
            </w:pPr>
          </w:p>
        </w:tc>
        <w:tc>
          <w:tcPr>
            <w:tcW w:w="5860" w:type="dxa"/>
            <w:vAlign w:val="bottom"/>
            <w:gridSpan w:val="2"/>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items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0" w:type="dxa"/>
            <w:vAlign w:val="bottom"/>
          </w:tcPr>
          <w:p>
            <w:pPr>
              <w:spacing w:after="0"/>
              <w:rPr>
                <w:sz w:val="19"/>
                <w:szCs w:val="19"/>
                <w:color w:val="auto"/>
              </w:rPr>
            </w:pPr>
          </w:p>
        </w:tc>
        <w:tc>
          <w:tcPr>
            <w:tcW w:w="5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40" w:type="dxa"/>
            <w:vAlign w:val="bottom"/>
          </w:tcPr>
          <w:p>
            <w:pPr>
              <w:spacing w:after="0"/>
              <w:rPr>
                <w:sz w:val="19"/>
                <w:szCs w:val="19"/>
                <w:color w:val="auto"/>
              </w:rPr>
            </w:pPr>
          </w:p>
        </w:tc>
        <w:tc>
          <w:tcPr>
            <w:tcW w:w="5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30"/>
        </w:trPr>
        <w:tc>
          <w:tcPr>
            <w:tcW w:w="40" w:type="dxa"/>
            <w:vAlign w:val="bottom"/>
          </w:tcPr>
          <w:p>
            <w:pPr>
              <w:spacing w:after="0"/>
              <w:rPr>
                <w:sz w:val="19"/>
                <w:szCs w:val="19"/>
                <w:color w:val="auto"/>
              </w:rPr>
            </w:pPr>
          </w:p>
        </w:tc>
        <w:tc>
          <w:tcPr>
            <w:tcW w:w="5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0" w:type="dxa"/>
            <w:vAlign w:val="bottom"/>
          </w:tcPr>
          <w:p>
            <w:pPr>
              <w:spacing w:after="0"/>
              <w:rPr>
                <w:sz w:val="19"/>
                <w:szCs w:val="19"/>
                <w:color w:val="auto"/>
              </w:rPr>
            </w:pPr>
          </w:p>
        </w:tc>
        <w:tc>
          <w:tcPr>
            <w:tcW w:w="5860" w:type="dxa"/>
            <w:vAlign w:val="bottom"/>
            <w:gridSpan w:val="2"/>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Unallocated general and administrative expenses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0" w:type="dxa"/>
            <w:vAlign w:val="bottom"/>
          </w:tcPr>
          <w:p>
            <w:pPr>
              <w:spacing w:after="0"/>
              <w:rPr>
                <w:sz w:val="19"/>
                <w:szCs w:val="19"/>
                <w:color w:val="auto"/>
              </w:rPr>
            </w:pPr>
          </w:p>
        </w:tc>
        <w:tc>
          <w:tcPr>
            <w:tcW w:w="5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Selected Items Impacting Comparability: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Line 901 incident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860" w:type="dxa"/>
            <w:vAlign w:val="bottom"/>
            <w:tcBorders>
              <w:top w:val="single" w:sz="8" w:color="CCEEFF"/>
            </w:tcBorders>
            <w:gridSpan w:val="2"/>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Segment Adjusted EBITDA </w:t>
            </w:r>
            <w:r>
              <w:rPr>
                <w:rFonts w:ascii="Times New Roman" w:cs="Times New Roman" w:eastAsia="Times New Roman" w:hAnsi="Times New Roman"/>
                <w:sz w:val="23"/>
                <w:szCs w:val="23"/>
                <w:color w:val="auto"/>
                <w:vertAlign w:val="superscript"/>
              </w:rPr>
              <w:t>(4)</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0" w:type="dxa"/>
            <w:vAlign w:val="bottom"/>
          </w:tcPr>
          <w:p>
            <w:pPr>
              <w:spacing w:after="0"/>
              <w:rPr>
                <w:sz w:val="15"/>
                <w:szCs w:val="15"/>
                <w:color w:val="auto"/>
              </w:rPr>
            </w:pPr>
          </w:p>
        </w:tc>
        <w:tc>
          <w:tcPr>
            <w:tcW w:w="58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Mark-to-market adjustment of Preferred Distribution Rate Reset Option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586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embedded derivative </w:t>
            </w:r>
            <w:r>
              <w:rPr>
                <w:rFonts w:ascii="Times New Roman" w:cs="Times New Roman" w:eastAsia="Times New Roman" w:hAnsi="Times New Roman"/>
                <w:sz w:val="23"/>
                <w:szCs w:val="23"/>
                <w:color w:val="auto"/>
                <w:vertAlign w:val="superscript"/>
              </w:rPr>
              <w:t>(5)</w:t>
            </w:r>
          </w:p>
        </w:tc>
        <w:tc>
          <w:tcPr>
            <w:tcW w:w="2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58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860" w:type="dxa"/>
            <w:vAlign w:val="bottom"/>
            <w:tcBorders>
              <w:bottom w:val="single" w:sz="8" w:color="CCEEFF"/>
            </w:tcBorders>
            <w:gridSpan w:val="2"/>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8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175"/>
        </w:trPr>
        <w:tc>
          <w:tcPr>
            <w:tcW w:w="40" w:type="dxa"/>
            <w:vAlign w:val="bottom"/>
          </w:tcPr>
          <w:p>
            <w:pPr>
              <w:spacing w:after="0"/>
              <w:rPr>
                <w:sz w:val="15"/>
                <w:szCs w:val="15"/>
                <w:color w:val="auto"/>
              </w:rPr>
            </w:pPr>
          </w:p>
        </w:tc>
        <w:tc>
          <w:tcPr>
            <w:tcW w:w="58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Adjusted EBITDA attributable to noncontrolling interests in consolidated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5860" w:type="dxa"/>
            <w:vAlign w:val="bottom"/>
            <w:tcBorders>
              <w:bottom w:val="single" w:sz="8" w:color="CCEEFF"/>
            </w:tcBorders>
            <w:gridSpan w:val="2"/>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(8)</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4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w:t>
        <w:tab/>
        <w:t>Indicates that variance as a percentage is not meaningful.</w:t>
      </w:r>
    </w:p>
    <w:p>
      <w:pPr>
        <w:sectPr>
          <w:pgSz w:w="11900" w:h="16838" w:orient="portrait"/>
          <w:cols w:equalWidth="0" w:num="1">
            <w:col w:w="11220"/>
          </w:cols>
          <w:pgMar w:left="320" w:top="126" w:right="359" w:bottom="144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“Interest expense, net” as reported on our Consolidated Statements of Operations.</w:t>
      </w:r>
    </w:p>
    <w:p>
      <w:pPr>
        <w:spacing w:after="0" w:line="117" w:lineRule="exact"/>
        <w:rPr>
          <w:sz w:val="20"/>
          <w:szCs w:val="20"/>
          <w:color w:val="auto"/>
        </w:rPr>
      </w:pPr>
    </w:p>
    <w:p>
      <w:pPr>
        <w:ind w:left="20" w:right="640" w:hanging="11"/>
        <w:spacing w:after="0" w:line="282" w:lineRule="auto"/>
        <w:rPr>
          <w:sz w:val="20"/>
          <w:szCs w:val="20"/>
          <w:color w:val="auto"/>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54" w:lineRule="exact"/>
        <w:rPr>
          <w:sz w:val="20"/>
          <w:szCs w:val="20"/>
          <w:color w:val="auto"/>
        </w:rPr>
      </w:pPr>
    </w:p>
    <w:p>
      <w:pPr>
        <w:ind w:left="20" w:right="300" w:hanging="11"/>
        <w:spacing w:after="0" w:line="282" w:lineRule="auto"/>
        <w:rPr>
          <w:sz w:val="20"/>
          <w:szCs w:val="20"/>
          <w:color w:val="auto"/>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54" w:lineRule="exact"/>
        <w:rPr>
          <w:sz w:val="20"/>
          <w:szCs w:val="20"/>
          <w:color w:val="auto"/>
        </w:rPr>
      </w:pPr>
    </w:p>
    <w:p>
      <w:pPr>
        <w:ind w:left="20" w:hanging="11"/>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these selected items impacting comparability, see the footnotes to the Segment Adjusted EBITDA Reconciliation table in Note 19 to our Consolidated Financial Statements.</w:t>
      </w:r>
    </w:p>
    <w:p>
      <w:pPr>
        <w:spacing w:after="0" w:line="54" w:lineRule="exact"/>
        <w:rPr>
          <w:sz w:val="20"/>
          <w:szCs w:val="20"/>
          <w:color w:val="auto"/>
        </w:rPr>
      </w:pPr>
    </w:p>
    <w:p>
      <w:pPr>
        <w:ind w:left="20" w:right="100" w:hanging="11"/>
        <w:spacing w:after="0" w:line="261" w:lineRule="auto"/>
        <w:rPr>
          <w:sz w:val="20"/>
          <w:szCs w:val="20"/>
          <w:color w:val="auto"/>
        </w:rPr>
      </w:pPr>
      <w:r>
        <w:rPr>
          <w:rFonts w:ascii="Times New Roman" w:cs="Times New Roman" w:eastAsia="Times New Roman" w:hAnsi="Times New Roman"/>
          <w:sz w:val="18"/>
          <w:szCs w:val="18"/>
          <w:color w:val="auto"/>
        </w:rPr>
        <w:t>The Preferred Distribution Rate Reset Option of PAA’s Series A preferred units was accounted for as an embedded derivative and recorded at fair value in our Consolidated Financial Statements. The associated gains and losses are not integral to our results and were thus classified as a selected item impacting comparability. See Note 12 to our Consolidated Financial Statements for additional information regarding the Preferred Distribution Rate Reset Option.</w:t>
      </w:r>
    </w:p>
    <w:p>
      <w:pPr>
        <w:spacing w:after="0" w:line="72"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ind w:left="660" w:hanging="652"/>
        <w:spacing w:after="0" w:line="235" w:lineRule="auto"/>
        <w:tabs>
          <w:tab w:leader="none" w:pos="648"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20" w:right="380" w:hanging="11"/>
        <w:spacing w:after="0" w:line="282" w:lineRule="auto"/>
        <w:rPr>
          <w:sz w:val="20"/>
          <w:szCs w:val="20"/>
          <w:color w:val="auto"/>
        </w:rPr>
      </w:pPr>
      <w:r>
        <w:rPr>
          <w:rFonts w:ascii="Times New Roman" w:cs="Times New Roman" w:eastAsia="Times New Roman" w:hAnsi="Times New Roman"/>
          <w:sz w:val="18"/>
          <w:szCs w:val="18"/>
          <w:color w:val="auto"/>
        </w:rPr>
        <w:t>“Other income/(expense), net” on our Consolidated Statements of Operations, adjusted for selected items impacting comparability (“Adjusted other income/(expense), net”) is included in Adjusted EBITDA and excluded from Segment Adjusted EBITDA.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5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Chief Operating Decision Maker (“CODM”) (our Chief Executive Officer) evaluates segment performance based on a variety of measures including Segment Adjusted EBITDA, segment volumes and maintenance capital investment.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define Segment Adjusted EBITDA as revenues and equity earnings in unconsolidated entities less (a) significant segment expenses including:</w:t>
      </w:r>
    </w:p>
    <w:p>
      <w:pPr>
        <w:spacing w:after="0" w:line="27" w:lineRule="exact"/>
        <w:rPr>
          <w:sz w:val="20"/>
          <w:szCs w:val="20"/>
          <w:color w:val="auto"/>
        </w:rPr>
      </w:pPr>
    </w:p>
    <w:p>
      <w:pPr>
        <w:ind w:firstLine="8"/>
        <w:spacing w:after="0" w:line="251" w:lineRule="auto"/>
        <w:tabs>
          <w:tab w:leader="none" w:pos="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 See Note 19 to our Consolidated Financial Statements for a reconciliation of Segment Adjusted EBITDA to Net income attributable to PAGP.</w:t>
      </w:r>
    </w:p>
    <w:p>
      <w:pPr>
        <w:spacing w:after="0" w:line="22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2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Revenues and expenses from our Canadian based subsidiaries, which use CAD as their functional currency, are translated at the prevailing average exchange rates for the month.</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21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 w:type="dxa"/>
            <w:vAlign w:val="bottom"/>
          </w:tcPr>
          <w:p>
            <w:pPr>
              <w:spacing w:after="0"/>
              <w:rPr>
                <w:sz w:val="18"/>
                <w:szCs w:val="18"/>
                <w:color w:val="auto"/>
              </w:rPr>
            </w:pPr>
          </w:p>
        </w:tc>
        <w:tc>
          <w:tcPr>
            <w:tcW w:w="5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8"/>
                <w:szCs w:val="18"/>
                <w:color w:val="auto"/>
              </w:rPr>
            </w:pPr>
          </w:p>
        </w:tc>
        <w:tc>
          <w:tcPr>
            <w:tcW w:w="2460" w:type="dxa"/>
            <w:vAlign w:val="bottom"/>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8"/>
                <w:szCs w:val="18"/>
                <w:color w:val="auto"/>
              </w:rPr>
            </w:pPr>
          </w:p>
        </w:tc>
        <w:tc>
          <w:tcPr>
            <w:tcW w:w="15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5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57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200" w:type="dxa"/>
            <w:vAlign w:val="bottom"/>
            <w:tcBorders>
              <w:top w:val="single" w:sz="8" w:color="auto"/>
              <w:right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4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84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4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5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84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8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58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58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Line 901 incident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8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4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84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84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8"/>
                <w:szCs w:val="18"/>
                <w:color w:val="auto"/>
              </w:rPr>
              <w:t>joint ventures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 w:type="dxa"/>
            <w:vAlign w:val="bottom"/>
            <w:tcBorders>
              <w:right w:val="single" w:sz="8" w:color="CCEEFF"/>
            </w:tcBorders>
          </w:tcPr>
          <w:p>
            <w:pPr>
              <w:spacing w:after="0"/>
              <w:rPr>
                <w:sz w:val="21"/>
                <w:szCs w:val="21"/>
                <w:color w:val="auto"/>
              </w:rPr>
            </w:pPr>
          </w:p>
        </w:tc>
        <w:tc>
          <w:tcPr>
            <w:tcW w:w="58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0" w:type="dxa"/>
            <w:vAlign w:val="bottom"/>
            <w:tcBorders>
              <w:bottom w:val="single" w:sz="8" w:color="auto"/>
              <w:right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80" w:type="dxa"/>
            <w:vAlign w:val="bottom"/>
            <w:tcBorders>
              <w:right w:val="single" w:sz="8" w:color="CCEEFF"/>
            </w:tcBorders>
          </w:tcPr>
          <w:p>
            <w:pPr>
              <w:spacing w:after="0"/>
              <w:rPr>
                <w:sz w:val="21"/>
                <w:szCs w:val="21"/>
                <w:color w:val="auto"/>
              </w:rPr>
            </w:pPr>
          </w:p>
        </w:tc>
        <w:tc>
          <w:tcPr>
            <w:tcW w:w="58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Borders>
              <w:bottom w:val="single" w:sz="8" w:color="auto"/>
              <w:right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24"/>
                <w:szCs w:val="24"/>
                <w:color w:val="auto"/>
              </w:rPr>
            </w:pPr>
          </w:p>
        </w:tc>
        <w:tc>
          <w:tcPr>
            <w:tcW w:w="15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4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5"/>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5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8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660" w:type="dxa"/>
            <w:vAlign w:val="bottom"/>
            <w:tcBorders>
              <w:top w:val="single" w:sz="8" w:color="auto"/>
            </w:tcBorders>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(5)</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right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840" w:type="dxa"/>
            <w:vAlign w:val="bottom"/>
            <w:gridSpan w:val="5"/>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2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840" w:type="dxa"/>
            <w:vAlign w:val="bottom"/>
            <w:gridSpan w:val="5"/>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840" w:type="dxa"/>
            <w:vAlign w:val="bottom"/>
            <w:gridSpan w:val="5"/>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780" w:type="dxa"/>
            <w:vAlign w:val="bottom"/>
            <w:tcBorders>
              <w:top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200" w:type="dxa"/>
            <w:vAlign w:val="bottom"/>
            <w:tcBorders>
              <w:top w:val="single" w:sz="8" w:color="CCEEFF"/>
              <w:right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480" w:type="dxa"/>
            <w:vAlign w:val="bottom"/>
            <w:gridSpan w:val="2"/>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84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(6) (7)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5"/>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84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(5) (8)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gridSpan w:val="2"/>
          </w:tcPr>
          <w:p>
            <w:pPr>
              <w:spacing w:after="0"/>
              <w:rPr>
                <w:sz w:val="14"/>
                <w:szCs w:val="14"/>
                <w:color w:val="auto"/>
              </w:rPr>
            </w:pPr>
          </w:p>
        </w:tc>
        <w:tc>
          <w:tcPr>
            <w:tcW w:w="2040" w:type="dxa"/>
            <w:vAlign w:val="bottom"/>
            <w:gridSpan w:val="4"/>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components of significant segment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9"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ind w:left="660" w:right="460" w:hanging="652"/>
        <w:spacing w:after="0" w:line="229" w:lineRule="auto"/>
        <w:tabs>
          <w:tab w:leader="none" w:pos="648"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20" w:right="320" w:hanging="11"/>
        <w:spacing w:after="0" w:line="266" w:lineRule="auto"/>
        <w:rPr>
          <w:sz w:val="20"/>
          <w:szCs w:val="20"/>
          <w:color w:val="auto"/>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UJIs) for the year divided by the number of days in the year. Volumes associated with acquisitions represent total volumes for the number of days we actually owned the assets divided by the number of days in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monthly capacity in millions of barrels per day calculated as total volumes for the year divided by the number of months in the year.</w:t>
      </w:r>
    </w:p>
    <w:p>
      <w:pPr>
        <w:spacing w:after="0" w:line="117" w:lineRule="exact"/>
        <w:rPr>
          <w:sz w:val="20"/>
          <w:szCs w:val="20"/>
          <w:color w:val="auto"/>
        </w:rPr>
      </w:pPr>
    </w:p>
    <w:p>
      <w:pPr>
        <w:ind w:left="20" w:right="180" w:hanging="11"/>
        <w:spacing w:after="0" w:line="282" w:lineRule="auto"/>
        <w:rPr>
          <w:sz w:val="20"/>
          <w:szCs w:val="20"/>
          <w:color w:val="auto"/>
        </w:rPr>
      </w:pPr>
      <w:r>
        <w:rPr>
          <w:rFonts w:ascii="Times New Roman" w:cs="Times New Roman" w:eastAsia="Times New Roman" w:hAnsi="Times New Roman"/>
          <w:sz w:val="18"/>
          <w:szCs w:val="18"/>
          <w:color w:val="auto"/>
        </w:rPr>
        <w:t>Of this amount, approximately 1,278 and 1,147 thousand barrels per day were purchased in the Permian Basin for the years ended December 31, 2024 and 2023, respectively.</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54"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Crude Oil Segment Adjusted EBITDA increased for the year ended December 31, 2024 compared to the year ended December 31, 2023 primarily due to higher tariff volumes on our pipelines, tariff escalations and contributions from acquisitions, partially offset by fewer market-based opportunities.</w:t>
      </w:r>
    </w:p>
    <w:p>
      <w:pPr>
        <w:spacing w:after="0" w:line="16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year ended December 31, 2024 compared to the year ended December 31, 2023.</w:t>
      </w:r>
    </w:p>
    <w:p>
      <w:pPr>
        <w:spacing w:after="0" w:line="187"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were favorably impacted by (i) volume growth across our pipeline systems driven by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in the Permian Basin region, as well as increased movements from the Rocky Mountain region to Cushing, Oklahoma, (ii) the benefit of tariff escalations and (iii) contributions from acquisitions, including increases in ownership of certain pipeline systems.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our results for the year ended December 31, 2024 compared to 2023 reflect fewer crude oil market-based opportunities.</w:t>
      </w:r>
    </w:p>
    <w:p>
      <w:pPr>
        <w:spacing w:after="0" w:line="25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For the year ended December 31, 2024 compared to the year ended December 31, 2023, we recognized higher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(i) an increase in costs associated with settlements related to the Line 901 incident that occurred in May 2015 (which impact field operating costs, but are excluded from Segment Adjusted EBITDA, and thus are reflected as a component of “Other segment items” in the table above), (ii) an increase in estimated costs for long-term environmental remediation obligations, (iii) property taxes due to the impact of favorable adjustments in 2023 and</w:t>
      </w:r>
    </w:p>
    <w:p>
      <w:pPr>
        <w:spacing w:after="0" w:line="1" w:lineRule="exact"/>
        <w:rPr>
          <w:sz w:val="20"/>
          <w:szCs w:val="20"/>
          <w:color w:val="auto"/>
        </w:rPr>
      </w:pPr>
    </w:p>
    <w:p>
      <w:pPr>
        <w:ind w:right="40" w:firstLine="8"/>
        <w:spacing w:after="0" w:line="255" w:lineRule="auto"/>
        <w:tabs>
          <w:tab w:leader="none" w:pos="3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operating costs and employee-related costs associated with acquisitions, partially offset by (v) unrealized mark-to-market gains on power hedges (which impact our field operating costs but are excluded from Segment Adjusted EBITDA and thus are reflected as a component of “Other segment items” in the table above) and (vi) decreased costs resulting from lower third-party trucked volumes.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Maintenance capital consists of capital expenditures for the replacement and/or refurbishment of partially or fully depreciated assets in order to maintain the operating and/or earnings capacity of our existing assets. The increase in maintenance capital spending for the year ended December 31, 2024 compared to the year ended December 31, 2023 was primarily due to (i) an increase in integrity management, maintenance and repairs and replacement projects and (ii) more trucking lease buyouts.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of extracting NGL mix from the gas stream processed at our Empress straddle plant facility as well as acquiring NGL mix, which is then transported, stored and fractionated into finished products and sold to customers. The commodity exposure associated with our merchant activities is governed by our risk management policies.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quality and volume of natural gas transported on third-party assets through our Empress straddle plant and (iv) our share of the NGL received from a third-party straddle plant.</w:t>
      </w:r>
    </w:p>
    <w:p>
      <w:pPr>
        <w:spacing w:after="0" w:line="207" w:lineRule="exact"/>
        <w:rPr>
          <w:sz w:val="20"/>
          <w:szCs w:val="20"/>
          <w:color w:val="auto"/>
        </w:rPr>
      </w:pPr>
    </w:p>
    <w:p>
      <w:pPr>
        <w:ind w:right="620" w:firstLine="648"/>
        <w:spacing w:after="0" w:line="289" w:lineRule="auto"/>
        <w:rPr>
          <w:sz w:val="20"/>
          <w:szCs w:val="20"/>
          <w:color w:val="auto"/>
        </w:rPr>
      </w:pPr>
      <w:r>
        <w:rPr>
          <w:rFonts w:ascii="Times New Roman" w:cs="Times New Roman" w:eastAsia="Times New Roman" w:hAnsi="Times New Roman"/>
          <w:sz w:val="17"/>
          <w:szCs w:val="17"/>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NGL segment: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6"/>
                <w:szCs w:val="16"/>
                <w:color w:val="auto"/>
              </w:rPr>
            </w:pPr>
          </w:p>
        </w:tc>
        <w:tc>
          <w:tcPr>
            <w:tcW w:w="24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5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860" w:type="dxa"/>
            <w:vAlign w:val="bottom"/>
            <w:gridSpan w:val="3"/>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586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7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60" w:type="dxa"/>
            <w:vAlign w:val="bottom"/>
            <w:gridSpan w:val="3"/>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8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1"/>
                <w:szCs w:val="21"/>
                <w:color w:val="auto"/>
              </w:rPr>
            </w:pPr>
          </w:p>
        </w:tc>
        <w:tc>
          <w:tcPr>
            <w:tcW w:w="5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24"/>
                <w:szCs w:val="24"/>
                <w:color w:val="auto"/>
              </w:rPr>
            </w:pPr>
          </w:p>
        </w:tc>
        <w:tc>
          <w:tcPr>
            <w:tcW w:w="15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Average Volumes (in thousands of barrels per day) </w:t>
            </w:r>
            <w:r>
              <w:rPr>
                <w:rFonts w:ascii="Times New Roman" w:cs="Times New Roman" w:eastAsia="Times New Roman" w:hAnsi="Times New Roman"/>
                <w:sz w:val="18"/>
                <w:szCs w:val="18"/>
                <w:b w:val="1"/>
                <w:bCs w:val="1"/>
                <w:color w:val="auto"/>
                <w:vertAlign w:val="superscript"/>
              </w:rPr>
              <w:t>(5)</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8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8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fractionation</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228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pipeline tariff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228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Propane and butane sales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62"/>
        </w:trPr>
        <w:tc>
          <w:tcPr>
            <w:tcW w:w="3620" w:type="dxa"/>
            <w:vAlign w:val="bottom"/>
            <w:tcBorders>
              <w:bottom w:val="single" w:sz="8" w:color="auto"/>
            </w:tcBorders>
            <w:gridSpan w:val="2"/>
          </w:tcPr>
          <w:p>
            <w:pPr>
              <w:spacing w:after="0"/>
              <w:rPr>
                <w:sz w:val="14"/>
                <w:szCs w:val="14"/>
                <w:color w:val="auto"/>
              </w:rPr>
            </w:pPr>
          </w:p>
        </w:tc>
        <w:tc>
          <w:tcPr>
            <w:tcW w:w="22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components of significant segment expenses.</w:t>
      </w:r>
    </w:p>
    <w:p>
      <w:pPr>
        <w:spacing w:after="0" w:line="117" w:lineRule="exact"/>
        <w:rPr>
          <w:sz w:val="20"/>
          <w:szCs w:val="20"/>
          <w:color w:val="auto"/>
        </w:rPr>
      </w:pPr>
    </w:p>
    <w:p>
      <w:pPr>
        <w:ind w:left="20" w:right="380" w:hanging="11"/>
        <w:spacing w:after="0" w:line="266" w:lineRule="auto"/>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4"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ind w:right="48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54" w:lineRule="exact"/>
        <w:rPr>
          <w:sz w:val="20"/>
          <w:szCs w:val="20"/>
          <w:color w:val="auto"/>
        </w:rPr>
      </w:pPr>
    </w:p>
    <w:p>
      <w:pPr>
        <w:ind w:right="480" w:hanging="11"/>
        <w:spacing w:after="0" w:line="282" w:lineRule="auto"/>
        <w:rPr>
          <w:sz w:val="20"/>
          <w:szCs w:val="20"/>
          <w:color w:val="auto"/>
        </w:rPr>
      </w:pPr>
      <w:r>
        <w:rPr>
          <w:rFonts w:ascii="Times New Roman" w:cs="Times New Roman" w:eastAsia="Times New Roman" w:hAnsi="Times New Roman"/>
          <w:sz w:val="18"/>
          <w:szCs w:val="18"/>
          <w:color w:val="auto"/>
        </w:rPr>
        <w:t>Average daily volumes are calculated as total volumes (attributable to our interest for assets owned through UJIs) for the year divided by the number of days in the year.</w:t>
      </w:r>
    </w:p>
    <w:p>
      <w:pPr>
        <w:spacing w:after="0" w:line="200"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NGL Segment Adjusted EBITDA for the year ended December 31, 2024 decreased compared to the year ended December 31, 2023, primarily due to the impact of lower realized frac spreads, partially offset by higher propane and butane sales volumes.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variances in the components of Segment Adjusted EBITDA are discussed in more detail below:</w:t>
      </w:r>
    </w:p>
    <w:p>
      <w:pPr>
        <w:spacing w:after="0" w:line="25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include the impact of derivative activities and long-term inventory costing adjustments, which are excluded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Adjusted EBITDA and thus are reflected as a component of “Other segment items” in the table above. Excluding such impacts, net revenues decreased for the year ended December 31, 2024 compared to the year ended December 31, 2023 primarily due to (i) lower realized frac spreads and (ii) lower field operating cost recoveries at our Empress straddle plants realized through our commercial agreements, partially offset by (iii) higher propane and butane sales volumes, (iv) tariff escalations and (v) market opportunities.</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decrease in field operating costs for the year ended December 31, 2024 compared to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primarily due to (i) decreased utilities-related costs largely as a result of lower prices and (ii) a decrease in unrealized mark-to-market losses on power hedges (which impact our field operating costs, but are excluded from Segment Adjusted EBITDA, and thus are reflected as a component of “Other segment items” in the table above), partially offset by (iii) higher maintenance and repairs. The decrease in utilities-related costs was partially offset by the lower benefit to net revenues of operating cost recoveries realized through commercial agreements.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capital spending for the year ended December 31, 2024 compared to the year ended December 31, 2023 was primarily due to timing of routine integrity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17"/>
          <w:szCs w:val="17"/>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w:t>
      </w:r>
    </w:p>
    <w:p>
      <w:pPr>
        <w:spacing w:after="0" w:line="3" w:lineRule="exact"/>
        <w:rPr>
          <w:sz w:val="20"/>
          <w:szCs w:val="20"/>
          <w:color w:val="auto"/>
        </w:rPr>
      </w:pPr>
    </w:p>
    <w:p>
      <w:pPr>
        <w:jc w:val="both"/>
        <w:ind w:right="240" w:firstLine="8"/>
        <w:spacing w:after="0" w:line="253"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w:t>
      </w:r>
    </w:p>
    <w:p>
      <w:pPr>
        <w:spacing w:after="0" w:line="21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although we had a working capital deficit of $148 million, we had over $2.6 billion of liquidity available to meet our ongoing operating, investing and financing needs, subject to continued covenant compliance, as noted below (in millions):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Availability under PAA senior unsecured revolving credit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30" w:lineRule="auto"/>
        <w:rPr>
          <w:sz w:val="20"/>
          <w:szCs w:val="20"/>
          <w:color w:val="auto"/>
        </w:rPr>
      </w:pPr>
      <w:r>
        <w:rPr>
          <w:rFonts w:ascii="Times New Roman" w:cs="Times New Roman" w:eastAsia="Times New Roman" w:hAnsi="Times New Roman"/>
          <w:sz w:val="17"/>
          <w:szCs w:val="17"/>
          <w:color w:val="auto"/>
        </w:rPr>
        <w:t xml:space="preserve">Availability under PAA senior secured hedged inventory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Amounts outstanding under PAA commercial paper program</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30" w:lineRule="exact"/>
        <w:rPr>
          <w:sz w:val="20"/>
          <w:szCs w:val="20"/>
          <w:color w:val="auto"/>
        </w:rPr>
      </w:pPr>
    </w:p>
    <w:p>
      <w:pPr>
        <w:ind w:left="1068" w:hanging="1068"/>
        <w:spacing w:after="0"/>
        <w:tabs>
          <w:tab w:leader="none" w:pos="10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1,333</w:t>
      </w:r>
    </w:p>
    <w:p>
      <w:pPr>
        <w:spacing w:after="0" w:line="22"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(393)</w:t>
      </w:r>
    </w:p>
    <w:p>
      <w:pPr>
        <w:spacing w:after="0" w:line="22" w:lineRule="exact"/>
        <w:rPr>
          <w:sz w:val="20"/>
          <w:szCs w:val="20"/>
          <w:color w:val="auto"/>
        </w:rPr>
      </w:pPr>
    </w:p>
    <w:p>
      <w:pPr>
        <w:sectPr>
          <w:pgSz w:w="11900" w:h="16838" w:orient="portrait"/>
          <w:cols w:equalWidth="0" w:num="2">
            <w:col w:w="8972" w:space="720"/>
            <w:col w:w="1548"/>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30"/>
        </w:trPr>
        <w:tc>
          <w:tcPr>
            <w:tcW w:w="9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(3)</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9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0"/>
        </w:trPr>
        <w:tc>
          <w:tcPr>
            <w:tcW w:w="38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5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2" w:name="page83"/>
    <w:bookmarkEnd w:id="82"/>
    <w:p>
      <w:pPr>
        <w:ind w:left="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320"/>
          </w:cols>
          <w:pgMar w:left="240" w:top="126"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20" w:right="64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the PAA commercial paper program, which reduce available capacity under the facilities.</w:t>
      </w:r>
    </w:p>
    <w:p>
      <w:pPr>
        <w:spacing w:after="0" w:line="54" w:lineRule="exact"/>
        <w:rPr>
          <w:sz w:val="20"/>
          <w:szCs w:val="20"/>
          <w:color w:val="auto"/>
        </w:rPr>
      </w:pPr>
    </w:p>
    <w:p>
      <w:pPr>
        <w:ind w:left="20" w:right="10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the PAA senior unsecured revolving credit facility and the PAA senior secured hedged inventory facility was reduced by outstanding letters of credit issued under these facilities of less than $1 million and $17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restricted cash of $1 million.</w:t>
      </w:r>
    </w:p>
    <w:p>
      <w:pPr>
        <w:spacing w:after="0" w:line="200" w:lineRule="exact"/>
        <w:rPr>
          <w:sz w:val="20"/>
          <w:szCs w:val="20"/>
          <w:color w:val="auto"/>
        </w:rPr>
      </w:pPr>
    </w:p>
    <w:p>
      <w:pPr>
        <w:sectPr>
          <w:pgSz w:w="11900" w:h="16838" w:orient="portrait"/>
          <w:cols w:equalWidth="0" w:num="2">
            <w:col w:w="140" w:space="580"/>
            <w:col w:w="10600"/>
          </w:cols>
          <w:pgMar w:left="240" w:top="126" w:right="339" w:bottom="1440" w:gutter="0" w:footer="0" w:header="0"/>
          <w:type w:val="continuous"/>
        </w:sectPr>
      </w:pPr>
    </w:p>
    <w:p>
      <w:pPr>
        <w:spacing w:after="0" w:line="52" w:lineRule="exact"/>
        <w:rPr>
          <w:sz w:val="20"/>
          <w:szCs w:val="20"/>
          <w:color w:val="auto"/>
        </w:rPr>
      </w:pPr>
    </w:p>
    <w:p>
      <w:pPr>
        <w:ind w:left="80" w:right="20" w:firstLine="648"/>
        <w:spacing w:after="0" w:line="261" w:lineRule="auto"/>
        <w:rPr>
          <w:sz w:val="20"/>
          <w:szCs w:val="20"/>
          <w:color w:val="auto"/>
        </w:rPr>
      </w:pPr>
      <w:r>
        <w:rPr>
          <w:rFonts w:ascii="Times New Roman" w:cs="Times New Roman" w:eastAsia="Times New Roman" w:hAnsi="Times New Roman"/>
          <w:sz w:val="18"/>
          <w:szCs w:val="18"/>
          <w:color w:val="auto"/>
        </w:rPr>
        <w:t>Usage of PAA’s credit facilities, which provide the financial backstop for PAA’s commercial paper program, is subject to ongoing compliance with covenants, as discussed further below. PAA’s borrowing capacity and borrowing costs are also impacted by its credit rating. See Item 1A. “Risk Factors— Risks Related to PAA’s Business—Loss of PAA’s investment grade credit rating or the ability to receive open credit could negatively affect its borrowing costs, ability to purchase crude oil, NGL and natural gas supplies or to capitalize on market opportunities.”</w:t>
      </w:r>
    </w:p>
    <w:p>
      <w:pPr>
        <w:spacing w:after="0" w:line="207" w:lineRule="exact"/>
        <w:rPr>
          <w:sz w:val="20"/>
          <w:szCs w:val="20"/>
          <w:color w:val="auto"/>
        </w:rPr>
      </w:pPr>
    </w:p>
    <w:p>
      <w:pPr>
        <w:ind w:left="80" w:right="200" w:firstLine="648"/>
        <w:spacing w:after="0" w:line="255"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PAA’s commercial paper program and credit facilities, which we use to meet our short-term cash needs. We believe that our financial position remains strong and we have sufficient liquid assets, cash flow from operating activities and borrowing capacity under PAA’s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Credit Agreements, Commercial Paper Program and Indentures</w:t>
      </w:r>
    </w:p>
    <w:p>
      <w:pPr>
        <w:spacing w:after="0" w:line="256" w:lineRule="exact"/>
        <w:rPr>
          <w:sz w:val="20"/>
          <w:szCs w:val="20"/>
          <w:color w:val="auto"/>
        </w:rPr>
      </w:pPr>
    </w:p>
    <w:p>
      <w:pPr>
        <w:ind w:left="80" w:right="100" w:firstLine="648"/>
        <w:spacing w:after="0" w:line="254" w:lineRule="auto"/>
        <w:rPr>
          <w:sz w:val="20"/>
          <w:szCs w:val="20"/>
          <w:color w:val="auto"/>
        </w:rPr>
      </w:pPr>
      <w:r>
        <w:rPr>
          <w:rFonts w:ascii="Times New Roman" w:cs="Times New Roman" w:eastAsia="Times New Roman" w:hAnsi="Times New Roman"/>
          <w:sz w:val="18"/>
          <w:szCs w:val="18"/>
          <w:color w:val="auto"/>
        </w:rPr>
        <w:t>PAA has three primary credit arrangements, which we use to meet our short-term cash needs. These include PAA’s $1.35 billion senior unsecured revolving credit facility maturing in 2029 (excluding a commitment of $64 million, which matures in 2027), $1.35 billion senior secured hedged inventory facility maturing in 2027 (excluding a commitment of $64 million, which matures in 2026) and $2.7 billion unsecured commercial paper program that is backstopped by PAA’s revolving credit facility and its hedged inventory facility. The credit agreements for PAA’s revolving credit facilities (which impact PAA’s ability to access its commercial paper program because they provide the financial backstop that supports PAA’s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December 31, 2024.</w:t>
      </w:r>
    </w:p>
    <w:p>
      <w:pPr>
        <w:spacing w:after="0" w:line="2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56" w:lineRule="exact"/>
        <w:rPr>
          <w:sz w:val="20"/>
          <w:szCs w:val="20"/>
          <w:color w:val="auto"/>
        </w:rPr>
      </w:pPr>
    </w:p>
    <w:p>
      <w:pPr>
        <w:ind w:left="80" w:right="60" w:firstLine="648"/>
        <w:spacing w:after="0" w:line="261" w:lineRule="auto"/>
        <w:rPr>
          <w:sz w:val="20"/>
          <w:szCs w:val="20"/>
          <w:color w:val="auto"/>
        </w:rPr>
      </w:pPr>
      <w:r>
        <w:rPr>
          <w:rFonts w:ascii="Times New Roman" w:cs="Times New Roman" w:eastAsia="Times New Roman" w:hAnsi="Times New Roman"/>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207" w:lineRule="exact"/>
        <w:rPr>
          <w:sz w:val="20"/>
          <w:szCs w:val="20"/>
          <w:color w:val="auto"/>
        </w:rPr>
      </w:pPr>
    </w:p>
    <w:p>
      <w:pPr>
        <w:jc w:val="both"/>
        <w:ind w:left="80" w:firstLine="648"/>
        <w:spacing w:after="0" w:line="258" w:lineRule="auto"/>
        <w:rPr>
          <w:sz w:val="20"/>
          <w:szCs w:val="20"/>
          <w:color w:val="auto"/>
        </w:rPr>
      </w:pPr>
      <w:r>
        <w:rPr>
          <w:rFonts w:ascii="Times New Roman" w:cs="Times New Roman" w:eastAsia="Times New Roman" w:hAnsi="Times New Roman"/>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PAA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6"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periods when the market is not in contango, we typically sell our crude oil during the same month in which we purchase it and we do not rely on borrowings under the PAA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PAA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spacing w:after="0" w:line="21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years ended December 31, 2024 and 2023 was approximately $2.5 billion and $2.7 billion, respectively, and primarily resulted from earnings from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capital </w:t>
            </w:r>
            <w:r>
              <w:rPr>
                <w:rFonts w:ascii="Times New Roman" w:cs="Times New Roman" w:eastAsia="Times New Roman" w:hAnsi="Times New Roman"/>
                <w:sz w:val="23"/>
                <w:szCs w:val="23"/>
                <w:color w:val="auto"/>
                <w:vertAlign w:val="superscript"/>
              </w:rPr>
              <w:t>(1) (2) (3)</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(1) (3)</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(2) (4)</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jc w:val="both"/>
        <w:ind w:right="260" w:hanging="11"/>
        <w:spacing w:after="0" w:line="266" w:lineRule="auto"/>
        <w:rPr>
          <w:sz w:val="20"/>
          <w:szCs w:val="20"/>
          <w:color w:val="auto"/>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68" w:lineRule="exact"/>
        <w:rPr>
          <w:sz w:val="20"/>
          <w:szCs w:val="20"/>
          <w:color w:val="auto"/>
        </w:rPr>
      </w:pPr>
    </w:p>
    <w:p>
      <w:pPr>
        <w:ind w:right="280" w:hanging="11"/>
        <w:spacing w:after="0" w:line="266" w:lineRule="auto"/>
        <w:rPr>
          <w:sz w:val="20"/>
          <w:szCs w:val="20"/>
          <w:color w:val="auto"/>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68" w:lineRule="exact"/>
        <w:rPr>
          <w:sz w:val="20"/>
          <w:szCs w:val="20"/>
          <w:color w:val="auto"/>
        </w:rPr>
      </w:pPr>
    </w:p>
    <w:p>
      <w:pPr>
        <w:ind w:right="700" w:hanging="11"/>
        <w:spacing w:after="0" w:line="282" w:lineRule="auto"/>
        <w:rPr>
          <w:sz w:val="20"/>
          <w:szCs w:val="20"/>
          <w:color w:val="auto"/>
        </w:rPr>
      </w:pPr>
      <w:r>
        <w:rPr>
          <w:rFonts w:ascii="Times New Roman" w:cs="Times New Roman" w:eastAsia="Times New Roman" w:hAnsi="Times New Roman"/>
          <w:sz w:val="18"/>
          <w:szCs w:val="18"/>
          <w:color w:val="auto"/>
        </w:rPr>
        <w:t>Investment capital and maintenance capital, net to our 65% interest in the Permian JV, was approximately $329 million and $242 million, respectively, for 2024, and approximately $310 million and $214 million, respectively, for 2023.</w:t>
      </w:r>
    </w:p>
    <w:p>
      <w:pPr>
        <w:spacing w:after="0" w:line="54" w:lineRule="exact"/>
        <w:rPr>
          <w:sz w:val="20"/>
          <w:szCs w:val="20"/>
          <w:color w:val="auto"/>
        </w:rPr>
      </w:pPr>
    </w:p>
    <w:p>
      <w:pPr>
        <w:ind w:right="80" w:hanging="11"/>
        <w:spacing w:after="0" w:line="281" w:lineRule="auto"/>
        <w:rPr>
          <w:sz w:val="20"/>
          <w:szCs w:val="20"/>
          <w:color w:val="auto"/>
        </w:rPr>
      </w:pPr>
      <w:r>
        <w:rPr>
          <w:rFonts w:ascii="Times New Roman" w:cs="Times New Roman" w:eastAsia="Times New Roman" w:hAnsi="Times New Roman"/>
          <w:sz w:val="17"/>
          <w:szCs w:val="17"/>
          <w:color w:val="auto"/>
        </w:rPr>
        <w:t>Acquisition capital for 2024 primarily includes the acquisitions of additional ownership interests in equity method investees. Acquisition capital for 2023 primarily includes the acquisition by the Permian JV of (i) the remaining 43% interest in OMOG JV Holdings LLC and (ii) gathering assets in the Southern and Northern Delaware Basins. See Note 7 and Note 8 to our Consolidated Financial Statements for additional information. Acquisition capital, net to our 65% interest in the Permian JV, was approximately $243 million and $281 million for 2024 and 2023, respectively.</w:t>
      </w:r>
    </w:p>
    <w:p>
      <w:pPr>
        <w:spacing w:after="0" w:line="200"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spacing w:after="0" w:line="9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2025, we completed two additional bolt-on acquisitions for $636 million (approximately $580 million net to our interest), which included (i) a Delaware Basin crude oil gathering business and (ii) an Eagle Ford Basin gathering system. We used a portion of the net proceeds from our January 2025 senior notes offering to fund these acquisitions.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Investment Capital Projects</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Complementary Permian Basin Projects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82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Facilities/Downstream Projects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8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Projects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8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projects associated with assets included in the Permian JV.</w:t>
      </w:r>
    </w:p>
    <w:p>
      <w:pPr>
        <w:spacing w:after="0" w:line="82" w:lineRule="exact"/>
        <w:rPr>
          <w:rFonts w:ascii="Times New Roman" w:cs="Times New Roman" w:eastAsia="Times New Roman" w:hAnsi="Times New Roman"/>
          <w:sz w:val="23"/>
          <w:szCs w:val="23"/>
          <w:color w:val="auto"/>
          <w:vertAlign w:val="superscript"/>
        </w:rPr>
      </w:pPr>
    </w:p>
    <w:p>
      <w:pPr>
        <w:ind w:left="640" w:hanging="632"/>
        <w:spacing w:after="0" w:line="219" w:lineRule="auto"/>
        <w:tabs>
          <w:tab w:leader="none" w:pos="64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projects at our St. James and Fort Saskatchewan terminals.</w:t>
      </w:r>
    </w:p>
    <w:p>
      <w:pPr>
        <w:spacing w:after="0" w:line="33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Projected 2025 Capital Expenditures. </w:t>
      </w:r>
      <w:r>
        <w:rPr>
          <w:rFonts w:ascii="Times New Roman" w:cs="Times New Roman" w:eastAsia="Times New Roman" w:hAnsi="Times New Roman"/>
          <w:sz w:val="18"/>
          <w:szCs w:val="18"/>
          <w:color w:val="auto"/>
        </w:rPr>
        <w:t>Total investment capital for the year ending December 31, 2025 is currently projected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million ($400 million net to our interest). Approximately half of our projected investment capital expenditures are expected to be invested in the Permian JV assets. Additionally, maintenance capital for 2025 is currently projected to be approximately $260 million ($240 million net to our interest). We expect to fund our 2025 investment and maintenance capital expenditures primarily with retained cash flow.</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56"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assets have historically generally been used to fund our investment capital projects and reduce debt levels. The following table summarizes the proceeds received from divestitures during the last two years (in millions):</w:t>
      </w:r>
    </w:p>
    <w:p>
      <w:pPr>
        <w:spacing w:after="0" w:line="22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8260" w:val="left"/>
          <w:tab w:leader="none" w:pos="9420" w:val="left"/>
          <w:tab w:leader="none" w:pos="9800" w:val="left"/>
          <w:tab w:leader="none" w:pos="10880" w:val="left"/>
        </w:tabs>
        <w:rPr>
          <w:sz w:val="20"/>
          <w:szCs w:val="20"/>
          <w:color w:val="auto"/>
        </w:rPr>
      </w:pPr>
      <w:r>
        <w:rPr>
          <w:rFonts w:ascii="Times New Roman" w:cs="Times New Roman" w:eastAsia="Times New Roman" w:hAnsi="Times New Roman"/>
          <w:sz w:val="18"/>
          <w:szCs w:val="18"/>
          <w:color w:val="auto"/>
        </w:rPr>
        <w:t xml:space="preserve">Proceeds from divestitures </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w:t>
        <w:tab/>
        <w:t>$</w:t>
      </w:r>
      <w:r>
        <w:rPr>
          <w:sz w:val="20"/>
          <w:szCs w:val="20"/>
          <w:color w:val="auto"/>
        </w:rPr>
        <w:tab/>
      </w:r>
      <w:r>
        <w:rPr>
          <w:rFonts w:ascii="Times New Roman" w:cs="Times New Roman" w:eastAsia="Times New Roman" w:hAnsi="Times New Roman"/>
          <w:sz w:val="17"/>
          <w:szCs w:val="17"/>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4599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23" w:lineRule="exact"/>
        <w:rPr>
          <w:sz w:val="20"/>
          <w:szCs w:val="20"/>
          <w:color w:val="auto"/>
        </w:rPr>
      </w:pPr>
    </w:p>
    <w:p>
      <w:pPr>
        <w:ind w:left="660" w:right="80" w:hanging="652"/>
        <w:spacing w:after="0" w:line="235" w:lineRule="auto"/>
        <w:tabs>
          <w:tab w:leader="none" w:pos="64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proceeds, including working capital adjustments, net of transaction costs. The proceeds from divestitures for the year ended December 31, 2023 are primarily from the sale of our 21% non-operated/UJI in the Keyera Fort Saskatchewan facility in February 2023. See Note 7 to our Consolidated Financial Statements for additional information.</w:t>
      </w:r>
    </w:p>
    <w:p>
      <w:pPr>
        <w:spacing w:after="0" w:line="222"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1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debt maturities, as well as short-term working capital (including borrowings for NYMEX and ICE margin deposits) and hedged inventory borrowings related to our NGL business and contango market activities.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Arrangements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PAA had net repayments under its commercial paper program of $40 million. The net repayments resulted primarily from cash flow from operating activities and proceeds from the issuance of $650 million, 5.70% senior notes in June 2024, which offset borrowings during the year related to funding needs for capital investments, inventory purchases, repayment of $750 million, 3.60% senior notes due November 2024 and other general partnership purposes.</w:t>
      </w:r>
    </w:p>
    <w:p>
      <w:pPr>
        <w:spacing w:after="0" w:line="20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PAA had net borrowings under the PAA commercial paper program of $433 million. The net borrowings resulted primarily from borrowings during the year related to funding needs for capital investments, inventory purchases and other general partnership purposes.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4"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Issuances of PAA Senior Notes. </w:t>
      </w:r>
      <w:r>
        <w:rPr>
          <w:rFonts w:ascii="Times New Roman" w:cs="Times New Roman" w:eastAsia="Times New Roman" w:hAnsi="Times New Roman"/>
          <w:sz w:val="18"/>
          <w:szCs w:val="18"/>
          <w:color w:val="auto"/>
        </w:rPr>
        <w:t>PAA did not issue any senior unsecured notes during 2023. During 2024, PAA issued senior unsecured notes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summarized in the table below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vMerge w:val="restart"/>
          </w:tcPr>
          <w:p>
            <w:pPr>
              <w:spacing w:after="0"/>
              <w:rPr>
                <w:sz w:val="13"/>
                <w:szCs w:val="13"/>
                <w:color w:val="auto"/>
              </w:rPr>
            </w:pPr>
          </w:p>
        </w:tc>
        <w:tc>
          <w:tcPr>
            <w:tcW w:w="4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180" w:type="dxa"/>
            <w:vAlign w:val="bottom"/>
            <w:gridSpan w:val="2"/>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2"/>
              <w:spacing w:after="0" w:line="202" w:lineRule="exact"/>
              <w:rPr>
                <w:sz w:val="20"/>
                <w:szCs w:val="20"/>
                <w:color w:val="auto"/>
              </w:rPr>
            </w:pPr>
            <w:r>
              <w:rPr>
                <w:rFonts w:ascii="Times New Roman" w:cs="Times New Roman" w:eastAsia="Times New Roman" w:hAnsi="Times New Roman"/>
                <w:sz w:val="14"/>
                <w:szCs w:val="14"/>
                <w:b w:val="1"/>
                <w:bCs w:val="1"/>
                <w:color w:val="auto"/>
                <w:w w:val="97"/>
              </w:rPr>
              <w:t>Proceeds</w:t>
            </w:r>
            <w:r>
              <w:rPr>
                <w:rFonts w:ascii="Times New Roman" w:cs="Times New Roman" w:eastAsia="Times New Roman" w:hAnsi="Times New Roman"/>
                <w:sz w:val="18"/>
                <w:szCs w:val="18"/>
                <w:b w:val="1"/>
                <w:bCs w:val="1"/>
                <w:color w:val="auto"/>
                <w:w w:val="97"/>
                <w:vertAlign w:val="superscript"/>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2"/>
              <w:spacing w:after="0" w:line="202" w:lineRule="exact"/>
              <w:rPr>
                <w:sz w:val="20"/>
                <w:szCs w:val="20"/>
                <w:color w:val="auto"/>
              </w:rPr>
            </w:pPr>
            <w:r>
              <w:rPr>
                <w:rFonts w:ascii="Times New Roman" w:cs="Times New Roman" w:eastAsia="Times New Roman" w:hAnsi="Times New Roman"/>
                <w:sz w:val="14"/>
                <w:szCs w:val="14"/>
                <w:b w:val="1"/>
                <w:bCs w:val="1"/>
                <w:color w:val="auto"/>
                <w:w w:val="97"/>
              </w:rPr>
              <w:t>Proceeds</w:t>
            </w:r>
            <w:r>
              <w:rPr>
                <w:rFonts w:ascii="Times New Roman" w:cs="Times New Roman" w:eastAsia="Times New Roman" w:hAnsi="Times New Roman"/>
                <w:sz w:val="18"/>
                <w:szCs w:val="18"/>
                <w:b w:val="1"/>
                <w:bCs w:val="1"/>
                <w:color w:val="auto"/>
                <w:w w:val="97"/>
                <w:vertAlign w:val="superscript"/>
              </w:rPr>
              <w:t>(2)</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5.70% PAA Senior Notes issued at 99.953% of face value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shd w:val="clear" w:color="auto" w:fill="CCEEFF"/>
          </w:tcPr>
          <w:p>
            <w:pPr>
              <w:jc w:val="right"/>
              <w:ind w:right="122"/>
              <w:spacing w:after="0" w:line="130" w:lineRule="exact"/>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4599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7"/>
          <w:szCs w:val="17"/>
          <w:color w:val="auto"/>
        </w:rPr>
        <w:t>Face value of notes less the applicable premium or discount (before deducting for initial purchaser discounts, commissions and offering expenses).</w:t>
      </w:r>
    </w:p>
    <w:p>
      <w:pPr>
        <w:spacing w:after="0" w:line="129"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8"/>
          <w:szCs w:val="18"/>
          <w:color w:val="auto"/>
        </w:rPr>
        <w:t>Face value of notes less the applicable premium or discount, initial purchaser discounts, commissions and offering expenses.</w:t>
      </w:r>
    </w:p>
    <w:p>
      <w:pPr>
        <w:spacing w:after="0" w:line="117"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8"/>
          <w:szCs w:val="18"/>
          <w:color w:val="auto"/>
        </w:rPr>
        <w:t>PAA used the net proceeds from the offering, along with other cash on hand, to repay on November 1, 2024 the principal amount of its</w:t>
      </w:r>
    </w:p>
    <w:p>
      <w:pPr>
        <w:spacing w:after="0" w:line="27" w:lineRule="exact"/>
        <w:rPr>
          <w:sz w:val="20"/>
          <w:szCs w:val="20"/>
          <w:color w:val="auto"/>
        </w:rPr>
      </w:pPr>
    </w:p>
    <w:p>
      <w:pPr>
        <w:ind w:left="328" w:right="60"/>
        <w:spacing w:after="0" w:line="260" w:lineRule="auto"/>
        <w:rPr>
          <w:sz w:val="20"/>
          <w:szCs w:val="20"/>
          <w:color w:val="auto"/>
        </w:rPr>
      </w:pPr>
      <w:r>
        <w:rPr>
          <w:rFonts w:ascii="Times New Roman" w:cs="Times New Roman" w:eastAsia="Times New Roman" w:hAnsi="Times New Roman"/>
          <w:sz w:val="18"/>
          <w:szCs w:val="18"/>
          <w:color w:val="auto"/>
        </w:rPr>
        <w:t>$750 million, 3.60% senior notes due November 2024. Prior to such repayment, PAA used a portion of the net proceeds from the offering to repay outstanding borrowings under its commercial paper program and for general partnership purposes.</w:t>
      </w:r>
    </w:p>
    <w:p>
      <w:pPr>
        <w:spacing w:after="0" w:line="208" w:lineRule="exact"/>
        <w:rPr>
          <w:sz w:val="20"/>
          <w:szCs w:val="20"/>
          <w:color w:val="auto"/>
        </w:rPr>
      </w:pPr>
    </w:p>
    <w:p>
      <w:pPr>
        <w:ind w:left="8" w:right="100" w:firstLine="648"/>
        <w:spacing w:after="0" w:line="270" w:lineRule="auto"/>
        <w:rPr>
          <w:sz w:val="20"/>
          <w:szCs w:val="20"/>
          <w:color w:val="auto"/>
        </w:rPr>
      </w:pPr>
      <w:r>
        <w:rPr>
          <w:rFonts w:ascii="Times New Roman" w:cs="Times New Roman" w:eastAsia="Times New Roman" w:hAnsi="Times New Roman"/>
          <w:sz w:val="17"/>
          <w:szCs w:val="17"/>
          <w:color w:val="auto"/>
        </w:rPr>
        <w:t>In January 2025, PAA also completed the offering of $1 billion, 5.95% senior notes due June 2035 at a public offering price of 99.761%. Interest payments are due on June 15 and December 15 of each year, commencing on June 15, 2025. PAA used the net proceeds from this offering of approximately $988 million, after deducting the underwriting discount and offering expenses, to (i) fund the acquisitions completed during the first quarter of 2025, (ii) fund the repurchase in January 2025 of 12.7 million PAA Series A preferred units, including accrued and unpaid distributions and</w:t>
      </w:r>
    </w:p>
    <w:p>
      <w:pPr>
        <w:spacing w:after="0" w:line="3" w:lineRule="exact"/>
        <w:rPr>
          <w:sz w:val="20"/>
          <w:szCs w:val="20"/>
          <w:color w:val="auto"/>
        </w:rPr>
      </w:pPr>
    </w:p>
    <w:p>
      <w:pPr>
        <w:jc w:val="both"/>
        <w:ind w:left="8" w:right="140" w:hanging="8"/>
        <w:spacing w:after="0" w:line="255" w:lineRule="auto"/>
        <w:tabs>
          <w:tab w:leader="none" w:pos="32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outstanding borrowings under its credit facilities and commercial paper program, and, pending such uses, for general partnership purposes. See Note 7 and Note 11 to our Consolidated Financial Statements for additional information regarding our recently completed acquisitions and PAA’s Series A preferred units, respectively.</w:t>
      </w:r>
    </w:p>
    <w:p>
      <w:pPr>
        <w:spacing w:after="0" w:line="200" w:lineRule="exact"/>
        <w:rPr>
          <w:sz w:val="20"/>
          <w:szCs w:val="20"/>
          <w:color w:val="auto"/>
        </w:rPr>
      </w:pPr>
    </w:p>
    <w:p>
      <w:pPr>
        <w:sectPr>
          <w:pgSz w:w="11900" w:h="16838" w:orient="portrait"/>
          <w:cols w:equalWidth="0" w:num="2">
            <w:col w:w="140" w:space="192"/>
            <w:col w:w="10908"/>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Repayments of PAA Senior Notes. </w:t>
      </w:r>
      <w:r>
        <w:rPr>
          <w:rFonts w:ascii="Times New Roman" w:cs="Times New Roman" w:eastAsia="Times New Roman" w:hAnsi="Times New Roman"/>
          <w:sz w:val="18"/>
          <w:szCs w:val="18"/>
          <w:color w:val="auto"/>
        </w:rPr>
        <w:t>During 2024 and 2023, PAA repaid the following senior unsecured notes in full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80" w:type="dxa"/>
            <w:vAlign w:val="bottom"/>
          </w:tcPr>
          <w:p>
            <w:pPr>
              <w:spacing w:after="0"/>
              <w:rPr>
                <w:sz w:val="16"/>
                <w:szCs w:val="16"/>
                <w:color w:val="auto"/>
              </w:rPr>
            </w:pPr>
          </w:p>
        </w:tc>
        <w:tc>
          <w:tcPr>
            <w:tcW w:w="404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1"/>
                <w:szCs w:val="11"/>
                <w:color w:val="auto"/>
              </w:rPr>
            </w:pPr>
          </w:p>
        </w:tc>
        <w:tc>
          <w:tcPr>
            <w:tcW w:w="552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$750 million 3.60% PAA Senior Notes due November 2024</w:t>
            </w:r>
          </w:p>
        </w:tc>
        <w:tc>
          <w:tcPr>
            <w:tcW w:w="2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2024</w:t>
            </w:r>
          </w:p>
        </w:tc>
        <w:tc>
          <w:tcPr>
            <w:tcW w:w="620" w:type="dxa"/>
            <w:vAlign w:val="bottom"/>
            <w:shd w:val="clear" w:color="auto" w:fill="CCEEFF"/>
          </w:tcPr>
          <w:p>
            <w:pPr>
              <w:jc w:val="right"/>
              <w:ind w:right="322"/>
              <w:spacing w:after="0" w:line="130"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2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520" w:type="dxa"/>
            <w:vAlign w:val="bottom"/>
            <w:gridSpan w:val="3"/>
            <w:vMerge w:val="continue"/>
            <w:shd w:val="clear" w:color="auto" w:fill="CCEEFF"/>
          </w:tcPr>
          <w:p>
            <w:pPr>
              <w:spacing w:after="0"/>
              <w:rPr>
                <w:sz w:val="8"/>
                <w:szCs w:val="8"/>
                <w:color w:val="auto"/>
              </w:rPr>
            </w:pPr>
          </w:p>
        </w:tc>
        <w:tc>
          <w:tcPr>
            <w:tcW w:w="2680" w:type="dxa"/>
            <w:vAlign w:val="bottom"/>
            <w:vMerge w:val="continue"/>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2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CCEEFF"/>
          </w:tcPr>
          <w:p>
            <w:pPr>
              <w:spacing w:after="0"/>
              <w:rPr>
                <w:sz w:val="13"/>
                <w:szCs w:val="13"/>
                <w:color w:val="auto"/>
              </w:rPr>
            </w:pPr>
          </w:p>
        </w:tc>
        <w:tc>
          <w:tcPr>
            <w:tcW w:w="5520" w:type="dxa"/>
            <w:vAlign w:val="bottom"/>
            <w:gridSpan w:val="3"/>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$700 million 3.85% PAA Senior Notes due October 2023</w:t>
            </w:r>
          </w:p>
        </w:tc>
        <w:tc>
          <w:tcPr>
            <w:tcW w:w="2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62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2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520" w:type="dxa"/>
            <w:vAlign w:val="bottom"/>
            <w:gridSpan w:val="3"/>
            <w:vMerge w:val="continue"/>
            <w:shd w:val="clear" w:color="auto" w:fill="CCEEFF"/>
          </w:tcPr>
          <w:p>
            <w:pPr>
              <w:spacing w:after="0"/>
              <w:rPr>
                <w:sz w:val="6"/>
                <w:szCs w:val="6"/>
                <w:color w:val="auto"/>
              </w:rPr>
            </w:pPr>
          </w:p>
        </w:tc>
        <w:tc>
          <w:tcPr>
            <w:tcW w:w="268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2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CCEEFF"/>
          </w:tcPr>
          <w:p>
            <w:pPr>
              <w:spacing w:after="0"/>
              <w:rPr>
                <w:sz w:val="13"/>
                <w:szCs w:val="13"/>
                <w:color w:val="auto"/>
              </w:rPr>
            </w:pPr>
          </w:p>
        </w:tc>
        <w:tc>
          <w:tcPr>
            <w:tcW w:w="552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$400 million 2.85% PAA Senior Notes due January 2023</w:t>
            </w:r>
          </w:p>
        </w:tc>
        <w:tc>
          <w:tcPr>
            <w:tcW w:w="2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2023</w:t>
            </w:r>
          </w:p>
        </w:tc>
        <w:tc>
          <w:tcPr>
            <w:tcW w:w="62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2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520" w:type="dxa"/>
            <w:vAlign w:val="bottom"/>
            <w:gridSpan w:val="3"/>
            <w:vMerge w:val="continue"/>
            <w:shd w:val="clear" w:color="auto" w:fill="CCEEFF"/>
          </w:tcPr>
          <w:p>
            <w:pPr>
              <w:spacing w:after="0"/>
              <w:rPr>
                <w:sz w:val="6"/>
                <w:szCs w:val="6"/>
                <w:color w:val="auto"/>
              </w:rPr>
            </w:pPr>
          </w:p>
        </w:tc>
        <w:tc>
          <w:tcPr>
            <w:tcW w:w="268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left="20" w:right="60" w:hanging="11"/>
        <w:spacing w:after="0" w:line="282" w:lineRule="auto"/>
        <w:rPr>
          <w:sz w:val="20"/>
          <w:szCs w:val="20"/>
          <w:color w:val="auto"/>
        </w:rPr>
      </w:pPr>
      <w:r>
        <w:rPr>
          <w:rFonts w:ascii="Times New Roman" w:cs="Times New Roman" w:eastAsia="Times New Roman" w:hAnsi="Times New Roman"/>
          <w:sz w:val="18"/>
          <w:szCs w:val="18"/>
          <w:color w:val="auto"/>
        </w:rPr>
        <w:t>PAA repaid these senior notes with proceeds from its 5.70% senior notes issued in June 2024, cash on hand. and borrowings under its commercial paper program.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 repaid these senior notes with cash on hand and borrowings under its commercial paper program.</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00"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spacing w:after="0" w:line="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PAGP Registration Statements. </w:t>
      </w:r>
      <w:r>
        <w:rPr>
          <w:rFonts w:ascii="Times New Roman" w:cs="Times New Roman" w:eastAsia="Times New Roman" w:hAnsi="Times New Roman"/>
          <w:sz w:val="18"/>
          <w:szCs w:val="18"/>
          <w:color w:val="auto"/>
        </w:rPr>
        <w:t>We have filed with the SEC a shelf registration statement that, subject to effectiveness at the time of use, allows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up to a specified amount of equity securities (“PAGP Traditional Shelf”). At December 31, 2024, we had approximately $939 million of unsold securities available under the PAGP Traditional Shelf. We also have access to a universal shelf registration statement (“PAGP WKSI Shelf”), which provides us with the ability to offer and sell an unlimited amount of equity securities, subject to market conditions and its capital needs.</w:t>
      </w:r>
    </w:p>
    <w:p>
      <w:pPr>
        <w:spacing w:after="0" w:line="207"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PAA Registration Statements</w:t>
      </w:r>
      <w:r>
        <w:rPr>
          <w:rFonts w:ascii="Times New Roman" w:cs="Times New Roman" w:eastAsia="Times New Roman" w:hAnsi="Times New Roman"/>
          <w:sz w:val="17"/>
          <w:szCs w:val="17"/>
          <w:color w:val="auto"/>
        </w:rPr>
        <w:t>. PAA periodically accesses the capital markets for both equity and debt financing. PAA has filed with the SEC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universal shelf registration statement that, subject to effectiveness at the time of use, allows PAA to issue up to a specified amount of debt or equity securities (“PAA Traditional Shelf”), under which PAA had approximately $1.1 billion of unsold securities available at December 31, 2024. PAA did not conduct any offering under its Traditional Shelf during the year 2024. PAA also has access to a universal shelf registration statement (“PAA WKSI Shelf”), which provides it with the ability to offer and sell an unlimited amount of debt and equity securities, subject to market conditions and capital needs. The offerings of $650 million, 5.70% senior notes in June 2024 and $1 billion, 5.95% senior notes in January 2025 were conducted under its WKSI Shelf.</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PAA’s common units and/or our Class A shares via open market purchases or negotiated transactions conducted in accordance with applicable regulatory requirements. Ultimately, the amount, timing and pace of potential repurchase activity will be determined by a number of factors, including market conditions, PAA’s financial performance and flexibility, PAA’s actual and expected free cash flow after distributions, the absolute and relative equity prices of PAA’s common units and our Class A shares, and the extent to which PAA is positioned to achieve and maintain its targeted leverage ratio. No time limit has been set for completion of the Program, and the Program may be suspended or discontinued at any time. The Program does not obligate PAA or us to acquire a particular number of common units or Class A shares. Any PAA common units or Class A shares that are repurchased will be canceled.</w:t>
      </w:r>
    </w:p>
    <w:p>
      <w:pPr>
        <w:spacing w:after="0" w:line="21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were no repurchases under the Program during the years ended December 31, 2024 and 2023. The remaining available capacity under the Program as of December 31, 2024 was $198 million.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Preferred Unit Repurchase</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January 31, 2025, PAA repurchased 12.7 million units, or 18%, of its outstanding Series A preferred units at the issue price of $26.25 per unit for a purchase price of approximately $333 million, plus accrued and unpaid distributions through January 30, 2025 of approximately $10 million. PAA used a portion of the net proceeds from its January 2025 senior notes offering to fund this repurchase. See Note 11 to our Consolidated Financial Statements for more information regarding PAA’s Series A preferred units.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Class A Shareholders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distribute 100% of our available cash to our Class A shareholders of record within 55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among other things,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 —Cash Distribution Policy” for additional discussion regarding distributions.</w:t>
      </w:r>
    </w:p>
    <w:p>
      <w:pPr>
        <w:spacing w:after="0" w:line="21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On February 14, 2025, we paid a quarterly distribution of $0.38 per Class A share ($1.52 per Class A share on an annualized basis). The distribution was paid to Class A shareholders of record as of January 31, 2025, with respect to the quarter ended December 31, 2024. See Note 11 to our Consolidated Financial Statements for details of distributions paid during the three years ended December 31, 2024.</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December 31, 2024,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the Permian JV, (iv) a 30% interest in Cactus II and (v) a 33% interest in Red River. See Note 11 to our Consolidated Financial Statements for details of distributions paid to noncontrolling interests during the three years ended December 31, 2024.</w:t>
      </w:r>
    </w:p>
    <w:p>
      <w:pPr>
        <w:spacing w:after="0" w:line="208"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Distributions to PAA’s Series A preferred unitholders. </w:t>
      </w:r>
      <w:r>
        <w:rPr>
          <w:rFonts w:ascii="Times New Roman" w:cs="Times New Roman" w:eastAsia="Times New Roman" w:hAnsi="Times New Roman"/>
          <w:sz w:val="18"/>
          <w:szCs w:val="18"/>
          <w:color w:val="auto"/>
        </w:rPr>
        <w:t>Holders of PAA’s Series A preferred units are entitled to receive quarterly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customary anti-dilution adjustments, of $0.615 per unit ($2.46 per unit annualized).</w:t>
      </w:r>
    </w:p>
    <w:p>
      <w:pPr>
        <w:spacing w:after="0" w:line="15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Distributions to PAA’s Series B preferred unitholders. </w:t>
      </w:r>
      <w:r>
        <w:rPr>
          <w:rFonts w:ascii="Times New Roman" w:cs="Times New Roman" w:eastAsia="Times New Roman" w:hAnsi="Times New Roman"/>
          <w:sz w:val="18"/>
          <w:szCs w:val="18"/>
          <w:color w:val="auto"/>
        </w:rPr>
        <w:t>Holders of PAA’s Series B preferred units are entitled to receive, when, as and if declared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PAA’s general partner out of legally available funds for such purpose, cumulative cash distributions, as applicable. Distributions on the Series B preferred units accumulate based on the applicable three-month SOFR, plus a credit spread adjustment of 0.26161%, plus 4.11% per annum. The distribution rate for the quarterly distribution paid on February 18, 2025 was 8.89507% per annum ($22.73 per Series B preferred unit).</w:t>
      </w:r>
    </w:p>
    <w:p>
      <w:pPr>
        <w:spacing w:after="0" w:line="20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PAA’s common unitholders. </w:t>
      </w:r>
      <w:r>
        <w:rPr>
          <w:rFonts w:ascii="Times New Roman" w:cs="Times New Roman" w:eastAsia="Times New Roman" w:hAnsi="Times New Roman"/>
          <w:sz w:val="18"/>
          <w:szCs w:val="18"/>
          <w:color w:val="auto"/>
        </w:rPr>
        <w:t>On February 14, 2025, PAA paid a quarterly distribution of $0.38 per common unit ($1.52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 on an annualized basis). The total distribution of $267 million was paid to common unitholders of record as of January 31, 2025, with respect to the quarter ended December 31, 2024.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11 to our Consolidated Financial Statements for details of distributions paid during the three years ended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18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See Note 10 to our Consolidated Financial Statements for information regarding our debt obligations and Note 18 for information regarding our leases and other commitments.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doing business, we purchase crude oil and NGL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December 31, 2024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200" w:type="dxa"/>
            <w:vAlign w:val="bottom"/>
          </w:tcPr>
          <w:p>
            <w:pPr>
              <w:spacing w:after="0"/>
              <w:rPr>
                <w:sz w:val="13"/>
                <w:szCs w:val="13"/>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NGL and other purchases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26,360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118,196</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120" w:hanging="652"/>
        <w:spacing w:after="0" w:line="235" w:lineRule="auto"/>
        <w:tabs>
          <w:tab w:leader="none" w:pos="64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December 2024.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2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2024 and 2023, we had outstanding letters of credit of approximately $90 million and $205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as defined by Item 303 of Regulation 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256"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18"/>
          <w:szCs w:val="18"/>
          <w:color w:val="auto"/>
        </w:rPr>
        <w:t>We have invested in entities that are not consolidated in our financial statements. None of these entities had debt outstanding as of December 31, 2024. We may elect at any time to make additional capital contributions to any of these entities. The following table sets forth selected information regarding these entities as of December 31, 2024 (unaudited, dollars in millions):</w:t>
      </w:r>
    </w:p>
    <w:tbl>
      <w:tblPr>
        <w:tblLayout w:type="fixed"/>
        <w:tblInd w:w="0" w:type="dxa"/>
        <w:tblCellMar>
          <w:top w:w="0" w:type="dxa"/>
          <w:left w:w="0" w:type="dxa"/>
          <w:bottom w:w="0" w:type="dxa"/>
          <w:right w:w="0" w:type="dxa"/>
        </w:tblCellMar>
      </w:tblPr>
      <w:tr>
        <w:trPr>
          <w:trHeight w:val="150"/>
        </w:trPr>
        <w:tc>
          <w:tcPr>
            <w:tcW w:w="5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Our</w:t>
            </w:r>
          </w:p>
        </w:tc>
        <w:tc>
          <w:tcPr>
            <w:tcW w:w="26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000" w:type="dxa"/>
            <w:vAlign w:val="bottom"/>
          </w:tcPr>
          <w:p>
            <w:pPr>
              <w:jc w:val="center"/>
              <w:ind w:right="96"/>
              <w:spacing w:after="0" w:line="150" w:lineRule="exact"/>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6"/>
        </w:trPr>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60" w:type="dxa"/>
            <w:vAlign w:val="bottom"/>
          </w:tcPr>
          <w:p>
            <w:pPr>
              <w:spacing w:after="0"/>
              <w:rPr>
                <w:sz w:val="12"/>
                <w:szCs w:val="12"/>
                <w:color w:val="auto"/>
              </w:rPr>
            </w:pPr>
          </w:p>
        </w:tc>
        <w:tc>
          <w:tcPr>
            <w:tcW w:w="104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Entity</w:t>
            </w:r>
          </w:p>
        </w:tc>
        <w:tc>
          <w:tcPr>
            <w:tcW w:w="180" w:type="dxa"/>
            <w:vAlign w:val="bottom"/>
          </w:tcPr>
          <w:p>
            <w:pPr>
              <w:spacing w:after="0"/>
              <w:rPr>
                <w:sz w:val="12"/>
                <w:szCs w:val="12"/>
                <w:color w:val="auto"/>
              </w:rPr>
            </w:pPr>
          </w:p>
        </w:tc>
        <w:tc>
          <w:tcPr>
            <w:tcW w:w="1000" w:type="dxa"/>
            <w:vAlign w:val="bottom"/>
          </w:tcPr>
          <w:p>
            <w:pPr>
              <w:jc w:val="center"/>
              <w:ind w:right="96"/>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8"/>
        </w:trPr>
        <w:tc>
          <w:tcPr>
            <w:tcW w:w="520" w:type="dxa"/>
            <w:vAlign w:val="bottom"/>
            <w:vMerge w:val="continue"/>
          </w:tcPr>
          <w:p>
            <w:pPr>
              <w:spacing w:after="0"/>
              <w:rPr>
                <w:sz w:val="17"/>
                <w:szCs w:val="17"/>
                <w:color w:val="auto"/>
              </w:rPr>
            </w:pPr>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7"/>
                <w:szCs w:val="17"/>
                <w:color w:val="auto"/>
              </w:rPr>
            </w:pPr>
          </w:p>
        </w:tc>
        <w:tc>
          <w:tcPr>
            <w:tcW w:w="10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228"/>
        </w:trPr>
        <w:tc>
          <w:tcPr>
            <w:tcW w:w="40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3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Capline Pipeline Company LLC</w:t>
            </w: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 Pipeline LLC</w:t>
            </w:r>
          </w:p>
        </w:tc>
        <w:tc>
          <w:tcPr>
            <w:tcW w:w="328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 xml:space="preserve">Crude Oil Pipeline </w:t>
            </w:r>
            <w:r>
              <w:rPr>
                <w:rFonts w:ascii="Times New Roman" w:cs="Times New Roman" w:eastAsia="Times New Roman" w:hAnsi="Times New Roman"/>
                <w:sz w:val="23"/>
                <w:szCs w:val="23"/>
                <w:color w:val="auto"/>
                <w:w w:val="97"/>
                <w:vertAlign w:val="superscript"/>
              </w:rPr>
              <w:t>(1)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Eagle Ford Pipeline LLC</w:t>
            </w:r>
          </w:p>
        </w:tc>
        <w:tc>
          <w:tcPr>
            <w:tcW w:w="328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 xml:space="preserve">Crude Oil Pipeline </w:t>
            </w:r>
            <w:r>
              <w:rPr>
                <w:rFonts w:ascii="Times New Roman" w:cs="Times New Roman" w:eastAsia="Times New Roman" w:hAnsi="Times New Roman"/>
                <w:sz w:val="23"/>
                <w:szCs w:val="23"/>
                <w:color w:val="auto"/>
                <w:w w:val="97"/>
                <w:vertAlign w:val="superscript"/>
              </w:rPr>
              <w:t>(1)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328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Terminal and Dock </w:t>
            </w:r>
            <w:r>
              <w:rPr>
                <w:rFonts w:ascii="Times New Roman" w:cs="Times New Roman" w:eastAsia="Times New Roman" w:hAnsi="Times New Roman"/>
                <w:sz w:val="23"/>
                <w:szCs w:val="23"/>
                <w:color w:val="auto"/>
                <w:w w:val="96"/>
                <w:vertAlign w:val="superscript"/>
              </w:rPr>
              <w:t>(1)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Saddlehorn Pipeline Company, LLC</w:t>
            </w: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 Cliffs Pipeline, L.L.C.</w:t>
            </w:r>
          </w:p>
        </w:tc>
        <w:tc>
          <w:tcPr>
            <w:tcW w:w="3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Wink to Webster Pipeline LLC</w:t>
            </w: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5"/>
        </w:trPr>
        <w:tc>
          <w:tcPr>
            <w:tcW w:w="5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3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We serve as operator of the asset.</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3660" w:type="dxa"/>
            <w:vAlign w:val="bottom"/>
            <w:gridSpan w:val="3"/>
            <w:vMerge w:val="continue"/>
          </w:tcPr>
          <w:p>
            <w:pPr>
              <w:spacing w:after="0"/>
              <w:rPr>
                <w:sz w:val="7"/>
                <w:szCs w:val="7"/>
                <w:color w:val="auto"/>
              </w:rPr>
            </w:pPr>
          </w:p>
        </w:tc>
        <w:tc>
          <w:tcPr>
            <w:tcW w:w="3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Assets and Liabilities Acquired and Identification of Associated Goodwill and Intangible Assets. </w:t>
      </w:r>
      <w:r>
        <w:rPr>
          <w:rFonts w:ascii="Times New Roman" w:cs="Times New Roman" w:eastAsia="Times New Roman" w:hAnsi="Times New Roman"/>
          <w:sz w:val="18"/>
          <w:szCs w:val="18"/>
          <w:color w:val="auto"/>
        </w:rPr>
        <w:t>In accordance with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203"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In the third quarter of 2023, our Permian JV acquired the remaining 43% interest in OMOG JV Holdings LLC (“OMOG”) and certain gathering assets in the Southern Delaware basin from Rattler Midstream Operating LLC.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200"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7"/>
          <w:szCs w:val="17"/>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of the purchase price. We and Enbridge are now the sole owners of Cactus II, with 70% and 30% respective ownership interests.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9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Value of Derivatives. </w:t>
      </w:r>
      <w:r>
        <w:rPr>
          <w:rFonts w:ascii="Times New Roman" w:cs="Times New Roman" w:eastAsia="Times New Roman" w:hAnsi="Times New Roman"/>
          <w:sz w:val="18"/>
          <w:szCs w:val="18"/>
          <w:color w:val="auto"/>
        </w:rPr>
        <w:t>The fair value of a derivative at a particular period end does not reflect the end results of a particular transaction,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most likely not reflect the gain or loss at the conclusion of a transaction. We reflect estimates for these items based on our internal records and information from third parties. We have commodity derivatives and interest rate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Accruals and Contingent Liabilities. </w:t>
      </w:r>
      <w:r>
        <w:rPr>
          <w:rFonts w:ascii="Times New Roman" w:cs="Times New Roman" w:eastAsia="Times New Roman" w:hAnsi="Times New Roman"/>
          <w:sz w:val="18"/>
          <w:szCs w:val="18"/>
          <w:color w:val="auto"/>
        </w:rPr>
        <w:t>We record accruals or liabilities for, among other things, environmental remediation, potential legal claims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w:t>
      </w:r>
    </w:p>
    <w:p>
      <w:pPr>
        <w:spacing w:after="0" w:line="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$13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0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Depreciation and Amortization Expense and Asset Retirement Obligations. </w:t>
      </w:r>
      <w:r>
        <w:rPr>
          <w:rFonts w:ascii="Times New Roman" w:cs="Times New Roman" w:eastAsia="Times New Roman" w:hAnsi="Times New Roman"/>
          <w:sz w:val="18"/>
          <w:szCs w:val="18"/>
          <w:color w:val="auto"/>
        </w:rPr>
        <w:t>We compute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21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$7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16"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See Note 6 and Note 9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spacing w:after="0" w:line="16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Assessments of Property and Equipment, Investments in Unconsolidated Entities and Intangible Assets. </w:t>
      </w:r>
      <w:r>
        <w:rPr>
          <w:rFonts w:ascii="Times New Roman" w:cs="Times New Roman" w:eastAsia="Times New Roman" w:hAnsi="Times New Roman"/>
          <w:sz w:val="18"/>
          <w:szCs w:val="18"/>
          <w:color w:val="auto"/>
        </w:rPr>
        <w:t>We periodically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212"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event or circumstance that may be indicative of an impairment;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grouping of assets;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of “holding”, “abandoning” or “selling” an asset;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 of undiscounted expected future cash flow over the asset’s estimated useful life;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impairment exists, the fair value of the asset or asset group.</w:t>
      </w:r>
    </w:p>
    <w:p>
      <w:pPr>
        <w:spacing w:after="0" w:line="25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addition, when we evaluate property and equipment and other long-lived assets for recoverability, it may also be necessary to review related depreciation estimates and methods.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214"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event or circumstance that may be indicative of a decline in value of the investment;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decline in value is other than temporary;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w:t>
      </w:r>
    </w:p>
    <w:p>
      <w:pPr>
        <w:spacing w:after="0" w:line="25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219"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A change in our outlook or use could result in impairments that may be material to our results of operations or financial condition. See “— Executive Summary— Market Overview and Outlook” and Note 6, Note 8 and Note 9 to our Consolidated Financial Statements for additional information.</w:t>
      </w:r>
    </w:p>
    <w:p>
      <w:pPr>
        <w:spacing w:after="0" w:line="16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Inventory Valuations. </w:t>
      </w:r>
      <w:r>
        <w:rPr>
          <w:rFonts w:ascii="Times New Roman" w:cs="Times New Roman" w:eastAsia="Times New Roman" w:hAnsi="Times New Roman"/>
          <w:sz w:val="18"/>
          <w:szCs w:val="18"/>
          <w:color w:val="auto"/>
        </w:rPr>
        <w:t>Inventory, including long-term inventory, primarily consists of crude oil and NGL and is valued at the lower of cost or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2024, 2023 and 2022, we did not record any charges related to the valuation adjustment of our inventory. See Note 5 to our Consolidated Financial Statements for further discussion regarding inventory.</w:t>
      </w:r>
    </w:p>
    <w:p>
      <w:pPr>
        <w:spacing w:after="0" w:line="21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Line 901 Incident Insurance Receivable. </w:t>
      </w:r>
      <w:r>
        <w:rPr>
          <w:rFonts w:ascii="Times New Roman" w:cs="Times New Roman" w:eastAsia="Times New Roman" w:hAnsi="Times New Roman"/>
          <w:sz w:val="18"/>
          <w:szCs w:val="18"/>
          <w:color w:val="auto"/>
        </w:rPr>
        <w:t>In May 2015, we experienced a crude oil release from our Las Flores to Gaviota Pipeline (Line 901)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Santa Barbara County, California. As of December 31, 2024, we have estimated that the aggregate total costs we have incurred or will incur with respect to the Line 901 incident will be approximately $870 million, which includes actual and projected emergency response and clean-up costs, natural resource damage assessments, fines and penalties incurred, certain third-party claims settlements, and estimated costs associated with our remaining Line 901 lawsuits and claims, as well as estimates for certain legal fees and statutory interest where applicable.</w:t>
      </w:r>
    </w:p>
    <w:p>
      <w:pPr>
        <w:spacing w:after="0" w:line="21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insurance coverage, which is subject to certain exclusions and deductibles, in the event of such liabilities. In November 2022, we submitted claims to several of our insurance carriers seeking reimbursement for a payment made in October of 2022 to settle a class action lawsuit stemming from the Line 901 incident. As of December 31, 2023, we had recognized a receivable of approximately $225 million, of which we had classified $175 million as a short-term asset with the remaining $50 million recognized as a long-term asset. As of December 31, 2023, we believed that our claim for reimbursement was probable of recovery despite the ongoing arbitration proceedings. However, at that time we also noted that various factors could impact the timing and amount of recovery of our insurance receivable, including future developments that adversely impacted our assessment of the strength of our coverage claims, the outcome of any dispute resolution proceedings with respect to our coverage claims (including arbitration proceedings) and the extent to which insurers may become insolvent in the future. Due to these factors, we noted that we could not provide complete assurance that actual receivable amounts recovered would not vary significantly from our estimated amounts.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A binding arbitration hearing with respect to our insurance claim against insurers representing $175 million of our total $225 million reimbursement claim concluded in early October 2024, and the arbitration panel’s final and binding decision was returned in January 2025. The panel ruled that a substantial portion of our claims subject to the proceeding were not covered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applicable policy and therefore we were not entitled to reimbursement of our $175 million claim against the applicable insurers. With respect to our remaining $50 million claim against different insurance carriers, we now regard collection of those claims as being less than “probable.” As a result, we wrote off the entire $225 million receivable in the fourth quarter of 2024 and will recognize any future collections as and if they are received. See Note 18 to our Consolidated Financial Statements for further discussion regarding the Line 901 incident and our related insurance receivable.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for information regarding the effect of recent accounting pronouncements on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115"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119" w:lineRule="exact"/>
        <w:rPr>
          <w:rFonts w:ascii="Times New Roman" w:cs="Times New Roman" w:eastAsia="Times New Roman" w:hAnsi="Times New Roman"/>
          <w:sz w:val="13"/>
          <w:szCs w:val="13"/>
          <w:i w:val="1"/>
          <w:iCs w:val="1"/>
          <w:color w:val="auto"/>
        </w:rPr>
      </w:pPr>
    </w:p>
    <w:p>
      <w:pPr>
        <w:ind w:left="980" w:right="220"/>
        <w:spacing w:after="0" w:line="266" w:lineRule="auto"/>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65" w:lineRule="exact"/>
        <w:rPr>
          <w:rFonts w:ascii="Times New Roman" w:cs="Times New Roman" w:eastAsia="Times New Roman" w:hAnsi="Times New Roman"/>
          <w:sz w:val="13"/>
          <w:szCs w:val="13"/>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i w:val="1"/>
          <w:iCs w:val="1"/>
          <w:u w:val="single" w:color="auto"/>
          <w:color w:val="auto"/>
        </w:rPr>
        <w:t>Natural gas</w:t>
      </w:r>
    </w:p>
    <w:p>
      <w:pPr>
        <w:spacing w:after="0" w:line="119" w:lineRule="exact"/>
        <w:rPr>
          <w:rFonts w:ascii="Times New Roman" w:cs="Times New Roman" w:eastAsia="Times New Roman" w:hAnsi="Times New Roman"/>
          <w:sz w:val="13"/>
          <w:szCs w:val="13"/>
          <w:color w:val="auto"/>
        </w:rPr>
      </w:pPr>
    </w:p>
    <w:p>
      <w:pPr>
        <w:ind w:left="980" w:right="180"/>
        <w:spacing w:after="0" w:line="26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69" w:lineRule="exact"/>
        <w:rPr>
          <w:rFonts w:ascii="Times New Roman" w:cs="Times New Roman" w:eastAsia="Times New Roman" w:hAnsi="Times New Roman"/>
          <w:sz w:val="13"/>
          <w:szCs w:val="13"/>
          <w:color w:val="auto"/>
        </w:rPr>
      </w:pPr>
    </w:p>
    <w:p>
      <w:pPr>
        <w:ind w:left="980" w:hanging="324"/>
        <w:spacing w:after="0"/>
        <w:tabs>
          <w:tab w:leader="none" w:pos="9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i w:val="1"/>
          <w:iCs w:val="1"/>
          <w:u w:val="single" w:color="auto"/>
          <w:color w:val="auto"/>
        </w:rPr>
        <w:t>NGL and other</w:t>
      </w:r>
    </w:p>
    <w:p>
      <w:pPr>
        <w:spacing w:after="0" w:line="119" w:lineRule="exact"/>
        <w:rPr>
          <w:rFonts w:ascii="Times New Roman" w:cs="Times New Roman" w:eastAsia="Times New Roman" w:hAnsi="Times New Roman"/>
          <w:sz w:val="13"/>
          <w:szCs w:val="13"/>
          <w:color w:val="auto"/>
        </w:rPr>
      </w:pPr>
    </w:p>
    <w:p>
      <w:pPr>
        <w:ind w:left="980" w:right="140"/>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12 to our Consolidated Financial Statements for further discussion regarding our hedging strategies and objectives.</w:t>
      </w:r>
    </w:p>
    <w:p>
      <w:pPr>
        <w:spacing w:after="0" w:line="25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December 31, 2024 that would be expected from a 10% price increase or decrease is shown in the table below (in millions):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180" w:type="dxa"/>
            <w:vAlign w:val="bottom"/>
          </w:tcPr>
          <w:p>
            <w:pPr>
              <w:spacing w:after="0"/>
              <w:rPr>
                <w:sz w:val="13"/>
                <w:szCs w:val="13"/>
                <w:color w:val="auto"/>
              </w:rPr>
            </w:pPr>
          </w:p>
        </w:tc>
        <w:tc>
          <w:tcPr>
            <w:tcW w:w="12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December 31, 2024, approximately $393 million, was subject to interest rate resets that generally occur within one week or less. The average interest rate on variable rate debt that was outstanding during the year ended December 31, 2024 was 5.6%, based upon rates in effect during the year. The fair value of our interest rate derivatives was a net asset of $27 million as of December 31, 2024. A 10% increase in the forward SOFR curve as of December 31, 2024 would have resulted in an increase of $13 million to the fair value of our interest rate derivatives. A 10% decrease in the forward SOFR curve as of December 31, 2024 would have resulted in a decrease of $13 million to the fair value of our interest rate derivatives. See Note 12 to our Consolidated Financial Statements for a discussion of our interest rate risk hedging activities.</w:t>
      </w:r>
    </w:p>
    <w:p>
      <w:pPr>
        <w:spacing w:after="0" w:line="21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PAA’s Series B preferred units accumulate and are payable quarterly in arrears on the 15th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May, August and November. Beginning August 15, 2023, distributions on PAA’s Series B preferred units accumulate based on the applicable three-month SOFR, plus certain adjustments. Based upon the Series B preferred units outstanding at December 31, 2024 and the liquidation preference of $1,000 per unit, a change of 100 basis points in interest rates would increase or decrease the annual distributions on PAA’s Series B preferred units by approximately $8 million. See Note 11 to our Consolidated Financial Statements for additional information regarding PAA’s Series B preferred unit distributions.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the Consolidated Financial Statements” on page F-1.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2024, the end of the period covered by this report, and, based on such evaluation, our Chief Executive Officer and Chief Financial Officer have concluded that our DCP is effective.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2024. See “Management’s Report on Internal Control Over Financial Reporting” on page F-2 of our Consolidated Financial Statements.</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2024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5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5" w:name="page96"/>
    <w:bookmarkEnd w:id="95"/>
    <w:p>
      <w:pPr>
        <w:ind w:left="7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and Executive Officers of Our General Partner and Corporate Governance</w:t>
      </w:r>
    </w:p>
    <w:p>
      <w:pPr>
        <w:spacing w:after="0" w:line="256" w:lineRule="exact"/>
        <w:rPr>
          <w:sz w:val="20"/>
          <w:szCs w:val="20"/>
          <w:color w:val="auto"/>
        </w:rPr>
      </w:pPr>
    </w:p>
    <w:p>
      <w:pPr>
        <w:ind w:left="73"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185"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56"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As of the date of filing this report, the following individuals were serving as our executive officers and/or directors:</w:t>
      </w:r>
    </w:p>
    <w:p>
      <w:pPr>
        <w:spacing w:after="0" w:line="219" w:lineRule="exact"/>
        <w:rPr>
          <w:sz w:val="20"/>
          <w:szCs w:val="20"/>
          <w:color w:val="auto"/>
        </w:rPr>
      </w:pPr>
    </w:p>
    <w:tbl>
      <w:tblPr>
        <w:tblLayout w:type="fixed"/>
        <w:tblInd w:w="73" w:type="dxa"/>
        <w:tblCellMar>
          <w:top w:w="0" w:type="dxa"/>
          <w:left w:w="0" w:type="dxa"/>
          <w:bottom w:w="0" w:type="dxa"/>
          <w:right w:w="0" w:type="dxa"/>
        </w:tblCellMar>
      </w:tblPr>
      <w:tr>
        <w:trPr>
          <w:trHeight w:val="19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Occupation or Employment</w:t>
            </w:r>
          </w:p>
        </w:tc>
      </w:tr>
      <w:tr>
        <w:trPr>
          <w:trHeight w:val="2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r>
      <w:tr>
        <w:trPr>
          <w:trHeight w:val="223"/>
        </w:trPr>
        <w:tc>
          <w:tcPr>
            <w:tcW w:w="25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Willie Chiang </w:t>
            </w:r>
            <w:r>
              <w:rPr>
                <w:rFonts w:ascii="Times New Roman" w:cs="Times New Roman" w:eastAsia="Times New Roman" w:hAnsi="Times New Roman"/>
                <w:sz w:val="23"/>
                <w:szCs w:val="23"/>
                <w:color w:val="auto"/>
                <w:vertAlign w:val="superscript"/>
              </w:rPr>
              <w:t>(1)(2)</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0"/>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Harry N. Pefanis </w:t>
            </w:r>
            <w:r>
              <w:rPr>
                <w:rFonts w:ascii="Times New Roman" w:cs="Times New Roman" w:eastAsia="Times New Roman" w:hAnsi="Times New Roman"/>
                <w:sz w:val="23"/>
                <w:szCs w:val="23"/>
                <w:color w:val="auto"/>
                <w:vertAlign w:val="superscript"/>
              </w:rPr>
              <w:t>(1)(2)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Director</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Chris R. Chandler </w:t>
            </w:r>
            <w:r>
              <w:rPr>
                <w:rFonts w:ascii="Times New Roman" w:cs="Times New Roman" w:eastAsia="Times New Roman" w:hAnsi="Times New Roman"/>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 Swanson </w:t>
            </w:r>
            <w:r>
              <w:rPr>
                <w:rFonts w:ascii="Times New Roman" w:cs="Times New Roman" w:eastAsia="Times New Roman" w:hAnsi="Times New Roman"/>
                <w:sz w:val="23"/>
                <w:szCs w:val="23"/>
                <w:color w:val="auto"/>
                <w:vertAlign w:val="superscript"/>
              </w:rPr>
              <w: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Jeremy L. Goebel </w:t>
            </w:r>
            <w:r>
              <w:rPr>
                <w:rFonts w:ascii="Times New Roman" w:cs="Times New Roman" w:eastAsia="Times New Roman" w:hAnsi="Times New Roman"/>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Commercial Officer</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Richard K. McGee </w:t>
            </w:r>
            <w:r>
              <w:rPr>
                <w:rFonts w:ascii="Times New Roman" w:cs="Times New Roman" w:eastAsia="Times New Roman" w:hAnsi="Times New Roman"/>
                <w:sz w:val="23"/>
                <w:szCs w:val="23"/>
                <w:color w:val="auto"/>
                <w:vertAlign w:val="superscript"/>
              </w:rPr>
              <w: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Chris Herbold </w:t>
            </w:r>
            <w:r>
              <w:rPr>
                <w:rFonts w:ascii="Times New Roman" w:cs="Times New Roman" w:eastAsia="Times New Roman" w:hAnsi="Times New Roman"/>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 Accounting Officer</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Greg L. Armstrong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Advisor to the Chief Executive Officer (former Chairman and Chief Executive Officer)</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Victor Burk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Senior Advisor, Alvarez and Marsal</w:t>
            </w:r>
          </w:p>
        </w:tc>
      </w:tr>
      <w:tr>
        <w:trPr>
          <w:trHeight w:val="230"/>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Ellen R. DeSanctis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Senior Vice President, ConocoPhillips</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Kevin McCarthy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Vice Chairman, Kayne Anderson Capital Advisors, L.P.</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Gary R. Petersen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EnCap Investments L.P.</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Alexandra D. Pruner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Advisor, Perella Weinberg Partners</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John T. Raymond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and Chief Executive Officer, The Energy &amp; Minerals Group</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Bobby S. Shackouls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Chairman and CEO, Burlington Resources Inc.</w:t>
            </w:r>
          </w:p>
        </w:tc>
      </w:tr>
      <w:tr>
        <w:trPr>
          <w:trHeight w:val="312"/>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Lawrence M. Ziemba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170815</wp:posOffset>
            </wp:positionV>
            <wp:extent cx="22885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8" w:lineRule="exact"/>
        <w:rPr>
          <w:sz w:val="20"/>
          <w:szCs w:val="20"/>
          <w:color w:val="auto"/>
        </w:rPr>
      </w:pPr>
    </w:p>
    <w:p>
      <w:pPr>
        <w:ind w:left="353" w:hanging="353"/>
        <w:spacing w:after="0"/>
        <w:tabs>
          <w:tab w:leader="none" w:pos="353"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Executive officer (for purposes of Item 401(b) of Regulation S-K)</w:t>
      </w:r>
    </w:p>
    <w:p>
      <w:pPr>
        <w:spacing w:after="0" w:line="1" w:lineRule="exact"/>
        <w:rPr>
          <w:rFonts w:ascii="Times New Roman" w:cs="Times New Roman" w:eastAsia="Times New Roman" w:hAnsi="Times New Roman"/>
          <w:sz w:val="23"/>
          <w:szCs w:val="23"/>
          <w:color w:val="auto"/>
          <w:vertAlign w:val="superscript"/>
        </w:rPr>
      </w:pPr>
    </w:p>
    <w:p>
      <w:pPr>
        <w:ind w:left="353" w:hanging="353"/>
        <w:spacing w:after="0" w:line="194" w:lineRule="auto"/>
        <w:tabs>
          <w:tab w:leader="none" w:pos="353"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Director</w:t>
      </w:r>
    </w:p>
    <w:p>
      <w:pPr>
        <w:spacing w:after="0" w:line="223" w:lineRule="exact"/>
        <w:rPr>
          <w:sz w:val="20"/>
          <w:szCs w:val="20"/>
          <w:color w:val="auto"/>
        </w:rPr>
      </w:pPr>
    </w:p>
    <w:p>
      <w:pPr>
        <w:ind w:left="73"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 complete list of our officers, including the executive officers listed above, is available on our website at </w:t>
      </w:r>
      <w:r>
        <w:rPr>
          <w:rFonts w:ascii="Times New Roman" w:cs="Times New Roman" w:eastAsia="Times New Roman" w:hAnsi="Times New Roman"/>
          <w:sz w:val="18"/>
          <w:szCs w:val="18"/>
          <w:i w:val="1"/>
          <w:iCs w:val="1"/>
          <w:color w:val="auto"/>
        </w:rPr>
        <w:t>www.plains.com</w:t>
      </w:r>
      <w:r>
        <w:rPr>
          <w:rFonts w:ascii="Times New Roman" w:cs="Times New Roman" w:eastAsia="Times New Roman" w:hAnsi="Times New Roman"/>
          <w:sz w:val="18"/>
          <w:szCs w:val="18"/>
          <w:color w:val="auto"/>
        </w:rPr>
        <w:t xml:space="preserve"> under Who We Are— Leadership.</w:t>
      </w:r>
    </w:p>
    <w:p>
      <w:pPr>
        <w:spacing w:after="0" w:line="18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ind w:left="73"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185"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Shareholder Matters</w:t>
      </w:r>
    </w:p>
    <w:p>
      <w:pPr>
        <w:spacing w:after="0" w:line="202" w:lineRule="exact"/>
        <w:rPr>
          <w:sz w:val="20"/>
          <w:szCs w:val="20"/>
          <w:color w:val="auto"/>
        </w:rPr>
      </w:pPr>
    </w:p>
    <w:p>
      <w:pPr>
        <w:ind w:left="73"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47" w:top="126"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6" w:right="7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2" w:lineRule="exact"/>
        <w:rPr>
          <w:sz w:val="20"/>
          <w:szCs w:val="20"/>
          <w:color w:val="auto"/>
        </w:rPr>
      </w:pPr>
    </w:p>
    <w:p>
      <w:pPr>
        <w:ind w:left="580" w:hanging="248"/>
        <w:spacing w:after="0"/>
        <w:tabs>
          <w:tab w:leader="none" w:pos="5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i w:val="1"/>
          <w:i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the Consolidated Financial Statements” set forth on Page F-1.</w:t>
      </w:r>
    </w:p>
    <w:p>
      <w:pPr>
        <w:spacing w:after="0" w:line="250" w:lineRule="exact"/>
        <w:rPr>
          <w:sz w:val="20"/>
          <w:szCs w:val="20"/>
          <w:color w:val="auto"/>
        </w:rPr>
      </w:pPr>
    </w:p>
    <w:p>
      <w:pPr>
        <w:ind w:left="1040" w:hanging="384"/>
        <w:spacing w:after="0"/>
        <w:tabs>
          <w:tab w:leader="none" w:pos="10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Financial Statement Schedules</w:t>
      </w:r>
    </w:p>
    <w:p>
      <w:pPr>
        <w:spacing w:after="0" w:line="25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either not applicable or the required information is shown in the Consolidated Financial Statements or notes thereto.</w:t>
      </w:r>
    </w:p>
    <w:p>
      <w:pPr>
        <w:spacing w:after="0" w:line="187" w:lineRule="exact"/>
        <w:rPr>
          <w:sz w:val="20"/>
          <w:szCs w:val="20"/>
          <w:color w:val="auto"/>
        </w:rPr>
      </w:pPr>
    </w:p>
    <w:p>
      <w:pPr>
        <w:ind w:left="1040" w:hanging="384"/>
        <w:spacing w:after="0"/>
        <w:tabs>
          <w:tab w:leader="none" w:pos="10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Exhibits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gridSpan w:val="24"/>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10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gridSpan w:val="26"/>
          </w:tcPr>
          <w:p>
            <w:pPr>
              <w:spacing w:after="0" w:line="182"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Simplification Agreement, dated as of July 11, 2016, by and among PAA GP Holdings LLC, Plains GP Holdings, L.P., Plains All</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American GP LLC, Plains AAP, L.P., PAA GP LLC and Plains All American Pipeline, L.P. (incorporated by reference to Exhibit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2.</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FF"/>
                  <w:w w:val="98"/>
                </w:rPr>
                <w:t xml:space="preserve"> to PAA’s Current Report on Form 8-K filed July 14, 2016).</w:t>
              </w:r>
            </w:hyperlink>
          </w:p>
        </w:tc>
        <w:tc>
          <w:tcPr>
            <w:tcW w:w="4780" w:type="dxa"/>
            <w:vAlign w:val="bottom"/>
            <w:tcBorders>
              <w:top w:val="single" w:sz="8" w:color="0000FF"/>
            </w:tcBorders>
            <w:gridSpan w:val="17"/>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0000FF"/>
                </w:rPr>
                <w:t>Agreement and Plan of Merger dated as of July 12, 2021 by and among Plains Pipeline, L.P., Plains Marketing, L.P., Oryx</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gridSpan w:val="26"/>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Midstream Holdings LLC, Middle Cadence Holdings LLC, POP HoldCo LLC, Oryx Wink Oil Marketing LLC, Oryx Permian Oil</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Marketing LLC, Plains Oryx Permian Basin LLC, Plains Oryx Permian Basin Marketing LLC and Plains Oryx Permian Basin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Pipeline LLC (incorporated by reference to Exhibit 2.1 to our Current Report on Form 8-K filed July 13,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color w:val="0000FF"/>
                </w:rPr>
                <w:t>Seventh Amended and Restated Agreement of Limited Partnership of Plains All American Pipeline, L.P. dated as of October 10,</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2017 (incorporated by reference to Exhibit 3.1 to PAA’s Current Report on Form 8-K filed October 12, 2017).</w:t>
              </w:r>
            </w:hyperlink>
          </w:p>
        </w:tc>
        <w:tc>
          <w:tcPr>
            <w:tcW w:w="13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color w:val="0000FF"/>
                </w:rPr>
                <w:t>Seventh Amended and Restated Limited Liability Company Agreement of Plains All American GP LLC dated November 15, 2016</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(incorporated by reference to Exhibit 3.3 to our Current Report on Form 8-K filed November 21, 2016).</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color w:val="0000FF"/>
                </w:rPr>
                <w:t>Eighth Amended and Restated Limited Partnership Agreement of Plains AAP, L.P. dated November 15, 2016 (incorporated by</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color w:val="0000FF"/>
                </w:rPr>
                <w:t>Amendment No. 1 dated September 26, 2018 to the Eighth Amended and Restated Limited Partnership Agreement of Plains AAP,</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L.P. (incorporated by reference to Exhibit 3.1 to our Current Report on Form 8-K filed October 2, 2018).</w:t>
              </w:r>
            </w:hyperlink>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color w:val="0000FF"/>
                </w:rPr>
                <w:t>Amendment No. 2 dated May 23, 2019 to the Eighth Amended and Restated Limited Partnership Agreement of Plains AAP, L.P.</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(incorporated by reference to Exhibit 3.1 to our Current Report on Form 8-K filed May 30, 2019).</w:t>
              </w:r>
            </w:hyperlink>
          </w:p>
        </w:tc>
        <w:tc>
          <w:tcPr>
            <w:tcW w:w="2220" w:type="dxa"/>
            <w:vAlign w:val="bottom"/>
            <w:tcBorders>
              <w:top w:val="single" w:sz="8" w:color="0000FF"/>
            </w:tcBorders>
            <w:gridSpan w:val="14"/>
          </w:tcPr>
          <w:p>
            <w:pPr>
              <w:spacing w:after="0"/>
              <w:rPr>
                <w:sz w:val="13"/>
                <w:szCs w:val="13"/>
                <w:color w:val="auto"/>
              </w:rPr>
            </w:pPr>
          </w:p>
        </w:tc>
        <w:tc>
          <w:tcPr>
            <w:tcW w:w="180" w:type="dxa"/>
            <w:vAlign w:val="bottom"/>
            <w:gridSpan w:val="6"/>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color w:val="0000FF"/>
                </w:rPr>
                <w:t>Amendment No. 3 dated August 17, 2023 to the Eighth Amended and Restated Limited Partnership Agreement of Plains AAP, L.P.</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by reference to Exhibit 3.1 to our Current Report on Form 8-K filed August 21, 2023).</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color w:val="0000FF"/>
                </w:rPr>
                <w:t>Limited Liability Company Agreement of PAA GP LLC dated December 28, 2007 (incorporated by reference to Exhibit 3.3 to</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PAA’s Current Report on Form 8-K filed January 4, 2008).</w:t>
              </w:r>
            </w:hyperlink>
          </w:p>
        </w:tc>
        <w:tc>
          <w:tcPr>
            <w:tcW w:w="4920" w:type="dxa"/>
            <w:vAlign w:val="bottom"/>
            <w:tcBorders>
              <w:top w:val="single" w:sz="8" w:color="0000FF"/>
            </w:tcBorders>
            <w:gridSpan w:val="15"/>
          </w:tcPr>
          <w:p>
            <w:pPr>
              <w:spacing w:after="0"/>
              <w:rPr>
                <w:sz w:val="13"/>
                <w:szCs w:val="13"/>
                <w:color w:val="auto"/>
              </w:rPr>
            </w:pPr>
          </w:p>
        </w:tc>
        <w:tc>
          <w:tcPr>
            <w:tcW w:w="3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color w:val="0000FF"/>
                </w:rPr>
                <w:t>Certificate of Limited Partnership of Plains GP Holdings, L.P. (incorporated by reference to Exhibit 3.1 to our Registration</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Statement on Form S-1 (333-190227) filed July 29, 2013).</w:t>
              </w:r>
            </w:hyperlink>
          </w:p>
        </w:tc>
        <w:tc>
          <w:tcPr>
            <w:tcW w:w="4620" w:type="dxa"/>
            <w:vAlign w:val="bottom"/>
            <w:tcBorders>
              <w:top w:val="single" w:sz="8" w:color="0000FF"/>
            </w:tcBorders>
            <w:gridSpan w:val="11"/>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color w:val="0000FF"/>
                </w:rPr>
                <w:t>Second Amended and Restated Agreement of Limited Partnership of Plains GP Holdings, L.P. dated as of November 15, 2016</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(incorporated by reference to Exhibit 3.2 to our Current Report on Form 8-K filed November 21, 2016).</w:t>
              </w:r>
            </w:hyperlink>
          </w:p>
        </w:tc>
        <w:tc>
          <w:tcPr>
            <w:tcW w:w="4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80" w:type="dxa"/>
            <w:vAlign w:val="bottom"/>
            <w:gridSpan w:val="7"/>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w:t>
            </w:r>
          </w:p>
        </w:tc>
        <w:tc>
          <w:tcPr>
            <w:tcW w:w="10120" w:type="dxa"/>
            <w:vAlign w:val="bottom"/>
            <w:gridSpan w:val="28"/>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color w:val="0000FF"/>
                </w:rPr>
                <w:t>Amendment No. 1 dated April 6, 2020 to the Second Amended and Restated Agreement of Limited Partnership of Plains GP</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Holdings, L.P. (incorporated by reference to Exhibit 3.1 to our Current Report on Form 8-K filed April 9, 2020).</w:t>
              </w:r>
            </w:hyperlink>
          </w:p>
        </w:tc>
        <w:tc>
          <w:tcPr>
            <w:tcW w:w="900" w:type="dxa"/>
            <w:vAlign w:val="bottom"/>
            <w:tcBorders>
              <w:top w:val="single" w:sz="8" w:color="0000FF"/>
            </w:tcBorders>
            <w:gridSpan w:val="3"/>
          </w:tcPr>
          <w:p>
            <w:pPr>
              <w:spacing w:after="0"/>
              <w:rPr>
                <w:sz w:val="13"/>
                <w:szCs w:val="13"/>
                <w:color w:val="auto"/>
              </w:rPr>
            </w:pPr>
          </w:p>
        </w:tc>
        <w:tc>
          <w:tcPr>
            <w:tcW w:w="54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15" w:lineRule="exact"/>
        <w:rPr>
          <w:sz w:val="20"/>
          <w:szCs w:val="20"/>
          <w:color w:val="auto"/>
        </w:rPr>
      </w:pPr>
    </w:p>
    <w:p>
      <w:pPr>
        <w:ind w:left="1260" w:right="46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0000FF"/>
          </w:rPr>
          <w:t>Certificate of Formation of PAA GP Holdings LLC (incorporated by reference to Exhibit 3.3 to our Registration Statement on</w:t>
        </w:r>
      </w:hyperlink>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0000FF"/>
          </w:rPr>
          <w:t>Form S-1 (333-190227) filed July 29, 2013).</w:t>
        </w:r>
      </w:hyperlink>
    </w:p>
    <w:p>
      <w:pPr>
        <w:spacing w:after="0" w:line="106"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39">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 19,</w:t>
        </w:r>
      </w:hyperlink>
    </w:p>
    <w:p>
      <w:pPr>
        <w:ind w:left="164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2021 (incorporated by reference to Exhibit 3.11 to our Annual Report on Form 10-K for the year ended December 31, 2021).</w:t>
        </w:r>
      </w:hyperlink>
    </w:p>
    <w:p>
      <w:pPr>
        <w:spacing w:after="0" w:line="124" w:lineRule="exact"/>
        <w:rPr>
          <w:sz w:val="20"/>
          <w:szCs w:val="20"/>
          <w:color w:val="auto"/>
        </w:rPr>
      </w:pPr>
    </w:p>
    <w:p>
      <w:pPr>
        <w:ind w:left="1260" w:right="1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 National</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Association, as trustee (incorporated by reference to Exhibit 4.1 to PAA’s Quarterly Report on Form 10-Q for the quarter ended</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September 30, 2002).</w:t>
        </w:r>
      </w:hyperlink>
    </w:p>
    <w:p>
      <w:pPr>
        <w:spacing w:after="0" w:line="111" w:lineRule="exact"/>
        <w:rPr>
          <w:sz w:val="20"/>
          <w:szCs w:val="20"/>
          <w:color w:val="auto"/>
        </w:rPr>
      </w:pPr>
    </w:p>
    <w:p>
      <w:pPr>
        <w:ind w:left="1260" w:right="12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 Association,</w:t>
        </w:r>
      </w:hyperlink>
    </w:p>
    <w:p>
      <w:pPr>
        <w:spacing w:after="0" w:line="2" w:lineRule="exact"/>
        <w:rPr>
          <w:sz w:val="20"/>
          <w:szCs w:val="20"/>
          <w:color w:val="auto"/>
        </w:rPr>
      </w:pPr>
    </w:p>
    <w:p>
      <w:pPr>
        <w:jc w:val="center"/>
        <w:ind w:right="-119"/>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as trustee (incorporated by reference to Exhibit 4.1 to PAA’s Current Report on Form 8-K filed May 12, 2006).</w:t>
        </w:r>
      </w:hyperlink>
    </w:p>
    <w:p>
      <w:pPr>
        <w:spacing w:after="0" w:line="111" w:lineRule="exact"/>
        <w:rPr>
          <w:sz w:val="20"/>
          <w:szCs w:val="20"/>
          <w:color w:val="auto"/>
        </w:rPr>
      </w:pPr>
    </w:p>
    <w:p>
      <w:pPr>
        <w:ind w:left="1260" w:right="30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jc w:val="center"/>
        <w:ind w:right="-179"/>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trustee (incorporated by reference to Exhibit 4.2 to PAA’s Current Report on Form 8-K filed October 30, 2006).</w:t>
        </w:r>
      </w:hyperlink>
    </w:p>
    <w:p>
      <w:pPr>
        <w:spacing w:after="0" w:line="111" w:lineRule="exact"/>
        <w:rPr>
          <w:sz w:val="20"/>
          <w:szCs w:val="20"/>
          <w:color w:val="auto"/>
        </w:rPr>
      </w:pPr>
    </w:p>
    <w:p>
      <w:pPr>
        <w:ind w:left="1260" w:right="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 Pipeline,</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FF"/>
          </w:rPr>
          <w:t>L.P., PAA Finance Corp. and U.S. Bank National Association, as trustee (incorporated by reference to Exhibit 4.3 to PAA’s Current</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Report on Form 8-K filed March 26, 2012).</w:t>
        </w:r>
      </w:hyperlink>
    </w:p>
    <w:p>
      <w:pPr>
        <w:spacing w:after="0" w:line="111" w:lineRule="exact"/>
        <w:rPr>
          <w:sz w:val="20"/>
          <w:szCs w:val="20"/>
          <w:color w:val="auto"/>
        </w:rPr>
      </w:pPr>
    </w:p>
    <w:p>
      <w:pPr>
        <w:ind w:left="1260" w:right="6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Exhibit 4.3 to PAA’s Current Report on Form 8-K filed December 12, 2012).</w:t>
        </w:r>
      </w:hyperlink>
    </w:p>
    <w:p>
      <w:pPr>
        <w:spacing w:after="0" w:line="111" w:lineRule="exact"/>
        <w:rPr>
          <w:sz w:val="20"/>
          <w:szCs w:val="20"/>
          <w:color w:val="auto"/>
        </w:rPr>
      </w:pPr>
    </w:p>
    <w:p>
      <w:pPr>
        <w:ind w:left="1260" w:right="18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Current Report on Form 8-K filed April 29, 2014).</w:t>
        </w:r>
      </w:hyperlink>
    </w:p>
    <w:p>
      <w:pPr>
        <w:spacing w:after="0" w:line="111" w:lineRule="exact"/>
        <w:rPr>
          <w:sz w:val="20"/>
          <w:szCs w:val="20"/>
          <w:color w:val="auto"/>
        </w:rPr>
      </w:pPr>
    </w:p>
    <w:p>
      <w:pPr>
        <w:ind w:left="1260" w:right="68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111" w:lineRule="exact"/>
        <w:rPr>
          <w:sz w:val="20"/>
          <w:szCs w:val="20"/>
          <w:color w:val="auto"/>
        </w:rPr>
      </w:pPr>
    </w:p>
    <w:p>
      <w:pPr>
        <w:ind w:left="1260" w:right="12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Twenty-Ninth Supplemental Indenture (4.65% Senior Notes due 2025) dated August 24, 2015, by and among Plains All American</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PAA’s Current Report on Form 8-K filed August 26, 2015).</w:t>
        </w:r>
      </w:hyperlink>
    </w:p>
    <w:p>
      <w:pPr>
        <w:spacing w:after="0" w:line="111" w:lineRule="exact"/>
        <w:rPr>
          <w:sz w:val="20"/>
          <w:szCs w:val="20"/>
          <w:color w:val="auto"/>
        </w:rPr>
      </w:pPr>
    </w:p>
    <w:p>
      <w:pPr>
        <w:ind w:left="1260" w:right="2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FF"/>
          </w:rPr>
          <w:t>Thirtieth Supplemental Indenture (4.50% Senior Notes due 2026) dated November 22, 2016, by and among Plains All American</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PAA’s Current Report on Form 8-K filed November 29, 2016).</w:t>
        </w:r>
      </w:hyperlink>
    </w:p>
    <w:p>
      <w:pPr>
        <w:spacing w:after="0" w:line="111" w:lineRule="exact"/>
        <w:rPr>
          <w:sz w:val="20"/>
          <w:szCs w:val="20"/>
          <w:color w:val="auto"/>
        </w:rPr>
      </w:pPr>
    </w:p>
    <w:p>
      <w:pPr>
        <w:ind w:left="1260" w:right="4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Thirty-First Supplemental Indenture (3.55% Senior Notes due 2029) dated September 16, 2019, by and among Plains All American</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PAA’s Current Report on Form 8-K filed September 17, 2019).</w:t>
        </w:r>
      </w:hyperlink>
    </w:p>
    <w:p>
      <w:pPr>
        <w:spacing w:after="0" w:line="111" w:lineRule="exact"/>
        <w:rPr>
          <w:sz w:val="20"/>
          <w:szCs w:val="20"/>
          <w:color w:val="auto"/>
        </w:rPr>
      </w:pPr>
    </w:p>
    <w:p>
      <w:pPr>
        <w:ind w:left="1260" w:right="28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Thirty-Second Supplemental Indenture (3.80% Senior Notes due 2030) dated June 11, 2020, by and among Plains All American</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PAA’s Current Report on Form 8-K filed June 11, 2020).</w:t>
        </w:r>
      </w:hyperlink>
    </w:p>
    <w:p>
      <w:pPr>
        <w:spacing w:after="0" w:line="111" w:lineRule="exact"/>
        <w:rPr>
          <w:sz w:val="20"/>
          <w:szCs w:val="20"/>
          <w:color w:val="auto"/>
        </w:rPr>
      </w:pPr>
    </w:p>
    <w:p>
      <w:pPr>
        <w:ind w:left="1260" w:right="30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0000FF"/>
          </w:rPr>
          <w:t>Thirty-Third Supplemental Indenture (5.70% Senior Notes due 2034) dated June 27, 2024, by and among Plains All American</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0000FF"/>
          </w:rPr>
          <w:t>Pipeline, L.P., PAA Finance Corp. and U.S. Bank Trust Company, National Association, as trustee (incorporated by reference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Exhibit 4.1 to PAA’s Current Report on Form 8-K filed June 27, 2024).</w:t>
        </w:r>
      </w:hyperlink>
    </w:p>
    <w:p>
      <w:pPr>
        <w:spacing w:after="0" w:line="111" w:lineRule="exact"/>
        <w:rPr>
          <w:sz w:val="20"/>
          <w:szCs w:val="20"/>
          <w:color w:val="auto"/>
        </w:rPr>
      </w:pPr>
    </w:p>
    <w:p>
      <w:pPr>
        <w:ind w:left="12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FF"/>
          </w:rPr>
          <w:t>Thirty-Fourth Supplemental Indenture (5.950% Senior Notes due 2035) dated January 15, 2025, by and among Plains All American</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FF"/>
          </w:rPr>
          <w:t>Pipeline, L.P., PAA Finance Corp. and U.S. Bank Trust Company, National Association, as trustee (incorporated by reference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Exhibit 4.1 to our Current Report on Form 8-K filed January 15, 2025).</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15" w:lineRule="exact"/>
        <w:rPr>
          <w:sz w:val="20"/>
          <w:szCs w:val="20"/>
          <w:color w:val="auto"/>
        </w:rPr>
      </w:pPr>
    </w:p>
    <w:p>
      <w:pPr>
        <w:jc w:val="right"/>
        <w:ind w:left="20" w:right="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4.14          —   </w:t>
      </w:r>
      <w:hyperlink r:id="rId154">
        <w:r>
          <w:rPr>
            <w:rFonts w:ascii="Times New Roman" w:cs="Times New Roman" w:eastAsia="Times New Roman" w:hAnsi="Times New Roman"/>
            <w:sz w:val="18"/>
            <w:szCs w:val="18"/>
            <w:u w:val="single" w:color="auto"/>
            <w:color w:val="0000FF"/>
          </w:rPr>
          <w:t>Shareholder and Registration Rights Agreement dated October 21, 2013 by and among Plains GP Holdings, L.P. and the other</w:t>
        </w:r>
      </w:hyperlink>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0000FF"/>
          </w:rPr>
          <w:t>parties signatory thereto (incorporated by reference to Exhibit 4.1 to our Current Report on Form 8-K filed October 25, 2013).</w:t>
        </w:r>
      </w:hyperlink>
    </w:p>
    <w:p>
      <w:pPr>
        <w:spacing w:after="0" w:line="118" w:lineRule="exact"/>
        <w:rPr>
          <w:sz w:val="20"/>
          <w:szCs w:val="20"/>
          <w:color w:val="auto"/>
        </w:rPr>
      </w:pPr>
    </w:p>
    <w:p>
      <w:pPr>
        <w:ind w:left="20"/>
        <w:spacing w:after="0"/>
        <w:tabs>
          <w:tab w:leader="none" w:pos="1240" w:val="left"/>
          <w:tab w:leader="none" w:pos="1620" w:val="left"/>
        </w:tabs>
        <w:rPr>
          <w:sz w:val="20"/>
          <w:szCs w:val="20"/>
          <w:color w:val="auto"/>
        </w:rPr>
      </w:pPr>
      <w:r>
        <w:rPr>
          <w:rFonts w:ascii="Times New Roman" w:cs="Times New Roman" w:eastAsia="Times New Roman" w:hAnsi="Times New Roman"/>
          <w:sz w:val="18"/>
          <w:szCs w:val="18"/>
          <w:color w:val="auto"/>
        </w:rPr>
        <w:t>4.15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Description of Our Securities.</w:t>
      </w:r>
    </w:p>
    <w:p>
      <w:pPr>
        <w:spacing w:after="0" w:line="131" w:lineRule="exact"/>
        <w:rPr>
          <w:sz w:val="20"/>
          <w:szCs w:val="20"/>
          <w:color w:val="auto"/>
        </w:rPr>
      </w:pPr>
    </w:p>
    <w:p>
      <w:pPr>
        <w:ind w:left="1260" w:right="22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0000FF"/>
          </w:rPr>
          <w:t>Credit Agreement dated as of August 20, 2021, among Plains All American Pipeline, L.P. and Plains Midstream Canada ULC, as</w:t>
        </w:r>
      </w:hyperlink>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0000FF"/>
          </w:rPr>
          <w:t>Borrowers; certain subsidiaries of Plains All American Pipeline, L.P. from time to time party thereto, as Designated Borrowers;</w:t>
        </w:r>
      </w:hyperlink>
    </w:p>
    <w:p>
      <w:pPr>
        <w:spacing w:after="0" w:line="2" w:lineRule="exact"/>
        <w:rPr>
          <w:sz w:val="20"/>
          <w:szCs w:val="20"/>
          <w:color w:val="auto"/>
        </w:rPr>
      </w:pPr>
    </w:p>
    <w:p>
      <w:pPr>
        <w:ind w:left="1640" w:right="20"/>
        <w:spacing w:after="0" w:line="218"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Bank of America, N.A., as Administrative Agent and Swing Line Lender; Bank of America, N.A., Citibank, N.A., JPMorgan Chase</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Bank, N.A. and Wells Fargo Bank, National Association, as L/C Issuers; and the other Lenders party thereto (incorporated by</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reference to Exhibit 10.1 to our Current Report on Form 8-K filed August 26, 2021).</w:t>
        </w:r>
      </w:hyperlink>
    </w:p>
    <w:p>
      <w:pPr>
        <w:spacing w:after="0" w:line="118" w:lineRule="exact"/>
        <w:rPr>
          <w:rFonts w:ascii="Times New Roman" w:cs="Times New Roman" w:eastAsia="Times New Roman" w:hAnsi="Times New Roman"/>
          <w:sz w:val="18"/>
          <w:szCs w:val="18"/>
          <w:u w:val="single" w:color="auto"/>
          <w:color w:val="0000FF"/>
        </w:rPr>
      </w:pPr>
    </w:p>
    <w:p>
      <w:pPr>
        <w:ind w:left="12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FF"/>
          </w:rPr>
          <w:t>First Amendment to Credit Agreement dated as of August 22, 2022, among Plains All American Pipeline, L.P. and Plains</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FF"/>
          </w:rPr>
          <w:t>Midstream Canada ULC, as Borrowers; certain subsidiaries of Plains All American Pipeline, L.P. from time to time party thereto, as</w:t>
        </w:r>
      </w:hyperlink>
    </w:p>
    <w:p>
      <w:pPr>
        <w:spacing w:after="0" w:line="2" w:lineRule="exact"/>
        <w:rPr>
          <w:sz w:val="20"/>
          <w:szCs w:val="20"/>
          <w:color w:val="auto"/>
        </w:rPr>
      </w:pPr>
    </w:p>
    <w:p>
      <w:pPr>
        <w:jc w:val="both"/>
        <w:ind w:left="1640"/>
        <w:spacing w:after="0" w:line="218"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Designated Borrowers; Bank of America, N.A., as Administrative Agent and Swing Line Lender; Bank of America, N.A., Citibank,</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N.A., JPMorgan Chase Bank, N.A. and Wells Fargo Bank, National Association, as L/C Issuers; and the other Lenders party thereto</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(incorporated by reference to Exhibit 10.1 to our Current Report on Form 8-K filed August 25, 2022).</w:t>
        </w:r>
      </w:hyperlink>
    </w:p>
    <w:p>
      <w:pPr>
        <w:spacing w:after="0" w:line="118" w:lineRule="exact"/>
        <w:rPr>
          <w:rFonts w:ascii="Times New Roman" w:cs="Times New Roman" w:eastAsia="Times New Roman" w:hAnsi="Times New Roman"/>
          <w:sz w:val="18"/>
          <w:szCs w:val="18"/>
          <w:u w:val="single" w:color="auto"/>
          <w:color w:val="0000FF"/>
        </w:rPr>
      </w:pPr>
    </w:p>
    <w:p>
      <w:pPr>
        <w:ind w:left="12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FF"/>
          </w:rPr>
          <w:t>Second Amendment to Credit Agreement dated as of August 19, 2024, among Plains All American Pipeline, L.P. and Plains</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FF"/>
          </w:rPr>
          <w:t>Midstream Canada ULC, as Borrowers; certain subsidiaries of Plains All American Pipeline, L.P. from time to time party thereto, as</w:t>
        </w:r>
      </w:hyperlink>
    </w:p>
    <w:p>
      <w:pPr>
        <w:spacing w:after="0" w:line="2" w:lineRule="exact"/>
        <w:rPr>
          <w:sz w:val="20"/>
          <w:szCs w:val="20"/>
          <w:color w:val="auto"/>
        </w:rPr>
      </w:pPr>
    </w:p>
    <w:p>
      <w:pPr>
        <w:jc w:val="both"/>
        <w:ind w:left="1640"/>
        <w:spacing w:after="0" w:line="218"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Designated Borrowers; Bank of America, N.A., as Administrative Agent and Swing Line Lender; Bank of America, N.A., Citibank,</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N.A., JPMorgan Chase Bank, N.A. and Wells Fargo Bank, National Association, as L/C Issuers; and the other Lenders party thereto</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(incorporated by reference to Exhibit 10.1 to our Current Report on Form 8-K filed August 22, 2024).</w:t>
        </w:r>
      </w:hyperlink>
    </w:p>
    <w:p>
      <w:pPr>
        <w:spacing w:after="0" w:line="118" w:lineRule="exact"/>
        <w:rPr>
          <w:rFonts w:ascii="Times New Roman" w:cs="Times New Roman" w:eastAsia="Times New Roman" w:hAnsi="Times New Roman"/>
          <w:sz w:val="18"/>
          <w:szCs w:val="18"/>
          <w:u w:val="single" w:color="auto"/>
          <w:color w:val="0000FF"/>
        </w:rPr>
      </w:pPr>
    </w:p>
    <w:p>
      <w:pPr>
        <w:jc w:val="right"/>
        <w:ind w:left="20" w:righ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   </w:t>
      </w:r>
      <w:hyperlink r:id="rId158">
        <w:r>
          <w:rPr>
            <w:rFonts w:ascii="Times New Roman" w:cs="Times New Roman" w:eastAsia="Times New Roman" w:hAnsi="Times New Roman"/>
            <w:sz w:val="18"/>
            <w:szCs w:val="18"/>
            <w:u w:val="single" w:color="auto"/>
            <w:color w:val="0000FF"/>
          </w:rPr>
          <w:t>Fourth Amended and Restated Credit Agreement dated as of August 20, 2021, among Plains Marketing, L.P. and Plains Midstream</w:t>
        </w:r>
      </w:hyperlink>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u w:val="single" w:color="auto"/>
            <w:color w:val="0000FF"/>
          </w:rPr>
          <w:t>Canada ULC, as Borrowers; Plains All American Pipeline, L.P., as guarantor; Bank of America, N.A., as Administrative Agent and</w:t>
        </w:r>
      </w:hyperlink>
    </w:p>
    <w:p>
      <w:pPr>
        <w:spacing w:after="0" w:line="2" w:lineRule="exact"/>
        <w:rPr>
          <w:sz w:val="20"/>
          <w:szCs w:val="20"/>
          <w:color w:val="auto"/>
        </w:rPr>
      </w:pPr>
    </w:p>
    <w:p>
      <w:pPr>
        <w:ind w:left="1640" w:right="40"/>
        <w:spacing w:after="0" w:line="218"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Swing Line Lender; Bank of America, N.A., Citibank, N.A., JPMorgan Chase Bank, N.A. and Wells Fargo Bank, National</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Association, as L/C Issuers; and the other Lenders party thereto (incorporated by reference to Exhibit 10.2 to our Current Report on</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Form 8-K filed August 26, 2021).</w:t>
        </w:r>
      </w:hyperlink>
    </w:p>
    <w:p>
      <w:pPr>
        <w:spacing w:after="0" w:line="118" w:lineRule="exact"/>
        <w:rPr>
          <w:rFonts w:ascii="Times New Roman" w:cs="Times New Roman" w:eastAsia="Times New Roman" w:hAnsi="Times New Roman"/>
          <w:sz w:val="18"/>
          <w:szCs w:val="18"/>
          <w:u w:val="single" w:color="auto"/>
          <w:color w:val="0000FF"/>
        </w:rPr>
      </w:pPr>
    </w:p>
    <w:p>
      <w:pPr>
        <w:ind w:left="1260" w:right="20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FF"/>
          </w:rPr>
          <w:t>First Amendment to Fourth Amended and Restated Credit Agreement dated as of August 22, 2022, among Plains Marketing, L.P.</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FF"/>
          </w:rPr>
          <w:t>and Plains Midstream Canada ULC, as Borrowers; Plains All American Pipeline, L.P., as guarantor; Bank of America, N.A., as</w:t>
        </w:r>
      </w:hyperlink>
    </w:p>
    <w:p>
      <w:pPr>
        <w:spacing w:after="0" w:line="2" w:lineRule="exact"/>
        <w:rPr>
          <w:sz w:val="20"/>
          <w:szCs w:val="20"/>
          <w:color w:val="auto"/>
        </w:rPr>
      </w:pPr>
    </w:p>
    <w:p>
      <w:pPr>
        <w:ind w:left="1640" w:right="80"/>
        <w:spacing w:after="0" w:line="218"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Administrative Agent and Swing Line Lender; Bank of America, N.A., Citibank, N.A., JPMorgan Chase Bank, N.A. and Wells</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Fargo Bank, National Association, as L/C Issuers; and the other Lenders party thereto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our Current Report on Form 8-K filed August 25, 2022).</w:t>
        </w:r>
      </w:hyperlink>
    </w:p>
    <w:p>
      <w:pPr>
        <w:spacing w:after="0" w:line="118" w:lineRule="exact"/>
        <w:rPr>
          <w:rFonts w:ascii="Times New Roman" w:cs="Times New Roman" w:eastAsia="Times New Roman" w:hAnsi="Times New Roman"/>
          <w:sz w:val="18"/>
          <w:szCs w:val="18"/>
          <w:u w:val="single" w:color="auto"/>
          <w:color w:val="0000FF"/>
        </w:rPr>
      </w:pPr>
    </w:p>
    <w:p>
      <w:pPr>
        <w:ind w:left="12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FF"/>
          </w:rPr>
          <w:t>Second Amendment to Fourth Amended and Restated Credit Agreement dated as of August 19, 2024, among Plains Marketing, L.P.</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FF"/>
          </w:rPr>
          <w:t>and Plains Midstream Canada ULC, as Borrowers; Plains All American Pipeline, L.P., as guarantor; Bank of America, N.A., as</w:t>
        </w:r>
      </w:hyperlink>
    </w:p>
    <w:p>
      <w:pPr>
        <w:spacing w:after="0" w:line="2" w:lineRule="exact"/>
        <w:rPr>
          <w:sz w:val="20"/>
          <w:szCs w:val="20"/>
          <w:color w:val="auto"/>
        </w:rPr>
      </w:pPr>
    </w:p>
    <w:p>
      <w:pPr>
        <w:ind w:left="1640" w:right="80"/>
        <w:spacing w:after="0" w:line="218"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Administrative Agent and Swing Line Lender; Bank of America, N.A., Citibank, N.A., JPMorgan Chase Bank, N.A. and Wells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Fargo Bank, National Association, as L/C Issuers; and the other Lenders party thereto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our Current Report on Form 8-K filed August 22, 2024).</w:t>
        </w:r>
      </w:hyperlink>
    </w:p>
    <w:p>
      <w:pPr>
        <w:spacing w:after="0" w:line="118" w:lineRule="exact"/>
        <w:rPr>
          <w:rFonts w:ascii="Times New Roman" w:cs="Times New Roman" w:eastAsia="Times New Roman" w:hAnsi="Times New Roman"/>
          <w:sz w:val="18"/>
          <w:szCs w:val="18"/>
          <w:u w:val="single" w:color="auto"/>
          <w:color w:val="0000FF"/>
        </w:rPr>
      </w:pPr>
    </w:p>
    <w:p>
      <w:pPr>
        <w:ind w:left="1260" w:right="8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FF"/>
          </w:rPr>
          <w:t>Contribution and Assumption Agreement dated December 28, 2007, by and between Plains AAP, L.P. and PAA GP LLC</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FF"/>
          </w:rPr>
          <w:t>(incorporated by reference to Exhibit 10.2 to PAA’s Current Report on Form 8-K filed January 4, 2008).</w:t>
        </w:r>
      </w:hyperlink>
    </w:p>
    <w:p>
      <w:pPr>
        <w:spacing w:after="0" w:line="118" w:lineRule="exact"/>
        <w:rPr>
          <w:sz w:val="20"/>
          <w:szCs w:val="20"/>
          <w:color w:val="auto"/>
        </w:rPr>
      </w:pPr>
    </w:p>
    <w:p>
      <w:pPr>
        <w:ind w:left="1260" w:right="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0000FF"/>
          </w:rPr>
          <w:t>Omnibus Agreement by and among PAA GP Holdings LLC, Plains GP Holdings, L.P., Plains All American GP LLC, Plains AAP,</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0000FF"/>
          </w:rPr>
          <w:t>L.P., PAA GP LLC, and Plains All American Pipeline, L.P., dated November 15, 2016 (incorporated by reference to Exhibit 10.1 to</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our Current Report on Form 8-K filed November 21, 2016).</w:t>
        </w:r>
      </w:hyperlink>
    </w:p>
    <w:p>
      <w:pPr>
        <w:spacing w:after="0" w:line="111" w:lineRule="exact"/>
        <w:rPr>
          <w:sz w:val="20"/>
          <w:szCs w:val="20"/>
          <w:color w:val="auto"/>
        </w:rPr>
      </w:pPr>
    </w:p>
    <w:p>
      <w:pPr>
        <w:ind w:left="1260" w:right="38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FF"/>
          </w:rPr>
          <w:t>Amended and Restated Administrative Agreement by and among PAA GP Holdings LLC, Plains GP Holdings, L.P., Plains All</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FF"/>
          </w:rPr>
          <w:t>American GP LLC, Plains AAP, L.P., PAA GP LLC, and Plains All American Pipeline, L.P., dated November 15, 2016</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(incorporated by reference to Exhibit 10.2 to our Current Report on Form 8-K filed November 21, 2016).</w:t>
        </w:r>
      </w:hyperlink>
    </w:p>
    <w:p>
      <w:pPr>
        <w:spacing w:after="0" w:line="99"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4">
        <w:r>
          <w:rPr>
            <w:rFonts w:ascii="Times New Roman" w:cs="Times New Roman" w:eastAsia="Times New Roman" w:hAnsi="Times New Roman"/>
            <w:sz w:val="17"/>
            <w:szCs w:val="17"/>
            <w:u w:val="single" w:color="auto"/>
            <w:color w:val="0000FF"/>
          </w:rPr>
          <w:t>Amended and Restated Employment Agreement between Plains All American GP LLC and Greg L. Armstrong dated as of June 30,</w:t>
        </w:r>
      </w:hyperlink>
    </w:p>
    <w:p>
      <w:pPr>
        <w:ind w:left="1640"/>
        <w:spacing w:after="0" w:line="219"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2001 (incorporated by reference to Exhibit 10.1 to PAA’s Quarterly Report on Form 10-Q for the quarter ended September 30,</w:t>
        </w:r>
      </w:hyperlink>
    </w:p>
    <w:p>
      <w:pPr>
        <w:ind w:left="164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2001).</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6">
        <w:r>
          <w:rPr>
            <w:rFonts w:ascii="Times New Roman" w:cs="Times New Roman" w:eastAsia="Times New Roman" w:hAnsi="Times New Roman"/>
            <w:sz w:val="18"/>
            <w:szCs w:val="18"/>
            <w:u w:val="single" w:color="auto"/>
            <w:color w:val="0000FF"/>
          </w:rPr>
          <w:t>First Amendment to Amended and Restated Employment Agreement dated December 4, 2008 between Plains All</w:t>
        </w:r>
      </w:hyperlink>
    </w:p>
    <w:p>
      <w:pPr>
        <w:ind w:left="1640" w:right="120"/>
        <w:spacing w:after="0" w:line="233"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American GP LLC and Greg L. Armstrong (incorporated by reference to Exhibit 10.49 to PAA’s Annual Report on Form 10-K for</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the year ended December 31, 2008).</w:t>
        </w:r>
      </w:hyperlink>
    </w:p>
    <w:p>
      <w:pPr>
        <w:spacing w:after="0" w:line="105" w:lineRule="exact"/>
        <w:rPr>
          <w:sz w:val="20"/>
          <w:szCs w:val="20"/>
          <w:color w:val="auto"/>
        </w:rPr>
      </w:pPr>
    </w:p>
    <w:p>
      <w:pPr>
        <w:jc w:val="center"/>
        <w:ind w:right="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       —   </w:t>
      </w:r>
      <w:hyperlink r:id="rId167">
        <w:r>
          <w:rPr>
            <w:rFonts w:ascii="Times New Roman" w:cs="Times New Roman" w:eastAsia="Times New Roman" w:hAnsi="Times New Roman"/>
            <w:sz w:val="18"/>
            <w:szCs w:val="18"/>
            <w:u w:val="single" w:color="auto"/>
            <w:color w:val="0000FF"/>
          </w:rPr>
          <w:t>Waiver Agreement dated as of December 23, 2010 between Plains All American GP LLC and Greg L. Armstrong (incorporated by</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FF"/>
          </w:rPr>
          <w:t>reference to Exhibit 10.31 to PAA’s Annual Report on Form 10-K for the year ended December 31, 2010).</w:t>
        </w:r>
      </w:hyperlink>
    </w:p>
    <w:p>
      <w:pPr>
        <w:spacing w:after="0" w:line="106"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8">
        <w:r>
          <w:rPr>
            <w:rFonts w:ascii="Times New Roman" w:cs="Times New Roman" w:eastAsia="Times New Roman" w:hAnsi="Times New Roman"/>
            <w:sz w:val="17"/>
            <w:szCs w:val="17"/>
            <w:u w:val="single" w:color="auto"/>
            <w:color w:val="0000FF"/>
          </w:rPr>
          <w:t>Waiver Agreement dated October 21, 2013 to the Amended and Restated Employment Agreement dated June 30, 2001 of Greg L.</w:t>
        </w:r>
      </w:hyperlink>
    </w:p>
    <w:p>
      <w:pPr>
        <w:ind w:left="1640"/>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Armstrong (incorporated by reference to Exhibit 10.4 to our Current Report on Form 8-K filed October 25, 2013).</w:t>
        </w:r>
      </w:hyperlink>
    </w:p>
    <w:p>
      <w:pPr>
        <w:spacing w:after="0" w:line="124" w:lineRule="exact"/>
        <w:rPr>
          <w:sz w:val="20"/>
          <w:szCs w:val="20"/>
          <w:color w:val="auto"/>
        </w:rPr>
      </w:pPr>
    </w:p>
    <w:p>
      <w:pPr>
        <w:ind w:left="126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FF"/>
          </w:rPr>
          <w:t>Second Amended and Restated Employment Agreement dated effective October 1, 2018 between Plains All American GP LLC and</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FF"/>
          </w:rPr>
          <w:t>Greg L. Armstrong (incorporated by reference to Exhibit 10.6 to our Quarterly Report on Form 10-Q for the quarter ended</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September 30, 2018).</w:t>
        </w:r>
      </w:hyperlink>
    </w:p>
    <w:p>
      <w:pPr>
        <w:spacing w:after="0" w:line="111" w:lineRule="exact"/>
        <w:rPr>
          <w:sz w:val="20"/>
          <w:szCs w:val="20"/>
          <w:color w:val="auto"/>
        </w:rPr>
      </w:pPr>
    </w:p>
    <w:p>
      <w:pPr>
        <w:jc w:val="right"/>
        <w:ind w:left="20" w:right="1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10.15**       —   </w:t>
      </w:r>
      <w:hyperlink r:id="rId170">
        <w:r>
          <w:rPr>
            <w:rFonts w:ascii="Times New Roman" w:cs="Times New Roman" w:eastAsia="Times New Roman" w:hAnsi="Times New Roman"/>
            <w:sz w:val="18"/>
            <w:szCs w:val="18"/>
            <w:u w:val="single" w:color="auto"/>
            <w:color w:val="0000FF"/>
          </w:rPr>
          <w:t>Third Amended and Restated Employment Agreement dated effective January 1, 2020 between Plains All American GP LLC and</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FF"/>
          </w:rPr>
          <w:t>Greg L. Armstrong (incorporated by reference to Exhibit 10.31 to our Annual Report on Form 10-K for the year ended December</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31, 2019).</w:t>
        </w:r>
      </w:hyperlink>
    </w:p>
    <w:p>
      <w:pPr>
        <w:spacing w:after="0" w:line="111" w:lineRule="exact"/>
        <w:rPr>
          <w:sz w:val="20"/>
          <w:szCs w:val="20"/>
          <w:color w:val="auto"/>
        </w:rPr>
      </w:pPr>
    </w:p>
    <w:p>
      <w:pPr>
        <w:jc w:val="right"/>
        <w:ind w:left="20" w:righ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10.16**       —   </w:t>
      </w:r>
      <w:hyperlink r:id="rId171">
        <w:r>
          <w:rPr>
            <w:rFonts w:ascii="Times New Roman" w:cs="Times New Roman" w:eastAsia="Times New Roman" w:hAnsi="Times New Roman"/>
            <w:sz w:val="18"/>
            <w:szCs w:val="18"/>
            <w:u w:val="single" w:color="auto"/>
            <w:color w:val="0000FF"/>
          </w:rPr>
          <w:t>Amendment No. 1 to Third Amended and Restated Employment Agreement dated effective December 31, 2021 between Plains All</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FF"/>
          </w:rPr>
          <w:t>American GP LLC and Greg L. Armstrong (incorporated by reference to Exhibit 10.12 to our Annual Report on Form 10-K for the</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year ended December 31, 2021).</w:t>
        </w:r>
      </w:hyperlink>
    </w:p>
    <w:p>
      <w:pPr>
        <w:spacing w:after="0" w:line="99"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72">
        <w:r>
          <w:rPr>
            <w:rFonts w:ascii="Times New Roman" w:cs="Times New Roman" w:eastAsia="Times New Roman" w:hAnsi="Times New Roman"/>
            <w:sz w:val="17"/>
            <w:szCs w:val="17"/>
            <w:u w:val="single" w:color="auto"/>
            <w:color w:val="0000FF"/>
          </w:rPr>
          <w:t>Amended and Restated Employment Agreement between Plains All American GP LLC and Harry N. Pefanis dated as of June 30,</w:t>
        </w:r>
      </w:hyperlink>
    </w:p>
    <w:p>
      <w:pPr>
        <w:ind w:left="1640"/>
        <w:spacing w:after="0" w:line="219"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2001 (incorporated by reference to Exhibit 10.2 to PAA’s Quarterly Report on Form 10-Q for the quarter ended September 30,</w:t>
        </w:r>
      </w:hyperlink>
    </w:p>
    <w:p>
      <w:pPr>
        <w:ind w:left="1640"/>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2001).</w:t>
        </w:r>
      </w:hyperlink>
    </w:p>
    <w:p>
      <w:pPr>
        <w:spacing w:after="0" w:line="99"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73">
        <w:r>
          <w:rPr>
            <w:rFonts w:ascii="Times New Roman" w:cs="Times New Roman" w:eastAsia="Times New Roman" w:hAnsi="Times New Roman"/>
            <w:sz w:val="18"/>
            <w:szCs w:val="18"/>
            <w:u w:val="single" w:color="auto"/>
            <w:color w:val="0000FF"/>
          </w:rPr>
          <w:t>First Amendment to Amended and Restated Employment Agreement dated December 4, 2008 between Plains All</w:t>
        </w:r>
      </w:hyperlink>
    </w:p>
    <w:p>
      <w:pPr>
        <w:ind w:left="1640" w:right="20"/>
        <w:spacing w:after="0" w:line="233"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American GP LLC and Harry N. Pefanis (incorporated by reference to Exhibit 10.50 to PAA’s Annual Report on Form 10-K for the</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year ended December 31, 2008).</w:t>
        </w:r>
      </w:hyperlink>
    </w:p>
    <w:p>
      <w:pPr>
        <w:spacing w:after="0" w:line="105" w:lineRule="exact"/>
        <w:rPr>
          <w:sz w:val="20"/>
          <w:szCs w:val="20"/>
          <w:color w:val="auto"/>
        </w:rPr>
      </w:pPr>
    </w:p>
    <w:p>
      <w:pPr>
        <w:ind w:left="1260" w:right="48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FF"/>
          </w:rPr>
          <w:t>Amendment No. 2 dated August 15, 2019 to Harry Pefanis Amended and Restated Employment Agreement (incorporated by</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FF"/>
          </w:rPr>
          <w:t>reference to Exhibit 10.1 to our Quarterly Report on Form 10-Q for the quarter ended September 30, 2019).</w:t>
        </w:r>
      </w:hyperlink>
    </w:p>
    <w:p>
      <w:pPr>
        <w:spacing w:after="0" w:line="106" w:lineRule="exact"/>
        <w:rPr>
          <w:sz w:val="20"/>
          <w:szCs w:val="20"/>
          <w:color w:val="auto"/>
        </w:rPr>
      </w:pPr>
    </w:p>
    <w:p>
      <w:pPr>
        <w:ind w:left="20"/>
        <w:spacing w:after="0"/>
        <w:tabs>
          <w:tab w:leader="none" w:pos="1240" w:val="left"/>
          <w:tab w:leader="none" w:pos="16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75">
        <w:r>
          <w:rPr>
            <w:rFonts w:ascii="Times New Roman" w:cs="Times New Roman" w:eastAsia="Times New Roman" w:hAnsi="Times New Roman"/>
            <w:sz w:val="17"/>
            <w:szCs w:val="17"/>
            <w:u w:val="single" w:color="auto"/>
            <w:color w:val="0000FF"/>
          </w:rPr>
          <w:t>Waiver Agreement dated as of December 23, 2010 between Plains All American GP LLC and Harry N. Pefanis (incorporated by</w:t>
        </w:r>
      </w:hyperlink>
    </w:p>
    <w:p>
      <w:pPr>
        <w:jc w:val="center"/>
        <w:ind w:right="200"/>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reference to Exhibit 10.32 to PAA’s Annual Report on Form 10-K for the year ended December 31, 2010).</w:t>
        </w:r>
      </w:hyperlink>
    </w:p>
    <w:p>
      <w:pPr>
        <w:spacing w:after="0" w:line="113" w:lineRule="exact"/>
        <w:rPr>
          <w:sz w:val="20"/>
          <w:szCs w:val="20"/>
          <w:color w:val="auto"/>
        </w:rPr>
      </w:pPr>
    </w:p>
    <w:p>
      <w:pPr>
        <w:jc w:val="center"/>
        <w:ind w:right="40"/>
        <w:spacing w:after="0"/>
        <w:tabs>
          <w:tab w:leader="none" w:pos="620" w:val="left"/>
          <w:tab w:leader="none" w:pos="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76">
        <w:r>
          <w:rPr>
            <w:rFonts w:ascii="Times New Roman" w:cs="Times New Roman" w:eastAsia="Times New Roman" w:hAnsi="Times New Roman"/>
            <w:sz w:val="17"/>
            <w:szCs w:val="17"/>
            <w:u w:val="single" w:color="auto"/>
            <w:color w:val="0000FF"/>
          </w:rPr>
          <w:t>Waiver Agreement dated October 21, 2013 to the Amended and Restated Employment Agreement dated June 30, 2001 of Harry N.</w:t>
        </w:r>
      </w:hyperlink>
    </w:p>
    <w:p>
      <w:pPr>
        <w:jc w:val="center"/>
        <w:ind w:right="-119"/>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Pefanis (incorporated by reference to Exhibit 10.5 to our Current Report on Form 8-K filed October 25, 2013).</w:t>
        </w:r>
      </w:hyperlink>
    </w:p>
    <w:p>
      <w:pPr>
        <w:spacing w:after="0" w:line="124" w:lineRule="exact"/>
        <w:rPr>
          <w:sz w:val="20"/>
          <w:szCs w:val="20"/>
          <w:color w:val="auto"/>
        </w:rPr>
      </w:pPr>
    </w:p>
    <w:p>
      <w:pPr>
        <w:ind w:left="1260" w:right="1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FF"/>
          </w:rPr>
          <w:t>Employment Agreement between Plains All American GP LLC and Willie Chiang dated July 10, 2015 (incorporated by reference</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FF"/>
          </w:rPr>
          <w:t>to Exhibit 10.53 to PAA’s Annual Report on Form 10-K for the year ended December 31, 2015).</w:t>
        </w:r>
      </w:hyperlink>
    </w:p>
    <w:p>
      <w:pPr>
        <w:spacing w:after="0" w:line="118" w:lineRule="exact"/>
        <w:rPr>
          <w:sz w:val="20"/>
          <w:szCs w:val="20"/>
          <w:color w:val="auto"/>
        </w:rPr>
      </w:pPr>
    </w:p>
    <w:p>
      <w:pPr>
        <w:ind w:left="1260" w:right="80" w:hanging="1619"/>
        <w:spacing w:after="0" w:line="22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Amended and Restated Employment Agreement dated effective October 1, 2018 between Plains All American GP LLC and Willie</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Chiang (incorporated by reference to Exhibit 10.7 to our Quarterly Report on Form 10-Q for the quarter ended September 30,</w:t>
        </w:r>
      </w:hyperlink>
    </w:p>
    <w:p>
      <w:pPr>
        <w:spacing w:after="0" w:line="2" w:lineRule="exact"/>
        <w:rPr>
          <w:sz w:val="20"/>
          <w:szCs w:val="20"/>
          <w:color w:val="auto"/>
        </w:rPr>
      </w:pPr>
    </w:p>
    <w:p>
      <w:pPr>
        <w:ind w:left="1640"/>
        <w:spacing w:after="0"/>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2018).</w:t>
        </w:r>
      </w:hyperlink>
    </w:p>
    <w:p>
      <w:pPr>
        <w:spacing w:after="0" w:line="111" w:lineRule="exact"/>
        <w:rPr>
          <w:sz w:val="20"/>
          <w:szCs w:val="20"/>
          <w:color w:val="auto"/>
        </w:rPr>
      </w:pPr>
    </w:p>
    <w:p>
      <w:pPr>
        <w:ind w:left="1260" w:right="38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FF"/>
          </w:rPr>
          <w:t>LTIP Grant Letter dated August 16, 2018 (Willie Chiang) incorporated by reference to Exhibit 10.8 to our Quarterly Report on</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FF"/>
          </w:rPr>
          <w:t>Form 10-Q for the quarter ended September 30, 2018).</w:t>
        </w:r>
      </w:hyperlink>
    </w:p>
    <w:p>
      <w:pPr>
        <w:spacing w:after="0" w:line="118" w:lineRule="exact"/>
        <w:rPr>
          <w:sz w:val="20"/>
          <w:szCs w:val="20"/>
          <w:color w:val="auto"/>
        </w:rPr>
      </w:pPr>
    </w:p>
    <w:p>
      <w:pPr>
        <w:ind w:left="1260" w:right="12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FF"/>
          </w:rPr>
          <w:t>Plains All American 2021 Long-Term Incentive Plan (incorporated by reference to Exhibit A to PAA’s Definitive Proxy Statement</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FF"/>
          </w:rPr>
          <w:t>filed on April 12, 2021).</w:t>
        </w:r>
      </w:hyperlink>
    </w:p>
    <w:p>
      <w:pPr>
        <w:spacing w:after="0" w:line="118" w:lineRule="exact"/>
        <w:rPr>
          <w:sz w:val="20"/>
          <w:szCs w:val="20"/>
          <w:color w:val="auto"/>
        </w:rPr>
      </w:pPr>
    </w:p>
    <w:p>
      <w:pPr>
        <w:ind w:left="1260" w:right="12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FF"/>
          </w:rPr>
          <w:t>Plains All American 2013 Long-Term Incentive Plan (incorporated by reference to Exhibit A to PAA’s Definitive Proxy Statement</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FF"/>
          </w:rPr>
          <w:t>filed on October 3, 2013).</w:t>
        </w:r>
      </w:hyperlink>
    </w:p>
    <w:p>
      <w:pPr>
        <w:spacing w:after="0" w:line="118" w:lineRule="exact"/>
        <w:rPr>
          <w:sz w:val="20"/>
          <w:szCs w:val="20"/>
          <w:color w:val="auto"/>
        </w:rPr>
      </w:pPr>
    </w:p>
    <w:p>
      <w:pPr>
        <w:ind w:left="1260" w:right="340" w:hanging="1619"/>
        <w:spacing w:after="0" w:line="237"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Plains All American PNG Successor Long-Term Incentive Plan (incorporated by reference to Exhibit 4.4 to PAA’s Registration</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Statement on Form S-8 (333-193139) filed December 31, 2013).</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PAA Natural Gas Storage, L.P. 2010 Long-Term Incentive Plan (incorporated by reference to Exhibit 10.2 to PNG’s Current Report</w:t>
              </w:r>
            </w:hyperlink>
          </w:p>
        </w:tc>
      </w:tr>
      <w:tr>
        <w:trPr>
          <w:trHeight w:val="156"/>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on Form 8-K filed May 11,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Plains GP Holdings, L.P. Long Term Incentive Plan (incorporated by reference to Exhibit 10.3 to our Current Report on Form 8-K</w:t>
              </w:r>
            </w:hyperlink>
          </w:p>
        </w:tc>
      </w:tr>
      <w:tr>
        <w:trPr>
          <w:trHeight w:val="155"/>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filed October 25, 2013).</w:t>
              </w:r>
            </w:hyperlink>
          </w:p>
        </w:tc>
        <w:tc>
          <w:tcPr>
            <w:tcW w:w="76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LTIP Grant Letter dated August 15, 2019 (Officers) (incorporated by reference to Exhibit 10.2 to our Quarterly Report on</w:t>
              </w:r>
            </w:hyperlink>
          </w:p>
        </w:tc>
      </w:tr>
      <w:tr>
        <w:trPr>
          <w:trHeight w:val="156"/>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10-Q for the quarter ended September 30, 2019).</w:t>
              </w:r>
            </w:hyperlink>
          </w:p>
        </w:tc>
        <w:tc>
          <w:tcPr>
            <w:tcW w:w="5420" w:type="dxa"/>
            <w:vAlign w:val="bottom"/>
            <w:tcBorders>
              <w:top w:val="single" w:sz="8" w:color="0000FF"/>
            </w:tcBorders>
            <w:gridSpan w:val="1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LTIP Grant Letter dated August 13, 2020 (Directors) (incorporated by reference to Exhibit 10.2 to our Quarterly Report on</w:t>
              </w:r>
            </w:hyperlink>
          </w:p>
        </w:tc>
      </w:tr>
      <w:tr>
        <w:trPr>
          <w:trHeight w:val="156"/>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10-Q for the quarter ended September 30, 2020).</w:t>
              </w:r>
            </w:hyperlink>
          </w:p>
        </w:tc>
        <w:tc>
          <w:tcPr>
            <w:tcW w:w="55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Contribution Agreement dated October 21, 2013, by and among Plains GP Holdings, L.P., PAA GP Holdings LLC and the other</w:t>
              </w:r>
            </w:hyperlink>
          </w:p>
        </w:tc>
      </w:tr>
      <w:tr>
        <w:trPr>
          <w:trHeight w:val="155"/>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parties signatory thereto (incorporated by reference to Exhibit 10.2 to our Current Report on Form 8-K filed October 25, 2013).</w:t>
              </w:r>
            </w:hyperlink>
          </w:p>
        </w:tc>
        <w:tc>
          <w:tcPr>
            <w:tcW w:w="6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10.33**</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Special Retention LTIP Grant Letter dated November 20, 2019 (incorporated by reference to Exhibit 10.54 to our Annual</w:t>
              </w:r>
            </w:hyperlink>
          </w:p>
        </w:tc>
      </w:tr>
      <w:tr>
        <w:trPr>
          <w:trHeight w:val="156"/>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Report on Form 10-K for the year ended December 31, 2020).</w:t>
              </w:r>
            </w:hyperlink>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Form of Amended and Restated Special Retention LTIP Grant Letter Dated February 24, 2022 (incorporated by reference to Exhibit</w:t>
              </w:r>
            </w:hyperlink>
          </w:p>
        </w:tc>
      </w:tr>
      <w:tr>
        <w:trPr>
          <w:trHeight w:val="156"/>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our Quarterly Report on Form 10-Q for the quarter ended March 31, 2022).</w:t>
              </w:r>
            </w:hyperlink>
          </w:p>
        </w:tc>
        <w:tc>
          <w:tcPr>
            <w:tcW w:w="35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10.35**</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of LTIP Grant Letter dated August 19, 2021 (Named Executive Officers) (incorporated by reference to Exhibit 10.3 to our</w:t>
              </w:r>
            </w:hyperlink>
          </w:p>
        </w:tc>
      </w:tr>
      <w:tr>
        <w:trPr>
          <w:trHeight w:val="156"/>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Quarterly Report on Form 10-Q for the quarter ended September 30, 2021).</w:t>
              </w:r>
            </w:hyperlink>
          </w:p>
        </w:tc>
        <w:tc>
          <w:tcPr>
            <w:tcW w:w="320" w:type="dxa"/>
            <w:vAlign w:val="bottom"/>
            <w:gridSpan w:val="8"/>
          </w:tcPr>
          <w:p>
            <w:pPr>
              <w:spacing w:after="0"/>
              <w:rPr>
                <w:sz w:val="13"/>
                <w:szCs w:val="13"/>
                <w:color w:val="auto"/>
              </w:rPr>
            </w:pPr>
          </w:p>
        </w:tc>
      </w:tr>
      <w:tr>
        <w:trPr>
          <w:trHeight w:val="20"/>
        </w:trPr>
        <w:tc>
          <w:tcPr>
            <w:tcW w:w="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10.36**</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LTIP Grant Letter dated August 19, 2021 (Directors) (incorporated by reference to Exhibit 10.4 to our Quarterly Report on</w:t>
              </w:r>
            </w:hyperlink>
          </w:p>
        </w:tc>
      </w:tr>
      <w:tr>
        <w:trPr>
          <w:trHeight w:val="156"/>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10-Q for the quarter ended September 30, 2021).</w:t>
              </w:r>
            </w:hyperlink>
          </w:p>
        </w:tc>
        <w:tc>
          <w:tcPr>
            <w:tcW w:w="550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10.37**</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Form of LTIP Grant Letter dated August 18, 2022 (Named Executive Officers) (incorporated by reference to Exhibit 10.4 to our</w:t>
              </w:r>
            </w:hyperlink>
          </w:p>
        </w:tc>
      </w:tr>
      <w:tr>
        <w:trPr>
          <w:trHeight w:val="155"/>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Quarterly Report on Form 10-Q for the quarter ended September 30, 2022).</w:t>
              </w:r>
            </w:hyperlink>
          </w:p>
        </w:tc>
        <w:tc>
          <w:tcPr>
            <w:tcW w:w="320" w:type="dxa"/>
            <w:vAlign w:val="bottom"/>
            <w:gridSpan w:val="8"/>
          </w:tcPr>
          <w:p>
            <w:pPr>
              <w:spacing w:after="0"/>
              <w:rPr>
                <w:sz w:val="13"/>
                <w:szCs w:val="13"/>
                <w:color w:val="auto"/>
              </w:rPr>
            </w:pPr>
          </w:p>
        </w:tc>
      </w:tr>
      <w:tr>
        <w:trPr>
          <w:trHeight w:val="20"/>
        </w:trPr>
        <w:tc>
          <w:tcPr>
            <w:tcW w:w="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10.38**</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LTIP Grant Letter dated August 17, 2023 (Named Executive Officers) (incorporated by reference to Exhibit 10.1 to our</w:t>
              </w:r>
            </w:hyperlink>
          </w:p>
        </w:tc>
      </w:tr>
      <w:tr>
        <w:trPr>
          <w:trHeight w:val="156"/>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Quarterly Report on Form 10-Q for the quarter ended September 30, 2023).</w:t>
              </w:r>
            </w:hyperlink>
          </w:p>
        </w:tc>
        <w:tc>
          <w:tcPr>
            <w:tcW w:w="320" w:type="dxa"/>
            <w:vAlign w:val="bottom"/>
            <w:gridSpan w:val="8"/>
          </w:tcPr>
          <w:p>
            <w:pPr>
              <w:spacing w:after="0"/>
              <w:rPr>
                <w:sz w:val="13"/>
                <w:szCs w:val="13"/>
                <w:color w:val="auto"/>
              </w:rPr>
            </w:pPr>
          </w:p>
        </w:tc>
      </w:tr>
      <w:tr>
        <w:trPr>
          <w:trHeight w:val="20"/>
        </w:trPr>
        <w:tc>
          <w:tcPr>
            <w:tcW w:w="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10.39**</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LTIP Grant Letter dated August 17, 2023 (Directors) (incorporated by reference to Exhibit 10.2 to our Quarterly Report on</w:t>
              </w:r>
            </w:hyperlink>
          </w:p>
        </w:tc>
      </w:tr>
      <w:tr>
        <w:trPr>
          <w:trHeight w:val="155"/>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10-Q for the quarter ended September 30, 2023).</w:t>
              </w:r>
            </w:hyperlink>
          </w:p>
        </w:tc>
        <w:tc>
          <w:tcPr>
            <w:tcW w:w="550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of LTIP Grant Letter dated August 15, 2024 (Named Executive Officers) (incorporated by reference to Exhibit 10.3 to our</w:t>
              </w:r>
            </w:hyperlink>
          </w:p>
        </w:tc>
      </w:tr>
      <w:tr>
        <w:trPr>
          <w:trHeight w:val="155"/>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Quarterly Report on Form 10-Q for the quarter ended September 30, 2024).</w:t>
              </w:r>
            </w:hyperlink>
          </w:p>
        </w:tc>
        <w:tc>
          <w:tcPr>
            <w:tcW w:w="320" w:type="dxa"/>
            <w:vAlign w:val="bottom"/>
            <w:gridSpan w:val="8"/>
          </w:tcPr>
          <w:p>
            <w:pPr>
              <w:spacing w:after="0"/>
              <w:rPr>
                <w:sz w:val="13"/>
                <w:szCs w:val="13"/>
                <w:color w:val="auto"/>
              </w:rPr>
            </w:pPr>
          </w:p>
        </w:tc>
      </w:tr>
      <w:tr>
        <w:trPr>
          <w:trHeight w:val="20"/>
        </w:trPr>
        <w:tc>
          <w:tcPr>
            <w:tcW w:w="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of LTIP Grant Letter dated August 15, 2024 (Directors) (incorporated by reference to Exhibit 10.4 to our Quarterly Report on</w:t>
              </w:r>
            </w:hyperlink>
          </w:p>
        </w:tc>
      </w:tr>
      <w:tr>
        <w:trPr>
          <w:trHeight w:val="155"/>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Form 10-Q for the quarter ended September 30, 2024).</w:t>
              </w:r>
            </w:hyperlink>
          </w:p>
        </w:tc>
        <w:tc>
          <w:tcPr>
            <w:tcW w:w="552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Policy on Insider Trading.</w:t>
            </w:r>
          </w:p>
        </w:tc>
      </w:tr>
      <w:tr>
        <w:trPr>
          <w:trHeight w:val="20"/>
        </w:trPr>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3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19.2</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Policy Regarding Special Trading Procedures.</w:t>
            </w:r>
          </w:p>
        </w:tc>
        <w:tc>
          <w:tcPr>
            <w:tcW w:w="6200" w:type="dxa"/>
            <w:vAlign w:val="bottom"/>
            <w:gridSpan w:val="20"/>
          </w:tcPr>
          <w:p>
            <w:pPr>
              <w:spacing w:after="0"/>
              <w:rPr>
                <w:sz w:val="24"/>
                <w:szCs w:val="24"/>
                <w:color w:val="auto"/>
              </w:rPr>
            </w:pP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List of Subsidiaries of Plains GP Holdings, L.P.</w:t>
            </w:r>
          </w:p>
        </w:tc>
        <w:tc>
          <w:tcPr>
            <w:tcW w:w="6100" w:type="dxa"/>
            <w:vAlign w:val="bottom"/>
            <w:gridSpan w:val="19"/>
          </w:tcPr>
          <w:p>
            <w:pPr>
              <w:spacing w:after="0"/>
              <w:rPr>
                <w:sz w:val="24"/>
                <w:szCs w:val="24"/>
                <w:color w:val="auto"/>
              </w:rPr>
            </w:pPr>
          </w:p>
        </w:tc>
      </w:tr>
      <w:tr>
        <w:trPr>
          <w:trHeight w:val="3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w:t>
            </w:r>
          </w:p>
        </w:tc>
        <w:tc>
          <w:tcPr>
            <w:tcW w:w="6520" w:type="dxa"/>
            <w:vAlign w:val="bottom"/>
            <w:gridSpan w:val="21"/>
          </w:tcPr>
          <w:p>
            <w:pPr>
              <w:spacing w:after="0"/>
              <w:rPr>
                <w:sz w:val="24"/>
                <w:szCs w:val="24"/>
                <w:color w:val="auto"/>
              </w:rPr>
            </w:pPr>
          </w:p>
        </w:tc>
      </w:tr>
      <w:tr>
        <w:trPr>
          <w:trHeight w:val="3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w:t>
            </w:r>
          </w:p>
        </w:tc>
      </w:tr>
      <w:tr>
        <w:trPr>
          <w:trHeight w:val="3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Exchange Act Rules 13a-14(a) and 15d-14(a).</w:t>
            </w:r>
          </w:p>
        </w:tc>
        <w:tc>
          <w:tcPr>
            <w:tcW w:w="40" w:type="dxa"/>
            <w:vAlign w:val="bottom"/>
            <w:tcBorders>
              <w:top w:val="single" w:sz="8" w:color="0000FF"/>
            </w:tcBorders>
          </w:tcPr>
          <w:p>
            <w:pPr>
              <w:spacing w:after="0"/>
              <w:rPr>
                <w:sz w:val="24"/>
                <w:szCs w:val="24"/>
                <w:color w:val="auto"/>
              </w:rPr>
            </w:pPr>
          </w:p>
        </w:tc>
        <w:tc>
          <w:tcPr>
            <w:tcW w:w="2200" w:type="dxa"/>
            <w:vAlign w:val="bottom"/>
            <w:gridSpan w:val="10"/>
          </w:tcPr>
          <w:p>
            <w:pPr>
              <w:spacing w:after="0"/>
              <w:rPr>
                <w:sz w:val="24"/>
                <w:szCs w:val="24"/>
                <w:color w:val="auto"/>
              </w:rPr>
            </w:pPr>
          </w:p>
        </w:tc>
      </w:tr>
      <w:tr>
        <w:trPr>
          <w:trHeight w:val="3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1350.</w:t>
            </w:r>
          </w:p>
        </w:tc>
      </w:tr>
      <w:tr>
        <w:trPr>
          <w:trHeight w:val="3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1350.</w:t>
            </w:r>
          </w:p>
        </w:tc>
        <w:tc>
          <w:tcPr>
            <w:tcW w:w="40" w:type="dxa"/>
            <w:vAlign w:val="bottom"/>
            <w:tcBorders>
              <w:top w:val="single" w:sz="8" w:color="0000FF"/>
            </w:tcBorders>
          </w:tcPr>
          <w:p>
            <w:pPr>
              <w:spacing w:after="0"/>
              <w:rPr>
                <w:sz w:val="24"/>
                <w:szCs w:val="24"/>
                <w:color w:val="auto"/>
              </w:rPr>
            </w:pPr>
          </w:p>
        </w:tc>
        <w:tc>
          <w:tcPr>
            <w:tcW w:w="4360" w:type="dxa"/>
            <w:vAlign w:val="bottom"/>
            <w:gridSpan w:val="14"/>
          </w:tcPr>
          <w:p>
            <w:pPr>
              <w:spacing w:after="0"/>
              <w:rPr>
                <w:sz w:val="24"/>
                <w:szCs w:val="24"/>
                <w:color w:val="auto"/>
              </w:rPr>
            </w:pPr>
          </w:p>
        </w:tc>
      </w:tr>
      <w:tr>
        <w:trPr>
          <w:trHeight w:val="3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620" w:type="dxa"/>
            <w:vAlign w:val="bottom"/>
          </w:tcPr>
          <w:p>
            <w:pPr>
              <w:spacing w:after="0"/>
              <w:rPr>
                <w:sz w:val="24"/>
                <w:szCs w:val="24"/>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Amended and Restated Clawback Policy (incorporated by reference to Exhibit 97.1 to our Annual Report on Form 10-K for the</w:t>
              </w:r>
            </w:hyperlink>
          </w:p>
        </w:tc>
      </w:tr>
      <w:tr>
        <w:trPr>
          <w:trHeight w:val="155"/>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year ended December 31, 2023).</w:t>
              </w:r>
            </w:hyperlink>
          </w:p>
        </w:tc>
        <w:tc>
          <w:tcPr>
            <w:tcW w:w="6820" w:type="dxa"/>
            <w:vAlign w:val="bottom"/>
            <w:tcBorders>
              <w:top w:val="single" w:sz="8" w:color="0000FF"/>
            </w:tcBorders>
            <w:gridSpan w:val="14"/>
          </w:tcPr>
          <w:p>
            <w:pPr>
              <w:spacing w:after="0"/>
              <w:rPr>
                <w:sz w:val="13"/>
                <w:szCs w:val="13"/>
                <w:color w:val="auto"/>
              </w:rPr>
            </w:pPr>
          </w:p>
        </w:tc>
        <w:tc>
          <w:tcPr>
            <w:tcW w:w="360" w:type="dxa"/>
            <w:vAlign w:val="bottom"/>
            <w:gridSpan w:val="9"/>
          </w:tcPr>
          <w:p>
            <w:pPr>
              <w:spacing w:after="0"/>
              <w:rPr>
                <w:sz w:val="13"/>
                <w:szCs w:val="13"/>
                <w:color w:val="auto"/>
              </w:rPr>
            </w:pPr>
          </w:p>
        </w:tc>
      </w:tr>
      <w:tr>
        <w:trPr>
          <w:trHeight w:val="3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5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Inline XBRL Taxonomy Extension Schema Document</w:t>
      </w:r>
    </w:p>
    <w:p>
      <w:pPr>
        <w:spacing w:after="0" w:line="1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Inline XBRL Taxonomy Extension Calculation Linkbase Document</w:t>
      </w:r>
    </w:p>
    <w:p>
      <w:pPr>
        <w:spacing w:after="0" w:line="1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Inline XBRL Taxonomy Extension Definition Linkbase Document</w:t>
      </w:r>
    </w:p>
    <w:p>
      <w:pPr>
        <w:spacing w:after="0" w:line="1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Inline XBRL Taxonomy Extension Label Linkbase Document</w:t>
      </w:r>
    </w:p>
    <w:p>
      <w:pPr>
        <w:spacing w:after="0" w:line="1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Inline XBRL Taxonomy Extension Presentation Linkbase Document</w:t>
      </w:r>
    </w:p>
    <w:p>
      <w:pPr>
        <w:spacing w:after="0" w:line="1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128905</wp:posOffset>
            </wp:positionV>
            <wp:extent cx="22885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460"/>
            <w:col w:w="9960"/>
          </w:cols>
          <w:pgMar w:left="320" w:top="126" w:right="359" w:bottom="1440" w:gutter="0" w:footer="0" w:header="0"/>
          <w:type w:val="continuous"/>
        </w:sectPr>
      </w:pPr>
    </w:p>
    <w:p>
      <w:pPr>
        <w:spacing w:after="0" w:line="187" w:lineRule="exact"/>
        <w:rPr>
          <w:sz w:val="20"/>
          <w:szCs w:val="20"/>
          <w:color w:val="auto"/>
        </w:rPr>
      </w:pPr>
    </w:p>
    <w:p>
      <w:pPr>
        <w:ind w:left="120" w:hanging="112"/>
        <w:spacing w:after="0"/>
        <w:tabs>
          <w:tab w:leader="none" w:pos="1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Furnished herewith.</w:t>
      </w:r>
    </w:p>
    <w:p>
      <w:pPr>
        <w:spacing w:after="0" w:line="117" w:lineRule="exact"/>
        <w:rPr>
          <w:sz w:val="20"/>
          <w:szCs w:val="20"/>
          <w:color w:val="auto"/>
        </w:rPr>
      </w:pPr>
    </w:p>
    <w:p>
      <w:pPr>
        <w:ind w:left="660" w:hanging="652"/>
        <w:spacing w:after="0" w:line="282" w:lineRule="auto"/>
        <w:tabs>
          <w:tab w:leader="none" w:pos="2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601(b)(2) of Regulation S-K. A copy of any omitted schedule will be furnished supplementally to the SEC upon request.</w:t>
      </w:r>
    </w:p>
    <w:p>
      <w:pPr>
        <w:spacing w:after="0" w:line="5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Management compensatory plan or arrangement.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31" w:lineRule="exact"/>
        <w:rPr>
          <w:sz w:val="20"/>
          <w:szCs w:val="20"/>
          <w:color w:val="auto"/>
        </w:rPr>
      </w:pPr>
    </w:p>
    <w:p>
      <w:pPr>
        <w:jc w:val="center"/>
        <w:ind w:left="5540"/>
        <w:spacing w:after="0"/>
        <w:tabs>
          <w:tab w:leader="none" w:pos="180" w:val="left"/>
        </w:tabs>
        <w:rPr>
          <w:sz w:val="20"/>
          <w:szCs w:val="20"/>
          <w:color w:val="auto"/>
        </w:rPr>
      </w:pPr>
      <w:r>
        <w:rPr>
          <w:rFonts w:ascii="Times New Roman" w:cs="Times New Roman" w:eastAsia="Times New Roman" w:hAnsi="Times New Roman"/>
          <w:sz w:val="18"/>
          <w:szCs w:val="18"/>
          <w:color w:val="auto"/>
        </w:rPr>
        <w:t>By:</w:t>
        <w:tab/>
        <w:t>PAA GP HOLDINGS LLC,</w:t>
      </w:r>
    </w:p>
    <w:p>
      <w:pPr>
        <w:spacing w:after="0" w:line="23"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34" w:lineRule="exact"/>
        <w:rPr>
          <w:sz w:val="20"/>
          <w:szCs w:val="20"/>
          <w:color w:val="auto"/>
        </w:rPr>
      </w:pPr>
    </w:p>
    <w:p>
      <w:pPr>
        <w:ind w:left="560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2918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Willie Chiang,</w:t>
      </w:r>
    </w:p>
    <w:p>
      <w:pPr>
        <w:spacing w:after="0" w:line="1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Chairman of the Board and Chief Executive Officer of PAA GP</w:t>
      </w: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Holdings LLC</w:t>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93" w:lineRule="exact"/>
        <w:rPr>
          <w:sz w:val="20"/>
          <w:szCs w:val="20"/>
          <w:color w:val="auto"/>
        </w:rPr>
      </w:pPr>
    </w:p>
    <w:p>
      <w:pPr>
        <w:ind w:left="560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2918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Al Swanson,</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of PAA GP Holdings LLC</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93" w:lineRule="exact"/>
        <w:rPr>
          <w:sz w:val="20"/>
          <w:szCs w:val="20"/>
          <w:color w:val="auto"/>
        </w:rPr>
      </w:pPr>
    </w:p>
    <w:p>
      <w:pPr>
        <w:ind w:left="560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2918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Chris Herbold,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i w:val="1"/>
          <w:iCs w:val="1"/>
          <w:color w:val="auto"/>
        </w:rPr>
        <w:t>Senior Vice President, Finance and Chief Accounting Officer of PAA</w:t>
      </w: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GP Holdings LLC</w:t>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126" w:right="359" w:bottom="1440" w:gutter="0" w:footer="0" w:header="0"/>
        </w:sectPr>
      </w:pPr>
    </w:p>
    <w:p>
      <w:pPr>
        <w:spacing w:after="0" w:line="22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16459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Willie Chiang</w:t>
      </w:r>
    </w:p>
    <w:p>
      <w:pPr>
        <w:spacing w:after="0" w:line="27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Harry N. Pefanis</w:t>
      </w:r>
    </w:p>
    <w:p>
      <w:pPr>
        <w:spacing w:after="0" w:line="27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4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Al Swanson</w:t>
      </w:r>
    </w:p>
    <w:p>
      <w:pPr>
        <w:spacing w:after="0" w:line="27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Chris Herbold</w:t>
      </w:r>
    </w:p>
    <w:p>
      <w:pPr>
        <w:spacing w:after="0" w:line="23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Greg L. Armstrong</w:t>
      </w:r>
    </w:p>
    <w:p>
      <w:pPr>
        <w:spacing w:after="0" w:line="23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Victor Burk</w:t>
      </w:r>
    </w:p>
    <w:p>
      <w:pPr>
        <w:spacing w:after="0" w:line="23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Ellen R. DeSanctis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Ellen R. DeSanctis</w:t>
      </w:r>
    </w:p>
    <w:p>
      <w:pPr>
        <w:spacing w:after="0" w:line="23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Kevin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Kevin McCarthy</w:t>
      </w:r>
    </w:p>
    <w:p>
      <w:pPr>
        <w:spacing w:after="0" w:line="29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Gary R. Petersen</w:t>
      </w:r>
    </w:p>
    <w:p>
      <w:pPr>
        <w:spacing w:after="0" w:line="23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Alexandra D. Pruner</w:t>
      </w:r>
    </w:p>
    <w:p>
      <w:pPr>
        <w:spacing w:after="0" w:line="23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John T. Raymond</w:t>
      </w:r>
    </w:p>
    <w:p>
      <w:pPr>
        <w:spacing w:after="0" w:line="23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6459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Bobby S. Shackouls</w:t>
      </w:r>
    </w:p>
    <w:p>
      <w:pPr>
        <w:spacing w:after="0" w:line="23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color w:val="auto"/>
        </w:rPr>
        <w:t>/s/ Lawrence M. Ziemba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16459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Lawrence M. Ziemba</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760" w:type="dxa"/>
            <w:vAlign w:val="bottom"/>
            <w:gridSpan w:val="2"/>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372"/>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 of PAA GP Holdings LLC (Principal</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1740" w:type="dxa"/>
            <w:vAlign w:val="bottom"/>
          </w:tcPr>
          <w:p>
            <w:pPr>
              <w:spacing w:after="0"/>
              <w:rPr>
                <w:sz w:val="20"/>
                <w:szCs w:val="20"/>
                <w:color w:val="auto"/>
              </w:rPr>
            </w:pPr>
          </w:p>
        </w:tc>
      </w:tr>
      <w:tr>
        <w:trPr>
          <w:trHeight w:val="57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President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702"/>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PAA GP Holdings LLC (Principal</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1740" w:type="dxa"/>
            <w:vAlign w:val="bottom"/>
          </w:tcPr>
          <w:p>
            <w:pPr>
              <w:spacing w:after="0"/>
              <w:rPr>
                <w:sz w:val="20"/>
                <w:szCs w:val="20"/>
                <w:color w:val="auto"/>
              </w:rPr>
            </w:pPr>
          </w:p>
        </w:tc>
      </w:tr>
      <w:tr>
        <w:trPr>
          <w:trHeight w:val="522"/>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 Accounting Officer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r>
      <w:tr>
        <w:trPr>
          <w:trHeight w:val="57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8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8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7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8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8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8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r>
    </w:tbl>
    <w:p>
      <w:pPr>
        <w:spacing w:after="0" w:line="415" w:lineRule="exact"/>
        <w:rPr>
          <w:sz w:val="20"/>
          <w:szCs w:val="20"/>
          <w:color w:val="auto"/>
        </w:rPr>
      </w:pPr>
    </w:p>
    <w:p>
      <w:pPr>
        <w:sectPr>
          <w:pgSz w:w="11900" w:h="16838" w:orient="portrait"/>
          <w:cols w:equalWidth="0" w:num="2">
            <w:col w:w="2200" w:space="520"/>
            <w:col w:w="8500"/>
          </w:cols>
          <w:pgMar w:left="320" w:top="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4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240" w:type="dxa"/>
            <w:vAlign w:val="bottom"/>
            <w:gridSpan w:val="31"/>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49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w w:val="99"/>
              </w:rPr>
              <w:t>Management’s Report on Internal Control Over Financial Reporting</w:t>
            </w:r>
          </w:p>
        </w:tc>
        <w:tc>
          <w:tcPr>
            <w:tcW w:w="5220" w:type="dxa"/>
            <w:vAlign w:val="bottom"/>
            <w:gridSpan w:val="7"/>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F-2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E32E1"/>
              </w:rPr>
              <w:t>238</w:t>
            </w:r>
            <w:r>
              <w:rPr>
                <w:rFonts w:ascii="Times New Roman" w:cs="Times New Roman" w:eastAsia="Times New Roman" w:hAnsi="Times New Roman"/>
                <w:sz w:val="18"/>
                <w:szCs w:val="18"/>
                <w:u w:val="single" w:color="auto"/>
                <w:color w:val="0000FF"/>
              </w:rPr>
              <w:t>)</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320" w:type="dxa"/>
            <w:vAlign w:val="bottom"/>
          </w:tcPr>
          <w:p>
            <w:pPr>
              <w:spacing w:after="0"/>
              <w:rPr>
                <w:sz w:val="18"/>
                <w:szCs w:val="18"/>
                <w:color w:val="auto"/>
              </w:rPr>
            </w:pPr>
          </w:p>
        </w:tc>
        <w:tc>
          <w:tcPr>
            <w:tcW w:w="460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1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Statements of Changes in Accumulated Other Comprehensive Income/(Loss) for the years ended December 31, 2024, 2023</w:t>
            </w:r>
          </w:p>
        </w:tc>
        <w:tc>
          <w:tcPr>
            <w:tcW w:w="580" w:type="dxa"/>
            <w:vAlign w:val="bottom"/>
          </w:tcPr>
          <w:p>
            <w:pPr>
              <w:spacing w:after="0"/>
              <w:rPr>
                <w:sz w:val="18"/>
                <w:szCs w:val="18"/>
                <w:color w:val="auto"/>
              </w:rPr>
            </w:pPr>
          </w:p>
        </w:tc>
        <w:tc>
          <w:tcPr>
            <w:tcW w:w="3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F-7</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720" w:type="dxa"/>
            <w:vAlign w:val="bottom"/>
            <w:tcBorders>
              <w:top w:val="single" w:sz="8" w:color="0000FF"/>
            </w:tcBorders>
            <w:gridSpan w:val="28"/>
          </w:tcPr>
          <w:p>
            <w:pPr>
              <w:spacing w:after="0" w:line="142" w:lineRule="exact"/>
              <w:rPr>
                <w:sz w:val="20"/>
                <w:szCs w:val="20"/>
                <w:color w:val="auto"/>
              </w:rPr>
            </w:pPr>
            <w:r>
              <w:rPr>
                <w:rFonts w:ascii="Times New Roman" w:cs="Times New Roman" w:eastAsia="Times New Roman" w:hAnsi="Times New Roman"/>
                <w:sz w:val="16"/>
                <w:szCs w:val="16"/>
                <w:color w:val="0000FF"/>
              </w:rPr>
              <w:t>and 2022</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3"/>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80" w:type="dxa"/>
            <w:vAlign w:val="bottom"/>
            <w:gridSpan w:val="5"/>
          </w:tcPr>
          <w:p>
            <w:pPr>
              <w:spacing w:after="0"/>
              <w:rPr>
                <w:sz w:val="2"/>
                <w:szCs w:val="2"/>
                <w:color w:val="auto"/>
              </w:rPr>
            </w:pPr>
          </w:p>
        </w:tc>
        <w:tc>
          <w:tcPr>
            <w:tcW w:w="1280" w:type="dxa"/>
            <w:vAlign w:val="bottom"/>
            <w:gridSpan w:val="2"/>
          </w:tcPr>
          <w:p>
            <w:pPr>
              <w:spacing w:after="0"/>
              <w:rPr>
                <w:sz w:val="2"/>
                <w:szCs w:val="2"/>
                <w:color w:val="auto"/>
              </w:rPr>
            </w:pPr>
          </w:p>
        </w:tc>
        <w:tc>
          <w:tcPr>
            <w:tcW w:w="2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68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years ended December 31, 2024, 2023 and 2022</w:t>
            </w:r>
          </w:p>
        </w:tc>
        <w:tc>
          <w:tcPr>
            <w:tcW w:w="32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81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Partners’ Capital for the years ended December 31, 2024, 2023 and 2022</w:t>
            </w:r>
          </w:p>
        </w:tc>
        <w:tc>
          <w:tcPr>
            <w:tcW w:w="20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4660" w:type="dxa"/>
            <w:vAlign w:val="bottom"/>
            <w:gridSpan w:val="12"/>
          </w:tcPr>
          <w:p>
            <w:pPr>
              <w:spacing w:after="0"/>
              <w:rPr>
                <w:sz w:val="18"/>
                <w:szCs w:val="18"/>
                <w:color w:val="auto"/>
              </w:rPr>
            </w:pPr>
          </w:p>
        </w:tc>
        <w:tc>
          <w:tcPr>
            <w:tcW w:w="20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rPr>
              <w:t>1.</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Organization and Basis of Consolidation and Presentation</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3.</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F-15</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Net Income Per Class A Share</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F-19</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5.</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Inventory, Linefill and Long-term Inventory</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F-20</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6.</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Property and Equipment</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7.</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Acquisitions, Divestitures and Other Transactions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8.</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Investments in Unconsolidated Entities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F-26</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9.</w:t>
            </w:r>
          </w:p>
        </w:tc>
        <w:tc>
          <w:tcPr>
            <w:tcW w:w="98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Intangible Assets, Net</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10.</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Debt</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11. Partners’ Capital and Distributions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12.</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Derivatives and Risk Management Activities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F-38</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13.</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Leases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F-42</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14.</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F-45</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15.</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Major Customers and Concentration of Credit Risk</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16.</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F-48</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100" w:type="dxa"/>
            <w:vAlign w:val="bottom"/>
            <w:gridSpan w:val="1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17.</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Equity-Indexed Compensation Plans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F-49</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100" w:type="dxa"/>
            <w:vAlign w:val="bottom"/>
            <w:gridSpan w:val="1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18.</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F-50</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7340" w:type="dxa"/>
            <w:vAlign w:val="bottom"/>
            <w:gridSpan w:val="1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19.</w:t>
            </w:r>
          </w:p>
        </w:tc>
        <w:tc>
          <w:tcPr>
            <w:tcW w:w="976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Segment Information</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2024.</w:t>
      </w:r>
    </w:p>
    <w:p>
      <w:pPr>
        <w:spacing w:after="0" w:line="207" w:lineRule="exact"/>
        <w:rPr>
          <w:sz w:val="20"/>
          <w:szCs w:val="20"/>
          <w:color w:val="auto"/>
        </w:rPr>
      </w:pPr>
    </w:p>
    <w:p>
      <w:pPr>
        <w:jc w:val="both"/>
        <w:ind w:right="1620" w:firstLine="648"/>
        <w:spacing w:after="0" w:line="312" w:lineRule="auto"/>
        <w:rPr>
          <w:sz w:val="20"/>
          <w:szCs w:val="20"/>
          <w:color w:val="auto"/>
        </w:rPr>
      </w:pPr>
      <w:r>
        <w:rPr>
          <w:rFonts w:ascii="Times New Roman" w:cs="Times New Roman" w:eastAsia="Times New Roman" w:hAnsi="Times New Roman"/>
          <w:sz w:val="17"/>
          <w:szCs w:val="17"/>
          <w:color w:val="auto"/>
        </w:rPr>
        <w:t>The effectiveness of the Partnership’s internal control over financial reporting as of December 31, 2024 has been audited by PricewaterhouseCoopers LLP, an independent registered public accounting firm, as stated in their report which appears on Page F-3.</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17145</wp:posOffset>
            </wp:positionV>
            <wp:extent cx="4963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2">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3440" w:right="2160"/>
        <w:spacing w:after="0" w:line="292" w:lineRule="auto"/>
        <w:rPr>
          <w:sz w:val="20"/>
          <w:szCs w:val="20"/>
          <w:color w:val="auto"/>
        </w:rPr>
      </w:pPr>
      <w:r>
        <w:rPr>
          <w:rFonts w:ascii="Times New Roman" w:cs="Times New Roman" w:eastAsia="Times New Roman" w:hAnsi="Times New Roman"/>
          <w:sz w:val="18"/>
          <w:szCs w:val="18"/>
          <w:i w:val="1"/>
          <w:iCs w:val="1"/>
          <w:color w:val="auto"/>
        </w:rPr>
        <w:t>Chairman of the Board and Chief Executive Officer of PAA GP Holdings LLC (Principal Executive Officer)</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17145</wp:posOffset>
            </wp:positionV>
            <wp:extent cx="4963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3">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3440" w:right="2040"/>
        <w:spacing w:after="0" w:line="292" w:lineRule="auto"/>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 PAA GP Holdings LLC (Principal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PAA GP Holdings LLC and Shareholders of Plains GP Holdings, 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Plains GP Holdings, L.P. and its subsidiaries (the “Partnership”) as of December 31, 2024 and 2023, and the related consolidated statements of operations, of comprehensive income, of changes in accumulated other comprehensive income (loss), of changes in partners’ capital and of cash flows for each of the three years in the period ended December 31, 2024, including the related notes (collectively referred to as the “consolidated financial statements”). We also have audited the Partnership’s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Partnership as of December 31, 2024 and 2023, and the results of its operations and its cash flows for each of the three years in the period ended December 31, 2024 in conformity with accounting principles generally accepted in the United States of America. Also in our opinion, the Partnership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Crude Oil Sales</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revenue from sales of crude oil are recognized at the time title to the product sold transfers to the purchaser, which occurs upon delivery of the product to the purchaser or its designee. The consideration received under these contracts is variable based on commodity prices. The Partnership recognized crude oil sales of $47,036 million for the year ended December 31, 2024.</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crude oil sales is a critical audit matter is a high degree of auditor effort in performing procedures related to the Partnership’s revenue recognition.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crude oil sales. These procedures also included, among others (i) testing revenue recognized for a sample of crude oil sales revenue transactions by obtaining and inspecting source documents, such as contracts, settlement statements, invoices, and payment receipts and (ii) confirming a sample of outstanding customer invoice balances as of December 31, 2024, and for confirmations not returned, obtaining and inspecting source documents, such as contracts, settlement statements, invoices, and subsequent payment receipts.</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Houston, Texas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27, 2025</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 have served as the Partnership’s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196"/>
        </w:trPr>
        <w:tc>
          <w:tcPr>
            <w:tcW w:w="8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r>
      <w:tr>
        <w:trPr>
          <w:trHeight w:val="223"/>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15,782</w:t>
            </w:r>
          </w:p>
        </w:tc>
      </w:tr>
      <w:tr>
        <w:trPr>
          <w:trHeight w:val="196"/>
        </w:trPr>
        <w:tc>
          <w:tcPr>
            <w:tcW w:w="8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3"/>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8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3"/>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196"/>
        </w:trPr>
        <w:tc>
          <w:tcPr>
            <w:tcW w:w="8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r>
      <w:tr>
        <w:trPr>
          <w:trHeight w:val="196"/>
        </w:trPr>
        <w:tc>
          <w:tcPr>
            <w:tcW w:w="8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shareholders (197,465,699 and 196,416,760 shares outstanding, respectively)</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r>
      <w:tr>
        <w:trPr>
          <w:trHeight w:val="223"/>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partners’ capital</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14,972</w:t>
            </w:r>
          </w:p>
        </w:tc>
      </w:tr>
      <w:tr>
        <w:trPr>
          <w:trHeight w:val="248"/>
        </w:trPr>
        <w:tc>
          <w:tcPr>
            <w:tcW w:w="8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55,948</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23"/>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57,342</w:t>
            </w:r>
          </w:p>
        </w:tc>
      </w:tr>
      <w:tr>
        <w:trPr>
          <w:trHeight w:val="216"/>
        </w:trPr>
        <w:tc>
          <w:tcPr>
            <w:tcW w:w="7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53,176</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 (Note 6, Note 7)</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56,058</w:t>
            </w:r>
          </w:p>
        </w:tc>
      </w:tr>
      <w:tr>
        <w:trPr>
          <w:trHeight w:val="257"/>
        </w:trPr>
        <w:tc>
          <w:tcPr>
            <w:tcW w:w="7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16"/>
        </w:trPr>
        <w:tc>
          <w:tcPr>
            <w:tcW w:w="7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 (Note 7, Note 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 of $9, $10 and $5, respectively)</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7"/>
        </w:trPr>
        <w:tc>
          <w:tcPr>
            <w:tcW w:w="7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50"/>
        </w:trPr>
        <w:tc>
          <w:tcPr>
            <w:tcW w:w="7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PAGP</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4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PAGP</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ind w:left="340" w:right="2780"/>
        <w:spacing w:after="0" w:line="265"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CONSOLIDATED STATEMENTS OF CHANGES IN ACCUMULATED OTHER COMPREHENSIVE INCOME/(LOSS) (in millions)</w:t>
      </w: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2022 Activity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2023 Activity</w:t>
            </w: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2024 Activity</w:t>
            </w: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r>
      <w:tr>
        <w:trPr>
          <w:trHeight w:val="211"/>
        </w:trPr>
        <w:tc>
          <w:tcPr>
            <w:tcW w:w="7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net income to net cash provided by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(Gains)/losses on asset sales, asset impairments and other, net (Note 6, Note 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Equity-indexed compensation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Gains on sales of linefill</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(Gain)/loss on foreign currency revaluation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 of terminated interest rate hedging instruments (Note 12)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Preferred Distribution Rate Reset Option (Note 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on earnings from unconsolidated entities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in unconsolidated entities, net (Note 7, Note 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7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accounts receivable and 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3"/>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Trade accounts payable and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07"/>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w:t>
            </w:r>
          </w:p>
        </w:tc>
      </w:tr>
      <w:tr>
        <w:trPr>
          <w:trHeight w:val="219"/>
        </w:trPr>
        <w:tc>
          <w:tcPr>
            <w:tcW w:w="7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acquisitions, net of cash acquired (Note 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 (Note 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equipment and 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purchases of linefill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assets (Note 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sales of linefill</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7"/>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9"/>
        </w:trPr>
        <w:tc>
          <w:tcPr>
            <w:tcW w:w="7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borrowings/(repayments) under PAA commercial paper program (Note 10)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PAA senior notes (Note 10)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PAA senior notes (Note 10)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units by a subsidiary (Note 11)</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Class A shareholders (Note 11)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(Note 11)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w:t>
            </w:r>
          </w:p>
        </w:tc>
      </w:tr>
      <w:tr>
        <w:trPr>
          <w:trHeight w:val="216"/>
        </w:trPr>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translation adjustment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increase/(decrease) in cash and cash equivalents and restricted cash</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6"/>
        </w:trPr>
        <w:tc>
          <w:tcPr>
            <w:tcW w:w="7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net of amounts refunded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bl>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160"/>
          </w:cols>
          <w:pgMar w:left="320" w:top="126" w:right="4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left="360" w:right="2560"/>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CONSOLIDATED STATEMENTS OF CHANGES IN PARTNERS’ CAPITAL (in millions)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3"/>
                <w:szCs w:val="13"/>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 Partners’</w:t>
            </w:r>
          </w:p>
        </w:tc>
      </w:tr>
      <w:tr>
        <w:trPr>
          <w:trHeight w:val="195"/>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6"/>
                <w:szCs w:val="16"/>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253"/>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(Note 11)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 (Note 14)</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(Note 11)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units by a subsidiary (Note 11)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Cactus II Pipeline LLC transaction (Note 7)</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14,638</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Distributions (Note 11)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 (Note 14)</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(Note 11)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(Note 11)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 (Note 14)</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(Note 11)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14,316</w:t>
            </w: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Plains GP Holdings, L.P. (“PAGP”) is a Delaware limited partnership formed in 2013 that has elected to be taxed as a corporation for United States federal income tax purposes. PAGP does not directly own any operating assets; as of December 31, 2024, its sole source of cash flow is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21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we owned an approximate 85% limited partner interest in Plains AAP, L.P. (“AAP”) through our ownership of approximately 197.5 million Class A units of AAP (“AAP units”). We also own a 100% managing member interest in Plains All American GP LLC (“GP LLC”), a Delaware limited liability company that holds the non-economic general partner interest in AAP. AAP is a Delaware limited partnership that, as of December 31, 2024, directly owned a limited partner interest in PAA through its ownership of approximately 232.9 million PAA common units (approximately 30% of PAA’s total outstanding common units and Series A preferred units combined). AAP is the sole member of PAA GP LLC (“PAA GP”), a Delaware limited liability company that directly holds the non-economic general partner interest in PAA.</w:t>
      </w:r>
    </w:p>
    <w:p>
      <w:pPr>
        <w:spacing w:after="0" w:line="21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and conducted through two operating segments: Crude Oil and NGL. See Note 19 for further discussion of our operating segments.</w:t>
      </w:r>
    </w:p>
    <w:p>
      <w:pPr>
        <w:spacing w:after="0" w:line="21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the “Plains Entities” include us, our general partner, GP LLC, AAP, PAA GP and PAA and its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may be used in the following notes and shall have the meanings indicated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Bcf</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Btu</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CAD</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DERs</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equivalent rights</w:t>
            </w: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EPA</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w:t>
            </w: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ICE</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864"/>
        </w:trPr>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6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F-10</w:t>
            </w:r>
          </w:p>
        </w:tc>
      </w:tr>
      <w:tr>
        <w:trPr>
          <w:trHeight w:val="115"/>
        </w:trPr>
        <w:tc>
          <w:tcPr>
            <w:tcW w:w="1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tc>
      </w:tr>
      <w:tr>
        <w:trPr>
          <w:trHeight w:val="238"/>
        </w:trPr>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NOTES TO THE CONSOLIDATED FINANCIAL STATEMENTS</w:t>
            </w:r>
          </w:p>
        </w:tc>
      </w:tr>
      <w:tr>
        <w:trPr>
          <w:trHeight w:val="52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International Swaps and Derivatives Association</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London Interbank Offered Rate</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Natural gas liquids, including ethane, propane and butane</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New York Mercantile Exchange</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Organisation for Economic Co-operation and Development</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United States Securities and Exchange Commission</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Secured Overnight Financing Rate</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56"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and related notes present and discuss our consolidated financial position as of December 31, 2024 and 2023, and the consolidated results of our operations, cash flows, changes in partners’ capital, comprehensive income and changes in accumulated other comprehensive income/(loss) for the years ended December 31, 2024, 2023 and 2022. All significant intercompany balances and transactions have been eliminated in consolidation, and certain reclassifications have been made to information from previous years to conform to the current presentation.</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spacing w:after="0" w:line="20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20" w:hanging="324"/>
        <w:spacing w:after="0" w:line="266" w:lineRule="auto"/>
        <w:tabs>
          <w:tab w:leader="none" w:pos="9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02"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88"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With the exception of a deferred tax asset of $1.220 billion and $1.239 billion as of December 31, 2024 and 2023,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2024, 2023 or 2022. See Note 16 for information regarding the Omnibus Agreement entered into by the Plains Entities on November 15, 2016.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and Related Costs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Field Operating Costs and General and Administrative Expenses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Transactions/Translation</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2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2024, 2023 and 2022, the revaluation of foreign currency transactions and monetary assets and liabilities resulted in the recognition of a net gain of $17 million, a net loss of $8 million and a net loss of $41 million, respectively, in our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203"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our policy, unless they may be covered by funds on deposit, outstanding checks are classified as trade accounts payable rather than negative cash. As of December 31, 2024 and 2023, trade accounts payable included $27 million and $26 million, respectively, of outstanding checks that were reclassified from cash and cash equivalents.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11 for additional discussion regarding our noncontrolling interests.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spacing w:after="0" w:line="21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2024, 2023 and 2022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0" w:type="dxa"/>
            <w:vAlign w:val="bottom"/>
          </w:tcPr>
          <w:p>
            <w:pPr>
              <w:spacing w:after="0"/>
              <w:rPr>
                <w:sz w:val="19"/>
                <w:szCs w:val="19"/>
                <w:color w:val="auto"/>
              </w:rPr>
            </w:pPr>
          </w:p>
        </w:tc>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40" w:type="dxa"/>
            <w:vAlign w:val="bottom"/>
          </w:tcPr>
          <w:p>
            <w:pPr>
              <w:spacing w:after="0"/>
              <w:rPr>
                <w:sz w:val="19"/>
                <w:szCs w:val="19"/>
                <w:color w:val="auto"/>
              </w:rPr>
            </w:pPr>
          </w:p>
        </w:tc>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Liabilities incurred</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0" w:type="dxa"/>
            <w:vAlign w:val="bottom"/>
          </w:tcPr>
          <w:p>
            <w:pPr>
              <w:spacing w:after="0"/>
              <w:rPr>
                <w:sz w:val="19"/>
                <w:szCs w:val="19"/>
                <w:color w:val="auto"/>
              </w:rPr>
            </w:pPr>
          </w:p>
        </w:tc>
        <w:tc>
          <w:tcPr>
            <w:tcW w:w="73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Liabilities settled </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0" w:type="dxa"/>
            <w:vAlign w:val="bottom"/>
          </w:tcPr>
          <w:p>
            <w:pPr>
              <w:spacing w:after="0"/>
              <w:rPr>
                <w:sz w:val="19"/>
                <w:szCs w:val="19"/>
                <w:color w:val="auto"/>
              </w:rPr>
            </w:pPr>
          </w:p>
        </w:tc>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Accretion expense</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0" w:type="dxa"/>
            <w:vAlign w:val="bottom"/>
          </w:tcPr>
          <w:p>
            <w:pPr>
              <w:spacing w:after="0"/>
              <w:rPr>
                <w:sz w:val="19"/>
                <w:szCs w:val="19"/>
                <w:color w:val="auto"/>
              </w:rPr>
            </w:pPr>
          </w:p>
        </w:tc>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3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17" w:lineRule="exact"/>
        <w:rPr>
          <w:sz w:val="20"/>
          <w:szCs w:val="20"/>
          <w:color w:val="auto"/>
        </w:rPr>
      </w:pPr>
    </w:p>
    <w:p>
      <w:pPr>
        <w:ind w:left="580" w:right="240" w:hanging="572"/>
        <w:spacing w:after="0" w:line="229" w:lineRule="auto"/>
        <w:tabs>
          <w:tab w:leader="none" w:pos="568"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2022 amount primarily relates to the transfer of liabilities to the third party purchaser associated with the sale of Line 901 and the Sisquoc to Pentland portion of Line 903 pipeline. See Note 7 and Note 18 for additional information.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and interest rate derivatives includes adjustments for credit risk. Our credit adjustment methodology uses market observable inputs and requires judgment. There were no changes to any of our valuation techniques during the period. See Note 12 for further discussion.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respective footnotes for our accounting policies regarding (i) revenues and accounts receivable, (ii) net income per Class A share,</w:t>
      </w:r>
    </w:p>
    <w:p>
      <w:pPr>
        <w:spacing w:after="0" w:line="27" w:lineRule="exact"/>
        <w:rPr>
          <w:sz w:val="20"/>
          <w:szCs w:val="20"/>
          <w:color w:val="auto"/>
        </w:rPr>
      </w:pPr>
    </w:p>
    <w:p>
      <w:pPr>
        <w:ind w:right="180" w:firstLine="8"/>
        <w:spacing w:after="0" w:line="255" w:lineRule="auto"/>
        <w:tabs>
          <w:tab w:leader="none" w:pos="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linefill and long-term inventory, (iv) property and equipment, (v) acquisitions, (vi) investments in unconsolidated entities, (vii) intangible assets, (viii) derivatives and risk management activities, (ix) leases, (x) income taxes, (xi) equity-indexed compensation and (xii) legal and environmental matters.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Disclosure Rules and Other Legislation</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among other things, disclosure of specified information about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expenses in the notes to the financial statements. The guidance is effective prospectively for annual periods beginning after December 15, 2026 and interim periods beginning after December 15, 2027 with retrospective application and early adoption permitted. We intend to provide the required disclosures beginning with our annual report for the year ended December 31, 2027.</w:t>
      </w:r>
    </w:p>
    <w:p>
      <w:pPr>
        <w:spacing w:after="0" w:line="21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among other things, disaggregated information about effective tax rate reconciliation and income taxes paid (net of refunds received) on an annual basis. The guidance is effective prospectively for annual periods beginning after December 15, 2024 with retrospective or early adoption permitted. We intend to provide the required disclosures prospectively beginning with our annual report for the year ended December 31, 2025.</w:t>
      </w:r>
    </w:p>
    <w:p>
      <w:pPr>
        <w:spacing w:after="0" w:line="20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disaggregated disclosure of significant segment expenses and other amounts included 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adopted this guidance beginning with our annual report for the year ended December 31, 2024. See Note 19 for updated segment disclosures. Other than such disclosure updates, our adoption did not have a material impact on our financial position, results of operations or cash flows.</w:t>
      </w:r>
    </w:p>
    <w:p>
      <w:pPr>
        <w:spacing w:after="0" w:line="20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August 2023, the FASB issued ASU 2023-05, </w:t>
      </w:r>
      <w:r>
        <w:rPr>
          <w:rFonts w:ascii="Times New Roman" w:cs="Times New Roman" w:eastAsia="Times New Roman" w:hAnsi="Times New Roman"/>
          <w:sz w:val="18"/>
          <w:szCs w:val="18"/>
          <w:i w:val="1"/>
          <w:iCs w:val="1"/>
          <w:color w:val="auto"/>
        </w:rPr>
        <w:t>Business Combinations—Joint Venture Formations (Subtopic 805-60): Recognition and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which requires a newly-formed joint venture to apply a new basis of accounting to its contributed net assets, resulting in the joint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initially measuring its contributed net assets at fair value on the formation date. This guidance is effective prospectively for all joint ventures with a formation date on or after January 1, 2025, with early adoption permitted. We will adopt this guidance for joint venture formations on or after January 1, 2025.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 Climate Disclosure Rules</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In April 2024, the SEC stayed the climate disclosure rules pending resolution of legal challenges. We are monitoring the status of the stay and the outcome of the legal challenge for the applicability of the climate disclosure rules.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International Tax Reform</w:t>
      </w:r>
    </w:p>
    <w:p>
      <w:pPr>
        <w:spacing w:after="0" w:line="25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These categories depict how the nature, amount, timing and uncertainty of revenues and cash flows are affected by economic factors.</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47,036</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53,822</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48,651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6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
        </w:trPr>
        <w:tc>
          <w:tcPr>
            <w:tcW w:w="6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Revenues. </w:t>
      </w:r>
      <w:r>
        <w:rPr>
          <w:rFonts w:ascii="Times New Roman" w:cs="Times New Roman" w:eastAsia="Times New Roman" w:hAnsi="Times New Roman"/>
          <w:sz w:val="18"/>
          <w:szCs w:val="18"/>
          <w:color w:val="auto"/>
        </w:rPr>
        <w:t>Revenues from sales of crude oil and NGL are recognized at the time title to the product sold transfers to the purchaser,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spacing w:after="0" w:line="20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Transportation Revenues. </w:t>
      </w:r>
      <w:r>
        <w:rPr>
          <w:rFonts w:ascii="Times New Roman" w:cs="Times New Roman" w:eastAsia="Times New Roman" w:hAnsi="Times New Roman"/>
          <w:sz w:val="18"/>
          <w:szCs w:val="18"/>
          <w:color w:val="auto"/>
        </w:rPr>
        <w:t>Transportation revenues include revenues from transporting crude oil and NGL on pipelines and trucks. Revenues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Terminalling, Storage and Other Revenues. </w:t>
      </w:r>
      <w:r>
        <w:rPr>
          <w:rFonts w:ascii="Times New Roman" w:cs="Times New Roman" w:eastAsia="Times New Roman" w:hAnsi="Times New Roman"/>
          <w:sz w:val="18"/>
          <w:szCs w:val="18"/>
          <w:color w:val="auto"/>
        </w:rPr>
        <w:t>Revenues in this category include (i) fees that are generated when we receive liquids from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source and deliver the applicable 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w:t>
      </w:r>
    </w:p>
    <w:p>
      <w:pPr>
        <w:spacing w:after="0" w:line="21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NGL</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50,523</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50,444</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NGL</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47,146</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48,999</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49,109</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w:t>
            </w:r>
          </w:p>
        </w:tc>
      </w:tr>
      <w:tr>
        <w:trPr>
          <w:trHeight w:val="20"/>
        </w:trPr>
        <w:tc>
          <w:tcPr>
            <w:tcW w:w="67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NGL</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57,473</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57,841</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416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gridSpan w:val="2"/>
            <w:vMerge w:val="continue"/>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00" w:type="dxa"/>
            <w:vAlign w:val="bottom"/>
            <w:tcBorders>
              <w:top w:val="single" w:sz="8" w:color="CCEEFF"/>
            </w:tcBorders>
            <w:shd w:val="clear" w:color="auto" w:fill="CCEEFF"/>
          </w:tcPr>
          <w:p>
            <w:pPr>
              <w:spacing w:after="0"/>
              <w:rPr>
                <w:sz w:val="19"/>
                <w:szCs w:val="19"/>
                <w:color w:val="auto"/>
              </w:rPr>
            </w:pPr>
          </w:p>
        </w:tc>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-153670</wp:posOffset>
            </wp:positionV>
            <wp:extent cx="708914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Amounts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24765</wp:posOffset>
            </wp:positionV>
            <wp:extent cx="708914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1">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Additions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914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Amounts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24765</wp:posOffset>
            </wp:positionV>
            <wp:extent cx="7089140"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3">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Additions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914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4">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Contract Liabilities</w:t>
            </w:r>
          </w:p>
        </w:tc>
      </w:tr>
      <w:tr>
        <w:trPr>
          <w:trHeight w:val="23"/>
        </w:trPr>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8"/>
        </w:trPr>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8"/>
        </w:trPr>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20" w:space="720"/>
            <w:col w:w="2000"/>
          </w:cols>
          <w:pgMar w:left="320" w:top="126" w:right="339" w:bottom="1440" w:gutter="0" w:footer="0" w:header="0"/>
          <w:type w:val="continuous"/>
        </w:sectPr>
      </w:pPr>
    </w:p>
    <w:p>
      <w:pPr>
        <w:spacing w:after="0" w:line="10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2024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2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20" w:type="dxa"/>
            <w:vAlign w:val="bottom"/>
            <w:gridSpan w:val="2"/>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820" w:hanging="164"/>
        <w:spacing w:after="0"/>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 as discussed below;</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21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2024 and 2023,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Consolidated Balance Sheets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spacing w:after="0"/>
              <w:rPr>
                <w:sz w:val="16"/>
                <w:szCs w:val="16"/>
                <w:color w:val="auto"/>
              </w:rPr>
            </w:pPr>
          </w:p>
        </w:tc>
      </w:tr>
      <w:tr>
        <w:trPr>
          <w:trHeight w:val="23"/>
        </w:trPr>
        <w:tc>
          <w:tcPr>
            <w:tcW w:w="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 w:type="dxa"/>
            <w:vAlign w:val="bottom"/>
          </w:tcPr>
          <w:p>
            <w:pPr>
              <w:spacing w:after="0"/>
              <w:rPr>
                <w:sz w:val="19"/>
                <w:szCs w:val="19"/>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4,090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8"/>
              </w:rPr>
              <w:t>3,999</w:t>
            </w:r>
          </w:p>
        </w:tc>
      </w:tr>
      <w:tr>
        <w:trPr>
          <w:trHeight w:val="230"/>
        </w:trPr>
        <w:tc>
          <w:tcPr>
            <w:tcW w:w="60" w:type="dxa"/>
            <w:vAlign w:val="bottom"/>
          </w:tcPr>
          <w:p>
            <w:pPr>
              <w:spacing w:after="0"/>
              <w:rPr>
                <w:sz w:val="19"/>
                <w:szCs w:val="19"/>
                <w:color w:val="auto"/>
              </w:rPr>
            </w:pPr>
          </w:p>
        </w:tc>
        <w:tc>
          <w:tcPr>
            <w:tcW w:w="7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receivables and other receivables </w:t>
            </w:r>
            <w:r>
              <w:rPr>
                <w:rFonts w:ascii="Times New Roman" w:cs="Times New Roman" w:eastAsia="Times New Roman" w:hAnsi="Times New Roman"/>
                <w:sz w:val="23"/>
                <w:szCs w:val="23"/>
                <w:color w:val="auto"/>
                <w:vertAlign w:val="superscript"/>
              </w:rPr>
              <w:t>(1)</w:t>
            </w:r>
          </w:p>
        </w:tc>
        <w:tc>
          <w:tcPr>
            <w:tcW w:w="1200" w:type="dxa"/>
            <w:vAlign w:val="bottom"/>
          </w:tcPr>
          <w:p>
            <w:pPr>
              <w:spacing w:after="0"/>
              <w:rPr>
                <w:sz w:val="19"/>
                <w:szCs w:val="19"/>
                <w:color w:val="auto"/>
              </w:rPr>
            </w:pP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8"/>
              </w:rPr>
              <w:t>7,413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8"/>
              </w:rPr>
              <w:t>7,535</w:t>
            </w:r>
          </w:p>
        </w:tc>
      </w:tr>
      <w:tr>
        <w:trPr>
          <w:trHeight w:val="229"/>
        </w:trPr>
        <w:tc>
          <w:tcPr>
            <w:tcW w:w="60" w:type="dxa"/>
            <w:vAlign w:val="bottom"/>
          </w:tcPr>
          <w:p>
            <w:pPr>
              <w:spacing w:after="0"/>
              <w:rPr>
                <w:sz w:val="19"/>
                <w:szCs w:val="19"/>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(7,602)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8"/>
              </w:rPr>
              <w:t>(7,774)</w:t>
            </w:r>
          </w:p>
        </w:tc>
      </w:tr>
      <w:tr>
        <w:trPr>
          <w:trHeight w:val="223"/>
        </w:trPr>
        <w:tc>
          <w:tcPr>
            <w:tcW w:w="60" w:type="dxa"/>
            <w:vAlign w:val="bottom"/>
          </w:tcPr>
          <w:p>
            <w:pPr>
              <w:spacing w:after="0"/>
              <w:rPr>
                <w:sz w:val="19"/>
                <w:szCs w:val="19"/>
                <w:color w:val="auto"/>
              </w:rPr>
            </w:pP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120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color w:val="auto"/>
                <w:w w:val="98"/>
              </w:rPr>
              <w:t>3,901</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center"/>
              <w:ind w:left="654"/>
              <w:spacing w:after="0"/>
              <w:rPr>
                <w:sz w:val="20"/>
                <w:szCs w:val="20"/>
                <w:color w:val="auto"/>
              </w:rPr>
            </w:pPr>
            <w:r>
              <w:rPr>
                <w:rFonts w:ascii="Times New Roman" w:cs="Times New Roman" w:eastAsia="Times New Roman" w:hAnsi="Times New Roman"/>
                <w:sz w:val="18"/>
                <w:szCs w:val="18"/>
                <w:color w:val="auto"/>
                <w:w w:val="98"/>
              </w:rPr>
              <w:t>3,760</w:t>
            </w:r>
          </w:p>
        </w:tc>
      </w:tr>
      <w:tr>
        <w:trPr>
          <w:trHeight w:val="20"/>
        </w:trPr>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3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87" w:lineRule="exact"/>
        <w:rPr>
          <w:sz w:val="20"/>
          <w:szCs w:val="20"/>
          <w:color w:val="auto"/>
        </w:rPr>
      </w:pPr>
    </w:p>
    <w:p>
      <w:pPr>
        <w:ind w:left="260" w:hanging="252"/>
        <w:spacing w:after="0"/>
        <w:tabs>
          <w:tab w:leader="none" w:pos="26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4—Net Income Per Class A Share</w:t>
      </w:r>
    </w:p>
    <w:p>
      <w:pPr>
        <w:spacing w:after="0" w:line="25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20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1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for information regarding exchanges of AAP units. PAGP LTIP awards that are deemed to be dilutive are reduced by a hypothetical share repurchase based on the remaining unamortized fair value, as prescribed by the treasury stock method in guidance issued by the FASB. See Note 17 for information regarding PAGP LTIP awards.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a weighted-average basis, for the years ended December 31, 2024, 2023 and 2022, the possible exchange of 35 million, 44 million and</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47 million AAP units, respectively, would not have had a dilutive effect on basic net income per Class A share. For the years ended December 31, 2024, 2023 and 2022, our PAGP LTIP awards were dilutive; however, this did not change the presentation of diluted weighted average Class A shares outstanding or diluted net income per Class A share.</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Class A share (in millions, except per share data):</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r>
      <w:tr>
        <w:trPr>
          <w:trHeight w:val="23"/>
        </w:trPr>
        <w:tc>
          <w:tcPr>
            <w:tcW w:w="74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4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5"/>
        </w:trPr>
        <w:tc>
          <w:tcPr>
            <w:tcW w:w="7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5—Inventory, Linefill and Long-term Inventory</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2024, 2023 or 2022.</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Linefill in assets we own is recorded at historical cost and consists of crude oil and NGL.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2024, 2023 and 2022, we did not recognize any material impairments of linefill.</w:t>
      </w:r>
    </w:p>
    <w:p>
      <w:pPr>
        <w:spacing w:after="0" w:line="21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40" w:type="dxa"/>
            <w:vAlign w:val="bottom"/>
            <w:tcBorders>
              <w:top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4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40" w:type="dxa"/>
            <w:vAlign w:val="bottom"/>
            <w:tcBorders>
              <w:top w:val="single" w:sz="8" w:color="auto"/>
            </w:tcBorders>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7"/>
                <w:szCs w:val="17"/>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7"/>
                <w:szCs w:val="17"/>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Crude oil</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20" w:type="dxa"/>
            <w:vAlign w:val="bottom"/>
            <w:tcBorders>
              <w:right w:val="single" w:sz="8" w:color="auto"/>
            </w:tcBorders>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gridSpan w:val="3"/>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subtotal</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Crude oil</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15,521</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20" w:type="dxa"/>
            <w:vAlign w:val="bottom"/>
            <w:tcBorders>
              <w:right w:val="single" w:sz="8" w:color="auto"/>
            </w:tcBorders>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Linefill subtotal</w:t>
            </w:r>
          </w:p>
        </w:tc>
        <w:tc>
          <w:tcPr>
            <w:tcW w:w="7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NGL</w:t>
            </w:r>
          </w:p>
        </w:tc>
        <w:tc>
          <w:tcPr>
            <w:tcW w:w="9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20" w:type="dxa"/>
            <w:vAlign w:val="bottom"/>
            <w:tcBorders>
              <w:bottom w:val="single" w:sz="8" w:color="CCEEFF"/>
              <w:right w:val="single" w:sz="8" w:color="auto"/>
            </w:tcBorders>
          </w:tcPr>
          <w:p>
            <w:pPr>
              <w:spacing w:after="0"/>
              <w:rPr>
                <w:sz w:val="19"/>
                <w:szCs w:val="19"/>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300" w:hanging="652"/>
        <w:spacing w:after="0" w:line="229" w:lineRule="auto"/>
        <w:tabs>
          <w:tab w:leader="none" w:pos="648"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6—Property and Equipment</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is stated at cost and consisted of the following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pipeline systems</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10 - 50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Crude oil storage and terminal facilities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10 - 50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storage, terminal, fractionation and processing facilities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10 - 50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pipeline systems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10 - 50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property and equipment and rolling stock</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2 - 50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other</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Property and equipment, gross </w:t>
            </w:r>
            <w:r>
              <w:rPr>
                <w:rFonts w:ascii="Times New Roman" w:cs="Times New Roman" w:eastAsia="Times New Roman" w:hAnsi="Times New Roman"/>
                <w:sz w:val="23"/>
                <w:szCs w:val="23"/>
                <w:color w:val="auto"/>
                <w:vertAlign w:val="superscript"/>
              </w:rPr>
              <w:t>(1)</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include rights-of-way, which are intangible assets, within property and equipment.</w:t>
      </w:r>
    </w:p>
    <w:p>
      <w:pPr>
        <w:spacing w:after="0" w:line="211"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We calculate our depreciation using the straight-line method, based on estimated useful lives and salvage values of our assets. Depreciation expense for the years ended December 31, 2024, 2023 and 2022 was $753 million, $736 million and $710 million, respectively.</w:t>
      </w:r>
    </w:p>
    <w:p>
      <w:pPr>
        <w:spacing w:after="0" w:line="20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2023 and 2022, we incurred liabilities of $78 million, $55 million and $46 million, respectively, for construction in progress that had not been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(Held and Used)</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214"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68"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indication of impairment;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grouping of assets;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of “holding,” “abandoning” or “selling” an asset;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 of undiscounted expected future cash flow over the asset’s estimated useful life;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impairment exists, the fair value of the asset or asset group.</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addition, when we evaluate property and equipment and other long-lived assets for recoverability, it may also be necessary to review related depreciation estimates and methods.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fourth quarter of 2024, we recognized approximately $140 million of non-cash charges related to the write-down of certain of our long-lived U.S. based NGL terminal assets included in our NGL segment due to asset impairments and accelerated depreciation. Such charges are reflected in “(Gains)/losses on asset sales, asset impairments and other, net” on our Consolidated Statement of Operations. We have experienced a decrease in demand for our services at certain of our terminals within two asset groups related to changing market conditions specific to their locations, which was a triggering event that required us to assess the recoverability of carrying value of such long-lived assets. As a result of our impairment review, we wrote-off the portion of the carrying amount of these long-lived assets that exceeded their fair value. Our estimated fair value was based on the determination that a portion of the long-lived assets had no residual value. We consider such inputs to be a Level 3 input in the fair value hierarchy. Further, we determined that an acceleration of depreciation was appropriate for another portion of the long-lived assets.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recognize any material asset impairments during the year ended December 31, 2023.</w:t>
      </w:r>
    </w:p>
    <w:p>
      <w:pPr>
        <w:spacing w:after="0" w:line="25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During the third quarter of 2022, we temporarily ceased service on a crude oil pipeline in California as a precautionary measure following a routine inspection and initiated a program of additional tests and inspections. After assessing the results of such tests and the changing operating conditions of our California assets, we determined that we had a triggering event due to the effect on future cash flows for certain of our assets that required us to assess the recoverability of our carrying value of our California crude oil assets (which includes the temporarily idled pipeline) reported in our Crude Oil segment. As a result of our impairment review, we wrote off the portion of the carrying amount of these long-lived assets that exceeded their fair value. We recognized a non-cash loss of approximately $330 million, which amount is reflected in “(Gains)/losses on asset sales, asset impairments and other, net” on our Consolidated Statement of Operations. Our estimated fair values (which we consider a Level 3 measurement in the fair value hierarchy) were based upon a discounted cash flow approach utilizing various assumptions and the application of a discount rate of approximately 15%, which represents our estimate of the cost of capital of a theoretical market participant for the asset group. Such assumptions included (but were not limited to) (i) future commodity volumes (consistent with historical information and estimates of future drilling and completion activity), (ii) tariff rates, (iii) estimated fixed and variable costs, (iv) the length of time the assets operate and (v) the amount for which assets in the asset group could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7—Acquisitions, Divestitures and Other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Rattler Permian Transaction</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the third quarter of 2023, we completed a transaction with Rattler Midstream Operating LLC (“Rattler”) pursuant to which the Permian JV acquired the remaining 43% interest in OMOG JV Holdings LLC (“OMOG”) and certain gathering assets in the Southern Delaware basin.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w:t>
      </w:r>
    </w:p>
    <w:p>
      <w:pPr>
        <w:spacing w:after="0" w:line="21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as a business combination using the acquisition method of accounting. In accordance with applicable accounting guidance, the fair value of the assets acquired and liabilities assumed following the transaction was utilized as the consideration transferred for the purchase price allocation.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us obtaining control over OMOG, the Permian JV’s previously-held 57% interest in OMOG was remeasured to its fair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$239 million based upon a valuation of the acquired business, as of the date of acquisition. We considered multiple factors in determining the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previously-held equity method investment, including, (i) the price negotiated with Rattler for its 43% interest in OMOG and (ii) a discounted cash 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approach. The discounted cash flow approach utilized a discount rate of approximately 11%, based on the estimate of the risk that a theoretical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would assign to the business. The remeasurement of the Permian JV’s investment in OMOG to fair value resulted in a gain of $29 million.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has been recognized in the line item “Gain on investments in unconsolidated entities, net” on our Consolidated Statement of Operations.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determination of the fair value of the assets and liabilities assumed was estimated in accordance with applicable accounting guidance.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analysis was performed based on estimates that are reflective of market participant assumptions. While the purchase price for the transaction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$294 million, all of the OMOG assets and liabilities were remeasured to fair value and therefore, the fair value of the assets and liabilities that are now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on the balance sheet as a result of this transaction is $532 million. The following table reflects our determination of the fair value of the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and liabilities assumed in connection with the transaction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3"/>
                <w:szCs w:val="13"/>
                <w:color w:val="auto"/>
              </w:rPr>
            </w:pPr>
          </w:p>
        </w:tc>
        <w:tc>
          <w:tcPr>
            <w:tcW w:w="194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14"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$8 million and $4 million during the years ended December 31, 2024 and 2023, respectively, and the future amortization expense through 2028 is estimated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shd w:val="clear" w:color="auto" w:fill="CCEEFF"/>
          </w:tcPr>
          <w:p>
            <w:pPr>
              <w:jc w:val="right"/>
              <w:ind w:right="4190"/>
              <w:spacing w:after="0"/>
              <w:rPr>
                <w:sz w:val="20"/>
                <w:szCs w:val="20"/>
                <w:color w:val="auto"/>
              </w:rPr>
            </w:pPr>
            <w:r>
              <w:rPr>
                <w:rFonts w:ascii="Times New Roman" w:cs="Times New Roman" w:eastAsia="Times New Roman" w:hAnsi="Times New Roman"/>
                <w:sz w:val="18"/>
                <w:szCs w:val="18"/>
                <w:color w:val="auto"/>
                <w:w w:val="99"/>
              </w:rPr>
              <w:t>2025</w:t>
            </w:r>
          </w:p>
        </w:tc>
        <w:tc>
          <w:tcPr>
            <w:tcW w:w="532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66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w w:val="99"/>
              </w:rPr>
              <w:t>2026</w:t>
            </w:r>
          </w:p>
        </w:tc>
        <w:tc>
          <w:tcPr>
            <w:tcW w:w="53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660" w:type="dxa"/>
            <w:vAlign w:val="bottom"/>
            <w:shd w:val="clear" w:color="auto" w:fill="CCEEFF"/>
          </w:tcPr>
          <w:p>
            <w:pPr>
              <w:jc w:val="right"/>
              <w:ind w:right="4190"/>
              <w:spacing w:after="0"/>
              <w:rPr>
                <w:sz w:val="20"/>
                <w:szCs w:val="20"/>
                <w:color w:val="auto"/>
              </w:rPr>
            </w:pPr>
            <w:r>
              <w:rPr>
                <w:rFonts w:ascii="Times New Roman" w:cs="Times New Roman" w:eastAsia="Times New Roman" w:hAnsi="Times New Roman"/>
                <w:sz w:val="18"/>
                <w:szCs w:val="18"/>
                <w:color w:val="auto"/>
                <w:w w:val="99"/>
              </w:rPr>
              <w:t>2027</w:t>
            </w:r>
          </w:p>
        </w:tc>
        <w:tc>
          <w:tcPr>
            <w:tcW w:w="532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466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w w:val="99"/>
              </w:rPr>
              <w:t>2028</w:t>
            </w:r>
          </w:p>
        </w:tc>
        <w:tc>
          <w:tcPr>
            <w:tcW w:w="53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01"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Cactus II</w:t>
      </w:r>
    </w:p>
    <w:p>
      <w:pPr>
        <w:spacing w:after="0" w:line="256"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($177 million and $88 million, respectively) of the aggregate purchase price. We and Enbridge are now the sole owners of Cactus II, with 70% and 30% respective ownership interests. We will continue to serve as operator.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w:t>
      </w:r>
    </w:p>
    <w:p>
      <w:pPr>
        <w:spacing w:after="0" w:line="20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achieved in stages, or a “step acquisition”, using the acquisition method of accounting. As the majority owner and the controlling entity, we are considered the acquirer and the Cactus II predecessor business was recorded based on the fair value of the assets acquired and liabilities assumed, with Enbridge’s 30% interest in Cactus II of $526 million recognized as noncontrolling interest in partners’ capital.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a result of us obtaining control over Cactus II, our previously held 65% interest in Cactus II was remeasured to its fair value of $1.140 billion based upon a valuation of the acquired business, as of the date of acquisition. We considered multiple factors in determining the fair value of the previously held equity method investment, including, (i) the price negotiated with WES for its 15% interest in Cactus II and (ii) a discounted cash flow approach. The discounted cash flow approach utilized a discount rate of approximately 14%, based on the estimate of the risk that a theoretical market participant would assign to the business. Prior to the acquisition, we had a preexisting relationship with Cactus II, through one of our consolidated joint ventures, for certain capacity lease agreements. The portion of the fair value of Cactus II associated with these agreements is eliminated in consolidation. Accounting for such impact, the remeasurement of our investment in Cactus II to fair value resulted in a gain of $370 million. This gain has been recognized in the line item “Gain on investments in unconsolidated entities, net” on our Consolidated Statement of Operations.</w:t>
      </w: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applicable accounting guidance, the fair value of Cactus II following the acquisition is utilized as the consideration transferred for the purchase price allocation. The consideration transferred of $1.556 billion excludes the value associated with the capacity lease agreements described above as such value is eliminated for our Consolidated Financial Statements.</w:t>
      </w:r>
    </w:p>
    <w:p>
      <w:pPr>
        <w:spacing w:after="0" w:line="203"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280" w:type="dxa"/>
            <w:vAlign w:val="bottom"/>
          </w:tcPr>
          <w:p>
            <w:pPr>
              <w:spacing w:after="0"/>
              <w:rPr>
                <w:sz w:val="13"/>
                <w:szCs w:val="13"/>
                <w:color w:val="auto"/>
              </w:rPr>
            </w:pPr>
          </w:p>
        </w:tc>
        <w:tc>
          <w:tcPr>
            <w:tcW w:w="18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980" w:type="dxa"/>
            <w:vAlign w:val="bottom"/>
            <w:gridSpan w:val="2"/>
            <w:vMerge w:val="continue"/>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tangible assets is a Level 3 measurement in the fair value hierarchy and was determined using a market approach for rights-of-way and a cost approach for other tangible assets, which were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18%,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16"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$51 million, $61 million and $13 million during the years ended December 31, 2024, 2023 and 2022, respectively, and the future amortization expense through 2027 is estimated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shd w:val="clear" w:color="auto" w:fill="CCEEFF"/>
          </w:tcPr>
          <w:p>
            <w:pPr>
              <w:jc w:val="right"/>
              <w:ind w:right="4310"/>
              <w:spacing w:after="0"/>
              <w:rPr>
                <w:sz w:val="20"/>
                <w:szCs w:val="20"/>
                <w:color w:val="auto"/>
              </w:rPr>
            </w:pPr>
            <w:r>
              <w:rPr>
                <w:rFonts w:ascii="Times New Roman" w:cs="Times New Roman" w:eastAsia="Times New Roman" w:hAnsi="Times New Roman"/>
                <w:sz w:val="18"/>
                <w:szCs w:val="18"/>
                <w:color w:val="auto"/>
                <w:w w:val="99"/>
              </w:rPr>
              <w:t>2025</w:t>
            </w:r>
          </w:p>
        </w:tc>
        <w:tc>
          <w:tcPr>
            <w:tcW w:w="53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780" w:type="dxa"/>
            <w:vAlign w:val="bottom"/>
          </w:tcPr>
          <w:p>
            <w:pPr>
              <w:jc w:val="right"/>
              <w:ind w:right="4310"/>
              <w:spacing w:after="0"/>
              <w:rPr>
                <w:sz w:val="20"/>
                <w:szCs w:val="20"/>
                <w:color w:val="auto"/>
              </w:rPr>
            </w:pPr>
            <w:r>
              <w:rPr>
                <w:rFonts w:ascii="Times New Roman" w:cs="Times New Roman" w:eastAsia="Times New Roman" w:hAnsi="Times New Roman"/>
                <w:sz w:val="18"/>
                <w:szCs w:val="18"/>
                <w:color w:val="auto"/>
                <w:w w:val="99"/>
              </w:rPr>
              <w:t>2026</w:t>
            </w:r>
          </w:p>
        </w:tc>
        <w:tc>
          <w:tcPr>
            <w:tcW w:w="53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780" w:type="dxa"/>
            <w:vAlign w:val="bottom"/>
            <w:shd w:val="clear" w:color="auto" w:fill="CCEEFF"/>
          </w:tcPr>
          <w:p>
            <w:pPr>
              <w:jc w:val="right"/>
              <w:ind w:right="4310"/>
              <w:spacing w:after="0"/>
              <w:rPr>
                <w:sz w:val="20"/>
                <w:szCs w:val="20"/>
                <w:color w:val="auto"/>
              </w:rPr>
            </w:pPr>
            <w:r>
              <w:rPr>
                <w:rFonts w:ascii="Times New Roman" w:cs="Times New Roman" w:eastAsia="Times New Roman" w:hAnsi="Times New Roman"/>
                <w:sz w:val="18"/>
                <w:szCs w:val="18"/>
                <w:color w:val="auto"/>
                <w:w w:val="99"/>
              </w:rPr>
              <w:t>2027</w:t>
            </w:r>
          </w:p>
        </w:tc>
        <w:tc>
          <w:tcPr>
            <w:tcW w:w="53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306"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Pro forma financial information assuming the step acquisition had occurred as of the beginning of the calendar year prior to the year of the step acquisition, as well as the revenues and earnings generated during the period since the step acquisition date, were not material for disclosure purposes.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January 2025, we acquired Ironwood Midstream Energy Partners II, LLC, which owns a gathering system in the Eagle Ford Basin, for approximately $475 million from EnCap Flatrock Midstream. In January 2025, in a separate transaction, we also repurchased from EnCap Flatrock Midstream, approximately 18% of our outstanding Series A preferred units, which equated to less than 2% of our outstanding common units and Series A preferred units combined (our “common unit equivalents”). EnCap Flatrock Midstream is affiliated with EnCap Investments, L.P., an entity that is associated with a member of the board of directors of our general partner. See Note 11 for additional information.</w:t>
      </w:r>
    </w:p>
    <w:p>
      <w:pPr>
        <w:spacing w:after="0" w:line="21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January 2025, we acquired EMG Medallion 2 Holdings, LLC and its subsidiaries, which own a crude oil gathering and transportation business in the Delaware Basin, for $161 million (approximately $105 million net to our 65% interest in the Permian JV), subject to certain adjustments. A cash deposit of approximately $16 million was paid upon signing in December 2024. EMG Medallion 2 Holdings was a portfolio company of The Energy &amp; Minerals Group (“EMG”), which is associated with a member of the board of directors of our general partner.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2024, we also completed the following acquisitions:</w:t>
      </w:r>
    </w:p>
    <w:p>
      <w:pPr>
        <w:spacing w:after="0" w:line="252" w:lineRule="exact"/>
        <w:rPr>
          <w:sz w:val="20"/>
          <w:szCs w:val="20"/>
          <w:color w:val="auto"/>
        </w:rPr>
      </w:pPr>
    </w:p>
    <w:p>
      <w:pPr>
        <w:ind w:left="660" w:right="40" w:hanging="328"/>
        <w:spacing w:after="0" w:line="261"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 December 2024 of the remaining 50% interest in Midway Pipeline LLC (“Midway”) for approximately $90 million. As a result of this transaction, we now own 100% of Midway and reflect such entity as a consolidated subsidiary in our Consolidated Financial Statements. The remeasurement of our previously-held investment in Midway to fair value resulted in a gain of approximately $15 million. This gain is reflected in “Gain on investments in unconsolidated entities, net” on our Consolidated Statement of Operations.</w:t>
      </w:r>
    </w:p>
    <w:p>
      <w:pPr>
        <w:spacing w:after="0" w:line="206"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additional interests in certain unconsolidated entities, including (i) the acquisition in August 2024 of an additional approximate 0.67% interest in Wink to Webster Pipeline LLC (increasing our ownership interest from 16% to 17%) for $20 million and (ii) the acquisition in March 2024 of an additional 10% interest in Saddlehorn Pipeline Company, LLC (increasing our ownership interest from 30% to 40%) for $91 million. See Note 8 for additional information about our investments in unconsolidated entities.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 the second and third quarters of 2024 of pipeline and terminal assets within our asset footprint for approximately $32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2022, we also completed the following acquisitions:</w:t>
      </w:r>
    </w:p>
    <w:p>
      <w:pPr>
        <w:spacing w:after="0" w:line="252"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 July 2022 of the remaining 50% interest in Advantage Pipeline Holdings LLC (“Advantage”) for $74 million (approximately</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million net to our 65% interest in the Permian JV), including cash paid for working capital. As a result of this transaction, we now own 100% of Advantage and its subsidiaries and such entities are reflected as consolidated subsidiaries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right="120" w:hanging="328"/>
        <w:spacing w:after="0" w:line="258"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 October 2022 of an additional ownership interest in certain straddle plants included in our NGL segment in a non-cash transaction whereby we agreed to provide processing capacity over a 50-year term at specified terms and conditions. This transaction was accounted for as an asset acquisition. The fair value of the straddle plant assets acquired and liabilities assumed was approximately $122 million, and we recognized an equally offsetting contract liability that will be amortized on a straight-line basis into “Services revenue” over the 50-year term of the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Upon the sale of this facility, we recognized a gain of approximately $140 million which is included in “(Gains)/losses on asset sales, asset impairments and other, net” on our Consolidated Statement of Operations.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sold certain non-core assets for total proceeds of $60 million. The assets sold primarily consisted of land and related assets in Long Beach, California, as well as Line 901 and the Sisquoc to Pentland portion of Line 903. These assets were previously reported in our Crude Oil segment. We recognized gains of $61 million related to these asset sales, a portion of which relates to the transfer of an asset retirement obligation to the purchaser. Such amounts are included in “(Gains)/losses on asset sales, asset impairments and other, net” on our Consolidated Statement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8—Investments in Unconsolidated Entities</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investments in unconsolidated entities consisted of the following (in millions, except percentage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80" w:type="dxa"/>
            <w:vAlign w:val="bottom"/>
          </w:tcPr>
          <w:p>
            <w:pPr>
              <w:spacing w:after="0"/>
              <w:rPr>
                <w:sz w:val="13"/>
                <w:szCs w:val="13"/>
                <w:color w:val="auto"/>
              </w:rPr>
            </w:pPr>
          </w:p>
        </w:tc>
        <w:tc>
          <w:tcPr>
            <w:tcW w:w="2220" w:type="dxa"/>
            <w:vAlign w:val="bottom"/>
            <w:gridSpan w:val="4"/>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Investment Balance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Interest at</w:t>
            </w:r>
          </w:p>
        </w:tc>
        <w:tc>
          <w:tcPr>
            <w:tcW w:w="280" w:type="dxa"/>
            <w:vAlign w:val="bottom"/>
          </w:tcPr>
          <w:p>
            <w:pPr>
              <w:spacing w:after="0"/>
              <w:rPr>
                <w:sz w:val="7"/>
                <w:szCs w:val="7"/>
                <w:color w:val="auto"/>
              </w:rPr>
            </w:pPr>
          </w:p>
        </w:tc>
        <w:tc>
          <w:tcPr>
            <w:tcW w:w="22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3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88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Entity </w:t>
            </w:r>
            <w:r>
              <w:rPr>
                <w:rFonts w:ascii="Times New Roman" w:cs="Times New Roman" w:eastAsia="Times New Roman" w:hAnsi="Times New Roman"/>
                <w:sz w:val="18"/>
                <w:szCs w:val="18"/>
                <w:b w:val="1"/>
                <w:bCs w:val="1"/>
                <w:color w:val="auto"/>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BridgeTex Pipeline Company, LLC (“BridgeTex”)</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Capline Pipeline Company LLC (“Capline”) </w:t>
            </w:r>
            <w:r>
              <w:rPr>
                <w:rFonts w:ascii="Times New Roman" w:cs="Times New Roman" w:eastAsia="Times New Roman" w:hAnsi="Times New Roman"/>
                <w:sz w:val="23"/>
                <w:szCs w:val="23"/>
                <w:color w:val="auto"/>
                <w:vertAlign w:val="superscript"/>
              </w:rPr>
              <w:t>(2)</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Diamond Pipeline LLC</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Eagle Ford Pipeline LLC</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Crude Oil Terminal and Dock</w:t>
            </w:r>
          </w:p>
        </w:tc>
        <w:tc>
          <w:tcPr>
            <w:tcW w:w="12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Saddlehorn Pipeline Company, LLC (“Saddlehorn”)</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 Cliffs Pipeline, L.L.C.</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Wink to Webster Pipeline LLC (“W2W Pipeline”) </w:t>
            </w:r>
            <w:r>
              <w:rPr>
                <w:rFonts w:ascii="Times New Roman" w:cs="Times New Roman" w:eastAsia="Times New Roman" w:hAnsi="Times New Roman"/>
                <w:sz w:val="23"/>
                <w:szCs w:val="23"/>
                <w:color w:val="auto"/>
                <w:vertAlign w:val="superscript"/>
              </w:rPr>
              <w:t>(3)</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Investments in Unconsolidated Entities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460" w:right="4900" w:hanging="5452"/>
        <w:spacing w:after="0" w:line="921" w:lineRule="auto"/>
        <w:tabs>
          <w:tab w:leader="none" w:pos="650" w:val="left"/>
        </w:tabs>
        <w:numPr>
          <w:ilvl w:val="0"/>
          <w:numId w:val="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financial results from these entities are reported in our Crude Oil segment. 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ectPr>
          <w:pgSz w:w="11900" w:h="16838" w:orient="portrait"/>
          <w:cols w:equalWidth="0" w:num="1">
            <w:col w:w="11220"/>
          </w:cols>
          <w:pgMar w:left="320" w:top="126" w:right="359" w:bottom="1440" w:gutter="0" w:footer="0" w:header="0"/>
        </w:sect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hanging="11"/>
        <w:spacing w:after="0" w:line="282" w:lineRule="auto"/>
        <w:rPr>
          <w:sz w:val="20"/>
          <w:szCs w:val="20"/>
          <w:color w:val="auto"/>
        </w:rPr>
      </w:pPr>
      <w:r>
        <w:rPr>
          <w:rFonts w:ascii="Times New Roman" w:cs="Times New Roman" w:eastAsia="Times New Roman" w:hAnsi="Times New Roman"/>
          <w:sz w:val="18"/>
          <w:szCs w:val="18"/>
          <w:color w:val="auto"/>
        </w:rPr>
        <w:t>Although we own more than 50% of Capline, we use the equity method to account for the investment because the other joint venture members still retain substantive participating rights.</w:t>
      </w:r>
    </w:p>
    <w:p>
      <w:pPr>
        <w:spacing w:after="0" w:line="54" w:lineRule="exact"/>
        <w:rPr>
          <w:sz w:val="20"/>
          <w:szCs w:val="20"/>
          <w:color w:val="auto"/>
        </w:rPr>
      </w:pPr>
    </w:p>
    <w:p>
      <w:pPr>
        <w:ind w:right="800" w:hanging="11"/>
        <w:spacing w:after="0" w:line="282" w:lineRule="auto"/>
        <w:rPr>
          <w:sz w:val="20"/>
          <w:szCs w:val="20"/>
          <w:color w:val="auto"/>
        </w:rPr>
      </w:pPr>
      <w:r>
        <w:rPr>
          <w:rFonts w:ascii="Times New Roman" w:cs="Times New Roman" w:eastAsia="Times New Roman" w:hAnsi="Times New Roman"/>
          <w:sz w:val="18"/>
          <w:szCs w:val="18"/>
          <w:color w:val="auto"/>
        </w:rPr>
        <w:t>Although we own less than 20% of W2W Pipeline, we use the equity method to account for the investment because we believe we have significant influence over the financial and operating decisions of the company.</w:t>
      </w:r>
    </w:p>
    <w:p>
      <w:pPr>
        <w:spacing w:after="0" w:line="200" w:lineRule="exact"/>
        <w:rPr>
          <w:sz w:val="20"/>
          <w:szCs w:val="20"/>
          <w:color w:val="auto"/>
        </w:rPr>
      </w:pPr>
    </w:p>
    <w:p>
      <w:pPr>
        <w:sectPr>
          <w:pgSz w:w="11900" w:h="16838" w:orient="portrait"/>
          <w:cols w:equalWidth="0" w:num="2">
            <w:col w:w="140" w:space="520"/>
            <w:col w:w="10560"/>
          </w:cols>
          <w:pgMar w:left="320" w:top="126" w:right="35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During 2024, we acquired the remaining 50% interest in Midway (which was previously presented in “Other investments” in the table above). Prior to our acquisition, our 50% interest in Midway was accounted for as an equity method investment. In addition, during 2024, we acquired additional interests in W2W Pipeline and Saddlehorn, which we continue to account for as equity method investments. See Note 7 for additional information regarding these transactions.</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During the fourth quarter of 2022, through a non-monetary transaction, we acquired an additional interest in OMOG in exchange for the contribution of portions of two pipeline systems. After the transaction, our ownership interest in OMOG increased to 57% from 40%. Subsequent to this transaction, we continued to account for OMOG as an equity method investment because the joint venture partner still retained substantive participating rights. The transaction resulted in a loss of approximately $25 million, which represented the difference between the fair value and historical book value of the assets contributed. This loss was reflected in “Gain on investments in unconsolidated entities, net” on our Consolidated Statement of Operations. In the third quarter of 2023, we acquired the remaining 43% interest in OMOG. We now reflect OMOG and its subsidiaries as consolidated subsidiaries in our Consolidated Financial Statements. See Note 7 for additional information.</w:t>
      </w:r>
    </w:p>
    <w:p>
      <w:pPr>
        <w:spacing w:after="0" w:line="21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July 2022, we acquired the remaining 50% interest in Advantage. Prior to the acquisition, our 50% interest in Advantage was accounted for as an equity method investment. See Note 7 for additional information.</w:t>
      </w:r>
    </w:p>
    <w:p>
      <w:pPr>
        <w:spacing w:after="0" w:line="189"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In November 2022, we acquired an additional 5% interest in Cactus II which, combined with changes in governance, resulted in our obtaining control of the entity. We now reflect Cactus II as a consolidated subsidiary in our Consolidated Financial Statements. See Note 7 for additional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generally fund our portion of development, construction or capital investment projects of our equity method investees through capital contributions. During the years ended December 31, 2024, 2023 and 2022, we made cash contributions of $4 million, $29 million and $13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Differences</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investments in unconsolidated entities exceeded our share of the underlying equity in the net assets of such entities by $213 million and $229 million at December 31, 2024 and 2023,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2024 and 2023 was attributable to goodwill related to our ownership interest in BridgeTex with the remaining basis difference primarily related to capitalized interest incurred during construction of the assets of our unconsolidated entities.</w:t>
      </w:r>
    </w:p>
    <w:p>
      <w:pPr>
        <w:sectPr>
          <w:pgSz w:w="11900" w:h="16838" w:orient="portrait"/>
          <w:cols w:equalWidth="0" w:num="1">
            <w:col w:w="11220"/>
          </w:cols>
          <w:pgMar w:left="320" w:top="126" w:right="35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 of Unconsolidated Entities</w:t>
      </w:r>
    </w:p>
    <w:p>
      <w:pPr>
        <w:spacing w:after="0" w:line="25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Combined summarized financial information for all of our unconsolidated entities is shown in the tables below (in millions). None of our unconsolidated entities have noncontrolling interests.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r>
      <w:tr>
        <w:trPr>
          <w:trHeight w:val="53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10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10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9"/>
                <w:szCs w:val="19"/>
                <w:color w:val="auto"/>
              </w:rPr>
            </w:pPr>
          </w:p>
        </w:tc>
      </w:tr>
      <w:tr>
        <w:trPr>
          <w:trHeight w:val="851"/>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100" w:type="dxa"/>
            <w:vAlign w:val="bottom"/>
            <w:gridSpan w:val="2"/>
          </w:tcPr>
          <w:p>
            <w:pPr>
              <w:jc w:val="right"/>
              <w:ind w:right="1739"/>
              <w:spacing w:after="0"/>
              <w:rPr>
                <w:sz w:val="20"/>
                <w:szCs w:val="20"/>
                <w:color w:val="auto"/>
              </w:rPr>
            </w:pPr>
            <w:r>
              <w:rPr>
                <w:rFonts w:ascii="Times New Roman" w:cs="Times New Roman" w:eastAsia="Times New Roman" w:hAnsi="Times New Roman"/>
                <w:sz w:val="18"/>
                <w:szCs w:val="18"/>
                <w:color w:val="auto"/>
              </w:rPr>
              <w:t>F-28</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9—Intangible Assets,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of accumulated amortization, consisted of the following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contracts and relationships</w:t>
            </w:r>
          </w:p>
        </w:tc>
        <w:tc>
          <w:tcPr>
            <w:tcW w:w="14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 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agreements</w:t>
            </w:r>
          </w:p>
        </w:tc>
        <w:tc>
          <w:tcPr>
            <w:tcW w:w="1520" w:type="dxa"/>
            <w:vAlign w:val="bottom"/>
            <w:tcBorders>
              <w:bottom w:val="single" w:sz="8" w:color="CCEEFF"/>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 – 70</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8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include rights-of-way, which are intangible assets, within property and equipment. See Note 6 for a discussion of property and equipment.</w:t>
      </w:r>
    </w:p>
    <w:p>
      <w:pPr>
        <w:spacing w:after="0" w:line="22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2024.</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finite-lived intangible assets are amortized under the declining balance method. Amortization expense for finite-lived intangible assets for the years ended December 31, 2024, 2023 and 2022 was $266 million, $308 million and $254 million, respectively. We estimate that our amortization expense related to finite-lived intangible assets for the next five years will be as follows (in millions):</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4860" w:type="dxa"/>
            <w:vAlign w:val="bottom"/>
            <w:shd w:val="clear" w:color="auto" w:fill="CCEEFF"/>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2025</w:t>
            </w:r>
          </w:p>
        </w:tc>
        <w:tc>
          <w:tcPr>
            <w:tcW w:w="52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0"/>
        </w:trPr>
        <w:tc>
          <w:tcPr>
            <w:tcW w:w="4860" w:type="dxa"/>
            <w:vAlign w:val="bottom"/>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2026</w:t>
            </w:r>
          </w:p>
        </w:tc>
        <w:tc>
          <w:tcPr>
            <w:tcW w:w="52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4860" w:type="dxa"/>
            <w:vAlign w:val="bottom"/>
            <w:shd w:val="clear" w:color="auto" w:fill="CCEEFF"/>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2027</w:t>
            </w:r>
          </w:p>
        </w:tc>
        <w:tc>
          <w:tcPr>
            <w:tcW w:w="52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4860" w:type="dxa"/>
            <w:vAlign w:val="bottom"/>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2028</w:t>
            </w:r>
          </w:p>
        </w:tc>
        <w:tc>
          <w:tcPr>
            <w:tcW w:w="52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4860" w:type="dxa"/>
            <w:vAlign w:val="bottom"/>
            <w:shd w:val="clear" w:color="auto" w:fill="CCEEFF"/>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2029</w:t>
            </w:r>
          </w:p>
        </w:tc>
        <w:tc>
          <w:tcPr>
            <w:tcW w:w="52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20" w:type="dxa"/>
            <w:vAlign w:val="bottom"/>
          </w:tcPr>
          <w:p>
            <w:pPr>
              <w:spacing w:after="0"/>
              <w:rPr>
                <w:sz w:val="18"/>
                <w:szCs w:val="18"/>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PAA commercial paper notes, bearing a weighted-average interest rate of 4.6% and 5.8%, respectively </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0" w:type="dxa"/>
            <w:vAlign w:val="bottom"/>
          </w:tcPr>
          <w:p>
            <w:pPr>
              <w:spacing w:after="0"/>
              <w:rPr>
                <w:sz w:val="19"/>
                <w:szCs w:val="19"/>
                <w:color w:val="auto"/>
              </w:rPr>
            </w:pPr>
          </w:p>
        </w:tc>
        <w:tc>
          <w:tcPr>
            <w:tcW w:w="8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short-term debt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PAA senior notes: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3.60% senior notes due November 2024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4.65% senior notes due October 2025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4.50% senior notes due December 2026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3.55% senior notes due December 2029</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3.80% senior notes due September 2030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5.70% senior notes due September 2034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6.70% senior notes due May 2036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6.65% senior notes due January 2037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5.15% senior notes due June 2042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4.30% senior notes due January 2043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4.70% senior notes due June 2044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4.90% senior notes due February 2045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20" w:type="dxa"/>
            <w:vAlign w:val="bottom"/>
          </w:tcPr>
          <w:p>
            <w:pPr>
              <w:spacing w:after="0"/>
              <w:rPr>
                <w:sz w:val="19"/>
                <w:szCs w:val="19"/>
                <w:color w:val="auto"/>
              </w:rPr>
            </w:pPr>
          </w:p>
        </w:tc>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PAA senior notes, net of unamortized discounts and debt issuance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debt: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r>
      <w:tr>
        <w:trPr>
          <w:trHeight w:val="248"/>
        </w:trPr>
        <w:tc>
          <w:tcPr>
            <w:tcW w:w="20" w:type="dxa"/>
            <w:vAlign w:val="bottom"/>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117"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ind w:right="60" w:hanging="11"/>
        <w:spacing w:after="0" w:line="266" w:lineRule="auto"/>
        <w:rPr>
          <w:sz w:val="20"/>
          <w:szCs w:val="20"/>
          <w:color w:val="auto"/>
        </w:rPr>
      </w:pPr>
      <w:r>
        <w:rPr>
          <w:rFonts w:ascii="Times New Roman" w:cs="Times New Roman" w:eastAsia="Times New Roman" w:hAnsi="Times New Roman"/>
          <w:sz w:val="18"/>
          <w:szCs w:val="18"/>
          <w:color w:val="auto"/>
        </w:rPr>
        <w:t>PAA classified these commercial paper notes as short-term as of December 31, 2024 and 2023, as these notes were primarily designated as working capital borrowings, were required to be repaid within one year and were primarily for hedged NGL and crude oil inventory and NYMEX and ICE margin deposits.</w:t>
      </w:r>
    </w:p>
    <w:p>
      <w:pPr>
        <w:spacing w:after="0" w:line="68" w:lineRule="exact"/>
        <w:rPr>
          <w:sz w:val="20"/>
          <w:szCs w:val="20"/>
          <w:color w:val="auto"/>
        </w:rPr>
      </w:pPr>
    </w:p>
    <w:p>
      <w:pPr>
        <w:ind w:right="100" w:hanging="11"/>
        <w:spacing w:after="0" w:line="282" w:lineRule="auto"/>
        <w:rPr>
          <w:sz w:val="20"/>
          <w:szCs w:val="20"/>
          <w:color w:val="auto"/>
        </w:rPr>
      </w:pPr>
      <w:r>
        <w:rPr>
          <w:rFonts w:ascii="Times New Roman" w:cs="Times New Roman" w:eastAsia="Times New Roman" w:hAnsi="Times New Roman"/>
          <w:sz w:val="18"/>
          <w:szCs w:val="18"/>
          <w:color w:val="auto"/>
        </w:rPr>
        <w:t>As of December 31, 2023, PAA classified its $750 million, 3.60% senior notes due November 2024 as long-term based on its ability and intent to refinance these notes on a long-term basis at that time. PAA redeemed these senior notes on November 1, 2024.</w:t>
      </w:r>
    </w:p>
    <w:p>
      <w:pPr>
        <w:spacing w:after="0" w:line="54" w:lineRule="exact"/>
        <w:rPr>
          <w:sz w:val="20"/>
          <w:szCs w:val="20"/>
          <w:color w:val="auto"/>
        </w:rPr>
      </w:pPr>
    </w:p>
    <w:p>
      <w:pPr>
        <w:ind w:right="520" w:hanging="11"/>
        <w:spacing w:after="0" w:line="282" w:lineRule="auto"/>
        <w:rPr>
          <w:sz w:val="20"/>
          <w:szCs w:val="20"/>
          <w:color w:val="auto"/>
        </w:rPr>
      </w:pPr>
      <w:r>
        <w:rPr>
          <w:rFonts w:ascii="Times New Roman" w:cs="Times New Roman" w:eastAsia="Times New Roman" w:hAnsi="Times New Roman"/>
          <w:sz w:val="18"/>
          <w:szCs w:val="18"/>
          <w:color w:val="auto"/>
        </w:rPr>
        <w:t>As of December 31, 2024, PAA classified its $1 billion, 4.65% senior notes due October 2025 as long-term based on its ability and intent to refinance these notes on a long-term basis.</w:t>
      </w:r>
    </w:p>
    <w:p>
      <w:pPr>
        <w:spacing w:after="0" w:line="54" w:lineRule="exact"/>
        <w:rPr>
          <w:sz w:val="20"/>
          <w:szCs w:val="20"/>
          <w:color w:val="auto"/>
        </w:rPr>
      </w:pPr>
    </w:p>
    <w:p>
      <w:pPr>
        <w:jc w:val="both"/>
        <w:ind w:right="60" w:hanging="11"/>
        <w:spacing w:after="0" w:line="256" w:lineRule="auto"/>
        <w:rPr>
          <w:sz w:val="20"/>
          <w:szCs w:val="20"/>
          <w:color w:val="auto"/>
        </w:rPr>
      </w:pPr>
      <w:r>
        <w:rPr>
          <w:rFonts w:ascii="Times New Roman" w:cs="Times New Roman" w:eastAsia="Times New Roman" w:hAnsi="Times New Roman"/>
          <w:sz w:val="18"/>
          <w:szCs w:val="18"/>
          <w:color w:val="auto"/>
        </w:rPr>
        <w:t>PAA’s fixed-rate senior notes had a face value of approximately $7.2 billion and $7.3 billion at December 31, 2024 and 2023, respectively. We estimated the aggregate fair value of these notes to be approximately $6.7 billion and $6.9 billion at December 31, 2024 and 2023,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the PAA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60"/>
          </w:cols>
          <w:pgMar w:left="320" w:top="126" w:right="35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 Commercial Paper Program</w:t>
      </w:r>
    </w:p>
    <w:p>
      <w:pPr>
        <w:spacing w:after="0" w:line="256" w:lineRule="exact"/>
        <w:rPr>
          <w:sz w:val="20"/>
          <w:szCs w:val="20"/>
          <w:color w:val="auto"/>
        </w:rPr>
      </w:pPr>
    </w:p>
    <w:p>
      <w:pPr>
        <w:jc w:val="both"/>
        <w:ind w:right="80" w:firstLine="648"/>
        <w:spacing w:after="0" w:line="289" w:lineRule="auto"/>
        <w:rPr>
          <w:sz w:val="20"/>
          <w:szCs w:val="20"/>
          <w:color w:val="auto"/>
        </w:rPr>
      </w:pPr>
      <w:r>
        <w:rPr>
          <w:rFonts w:ascii="Times New Roman" w:cs="Times New Roman" w:eastAsia="Times New Roman" w:hAnsi="Times New Roman"/>
          <w:sz w:val="17"/>
          <w:szCs w:val="17"/>
          <w:color w:val="auto"/>
        </w:rPr>
        <w:t>PAA has a commercial paper program under which it may issue (and have outstanding at any time) up to $2.7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2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PAA senior secured hedged inventory facility</w:t>
      </w:r>
      <w:r>
        <w:rPr>
          <w:rFonts w:ascii="Times New Roman" w:cs="Times New Roman" w:eastAsia="Times New Roman" w:hAnsi="Times New Roman"/>
          <w:sz w:val="18"/>
          <w:szCs w:val="18"/>
          <w:color w:val="auto"/>
        </w:rPr>
        <w:t>. PAA has a credit agreement that provides for a senior secured hedged inventory facility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In August 2024, PAA amended the facility agreement to, among other things, extend the maturity date of the facility to August 2027 for each extending lender. The maturity date with respect to the non-extending lender (which represents a commitment of approximately $64 million out of total commitments of $1.35 billion from all lenders) remains August 2026.</w:t>
      </w:r>
    </w:p>
    <w:p>
      <w:pPr>
        <w:spacing w:after="0" w:line="21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PAA senior unsecured revolving credit facility. </w:t>
      </w:r>
      <w:r>
        <w:rPr>
          <w:rFonts w:ascii="Times New Roman" w:cs="Times New Roman" w:eastAsia="Times New Roman" w:hAnsi="Times New Roman"/>
          <w:sz w:val="18"/>
          <w:szCs w:val="18"/>
          <w:color w:val="auto"/>
        </w:rPr>
        <w:t>PAA has a credit agreement that provides for a senior unsecured revolving credit facility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In August 2024, PAA amended the facility agreement to, among other things, extend the maturity date of the facility to August 2029 for each extending lender. The maturity date with respect to the non-extending lender (which represents a commitment of approximately $64 million out of total commitments of $1.35 billion from all lenders) remains August 2027.</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PAA Senior Notes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208"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PAA Senior Notes Issuances. </w:t>
      </w:r>
      <w:r>
        <w:rPr>
          <w:rFonts w:ascii="Times New Roman" w:cs="Times New Roman" w:eastAsia="Times New Roman" w:hAnsi="Times New Roman"/>
          <w:sz w:val="18"/>
          <w:szCs w:val="18"/>
          <w:color w:val="auto"/>
        </w:rPr>
        <w:t>The table below summarizes PAA’s issuances of senior unsecured notes during the three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(in millions):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r>
      <w:tr>
        <w:trPr>
          <w:trHeight w:val="23"/>
        </w:trPr>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23"/>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4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5.70% Senior Notes issued at 99.953% of face value</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and September 15</w:t>
            </w:r>
          </w:p>
        </w:tc>
      </w:tr>
    </w:tbl>
    <w:p>
      <w:pPr>
        <w:spacing w:after="0" w:line="31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January 2025, PAA also completed the offering of $1 billion, 5.95% senior notes due June 2035 at a public offering price of 99.761%. Interest payments are due on June 15 and December 15 of each year, commencing on June 15,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9"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PAA Senior Notes Repayments. </w:t>
      </w:r>
      <w:r>
        <w:rPr>
          <w:rFonts w:ascii="Times New Roman" w:cs="Times New Roman" w:eastAsia="Times New Roman" w:hAnsi="Times New Roman"/>
          <w:sz w:val="18"/>
          <w:szCs w:val="18"/>
          <w:color w:val="auto"/>
        </w:rPr>
        <w:t>During the three years ended December 31, 2024, PAA repaid the following senior unsecured notes in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00" w:type="dxa"/>
            <w:vAlign w:val="bottom"/>
          </w:tcPr>
          <w:p>
            <w:pPr>
              <w:spacing w:after="0"/>
              <w:rPr>
                <w:sz w:val="16"/>
                <w:szCs w:val="16"/>
                <w:color w:val="auto"/>
              </w:rPr>
            </w:pPr>
          </w:p>
        </w:tc>
        <w:tc>
          <w:tcPr>
            <w:tcW w:w="402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1"/>
                <w:szCs w:val="11"/>
                <w:color w:val="auto"/>
              </w:rPr>
            </w:pPr>
          </w:p>
        </w:tc>
        <w:tc>
          <w:tcPr>
            <w:tcW w:w="552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$750 million 3.60% Senior Notes due November 2024</w:t>
            </w:r>
          </w:p>
        </w:tc>
        <w:tc>
          <w:tcPr>
            <w:tcW w:w="2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2024</w:t>
            </w:r>
          </w:p>
        </w:tc>
        <w:tc>
          <w:tcPr>
            <w:tcW w:w="620" w:type="dxa"/>
            <w:vAlign w:val="bottom"/>
            <w:shd w:val="clear" w:color="auto" w:fill="CCEEFF"/>
          </w:tcPr>
          <w:p>
            <w:pPr>
              <w:jc w:val="right"/>
              <w:ind w:right="302"/>
              <w:spacing w:after="0" w:line="130"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520" w:type="dxa"/>
            <w:vAlign w:val="bottom"/>
            <w:gridSpan w:val="3"/>
            <w:vMerge w:val="continue"/>
            <w:shd w:val="clear" w:color="auto" w:fill="CCEEFF"/>
          </w:tcPr>
          <w:p>
            <w:pPr>
              <w:spacing w:after="0"/>
              <w:rPr>
                <w:sz w:val="8"/>
                <w:szCs w:val="8"/>
                <w:color w:val="auto"/>
              </w:rPr>
            </w:pPr>
          </w:p>
        </w:tc>
        <w:tc>
          <w:tcPr>
            <w:tcW w:w="2700" w:type="dxa"/>
            <w:vAlign w:val="bottom"/>
            <w:vMerge w:val="continue"/>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3"/>
                <w:szCs w:val="13"/>
                <w:color w:val="auto"/>
              </w:rPr>
            </w:pPr>
          </w:p>
        </w:tc>
        <w:tc>
          <w:tcPr>
            <w:tcW w:w="552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$700 million 3.85% Senior Notes due October 2023</w:t>
            </w:r>
          </w:p>
        </w:tc>
        <w:tc>
          <w:tcPr>
            <w:tcW w:w="2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6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520" w:type="dxa"/>
            <w:vAlign w:val="bottom"/>
            <w:gridSpan w:val="3"/>
            <w:vMerge w:val="continue"/>
            <w:shd w:val="clear" w:color="auto" w:fill="CCEEFF"/>
          </w:tcPr>
          <w:p>
            <w:pPr>
              <w:spacing w:after="0"/>
              <w:rPr>
                <w:sz w:val="6"/>
                <w:szCs w:val="6"/>
                <w:color w:val="auto"/>
              </w:rPr>
            </w:pPr>
          </w:p>
        </w:tc>
        <w:tc>
          <w:tcPr>
            <w:tcW w:w="270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3"/>
                <w:szCs w:val="13"/>
                <w:color w:val="auto"/>
              </w:rPr>
            </w:pPr>
          </w:p>
        </w:tc>
        <w:tc>
          <w:tcPr>
            <w:tcW w:w="552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$400 million 2.85% Senior Notes due January 2023</w:t>
            </w:r>
          </w:p>
        </w:tc>
        <w:tc>
          <w:tcPr>
            <w:tcW w:w="2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2023</w:t>
            </w:r>
          </w:p>
        </w:tc>
        <w:tc>
          <w:tcPr>
            <w:tcW w:w="6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520" w:type="dxa"/>
            <w:vAlign w:val="bottom"/>
            <w:gridSpan w:val="3"/>
            <w:vMerge w:val="continue"/>
            <w:shd w:val="clear" w:color="auto" w:fill="CCEEFF"/>
          </w:tcPr>
          <w:p>
            <w:pPr>
              <w:spacing w:after="0"/>
              <w:rPr>
                <w:sz w:val="6"/>
                <w:szCs w:val="6"/>
                <w:color w:val="auto"/>
              </w:rPr>
            </w:pPr>
          </w:p>
        </w:tc>
        <w:tc>
          <w:tcPr>
            <w:tcW w:w="270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3"/>
                <w:szCs w:val="13"/>
                <w:color w:val="auto"/>
              </w:rPr>
            </w:pPr>
          </w:p>
        </w:tc>
        <w:tc>
          <w:tcPr>
            <w:tcW w:w="552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$750 million 3.65% Senior Notes due June 2022</w:t>
            </w:r>
          </w:p>
        </w:tc>
        <w:tc>
          <w:tcPr>
            <w:tcW w:w="2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6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520" w:type="dxa"/>
            <w:vAlign w:val="bottom"/>
            <w:gridSpan w:val="3"/>
            <w:vMerge w:val="continue"/>
            <w:shd w:val="clear" w:color="auto" w:fill="CCEEFF"/>
          </w:tcPr>
          <w:p>
            <w:pPr>
              <w:spacing w:after="0"/>
              <w:rPr>
                <w:sz w:val="6"/>
                <w:szCs w:val="6"/>
                <w:color w:val="auto"/>
              </w:rPr>
            </w:pPr>
          </w:p>
        </w:tc>
        <w:tc>
          <w:tcPr>
            <w:tcW w:w="270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left="20" w:right="120" w:hanging="11"/>
        <w:spacing w:after="0" w:line="281" w:lineRule="auto"/>
        <w:rPr>
          <w:sz w:val="20"/>
          <w:szCs w:val="20"/>
          <w:color w:val="auto"/>
        </w:rPr>
      </w:pPr>
      <w:r>
        <w:rPr>
          <w:rFonts w:ascii="Times New Roman" w:cs="Times New Roman" w:eastAsia="Times New Roman" w:hAnsi="Times New Roman"/>
          <w:sz w:val="18"/>
          <w:szCs w:val="18"/>
          <w:color w:val="auto"/>
        </w:rPr>
        <w:t>PAA repaid these senior notes with proceeds from its 5.70% senior notes issued in June 2024, cash on hand and borrowings under its commercial paper program.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 repaid these senior notes with cash on hand and borrowings under its commercial paper program.</w:t>
      </w:r>
    </w:p>
    <w:p>
      <w:pPr>
        <w:spacing w:after="0" w:line="200"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maturity of PAA’s senior notes outstanding at December 31, 2024 was approximately 10 years. The following table presents the aggregate contractually scheduled maturities of such senior notes for the next five years and thereafter. The amounts presented exclude unamortized discounts and debt issuance costs.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Calendar Year</w:t>
            </w:r>
          </w:p>
        </w:tc>
        <w:tc>
          <w:tcPr>
            <w:tcW w:w="220" w:type="dxa"/>
            <w:vAlign w:val="bottom"/>
          </w:tcPr>
          <w:p>
            <w:pPr>
              <w:spacing w:after="0"/>
              <w:rPr>
                <w:sz w:val="13"/>
                <w:szCs w:val="13"/>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195"/>
        </w:trPr>
        <w:tc>
          <w:tcPr>
            <w:tcW w:w="9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Compliance</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agreements for PAA’s revolving credit facilities (which impact the ability to access the PAA commercial paper program because they provide the financial backstop that supports PAA’s short-term credit ratings) and the indentures governing PAA’s senior notes contain cross-default provisions. PAA’s credit agreements prohibit declaration or payments of distributions on, or purchases or redemptions of, units if any default or event of default is continuing. In addition, PAA’s agreements contain various covenants limiting PAA’s ability to, among other things:</w:t>
      </w:r>
    </w:p>
    <w:p>
      <w:pPr>
        <w:spacing w:after="0" w:line="72" w:lineRule="exact"/>
        <w:rPr>
          <w:sz w:val="20"/>
          <w:szCs w:val="20"/>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certain property;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including finance leases;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substantially all of its assets or enter into a merger or consolidation;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burdensome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agreements for the PAA senior unsecured revolving credit facility and senior secured hedged inventory facility treat a change of control as an event of default and also require PAA to maintain a debt-to-EBITDA coverage ratio that, on a trailing four-quarter basis, will not be greater</w:t>
      </w:r>
    </w:p>
    <w:p>
      <w:pPr>
        <w:ind w:right="120"/>
        <w:spacing w:after="0" w:line="253" w:lineRule="auto"/>
        <w:rPr>
          <w:sz w:val="20"/>
          <w:szCs w:val="20"/>
          <w:color w:val="auto"/>
        </w:rPr>
      </w:pPr>
      <w:r>
        <w:rPr>
          <w:rFonts w:ascii="Times New Roman" w:cs="Times New Roman" w:eastAsia="Times New Roman" w:hAnsi="Times New Roman"/>
          <w:sz w:val="18"/>
          <w:szCs w:val="18"/>
          <w:color w:val="auto"/>
        </w:rPr>
        <w:t>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default under PAA’s credit agreements or indentures would permit the lenders to accelerate the maturity of the outstanding debt. As long as PAA is in compliance with the provisions contained in its credit agreements, PAA’s ability to make distributions of available cash is not restricted. As of December 31, 2024, PAA was in compliance with the covenants contained in its credit agreements and indentures.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5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Total borrowings under PAA’s credit facilities and commercial paper program for the years ended December 31, 2024, 2023 and 2022 were approximately $28.1 billion, $18.1 billion and $25.0 billion, respectively. Total repayments under PAA’s credit facilities and commercial paper program were approximately $28.1 billion, $17.7 billion and $25.0 billion for the years ended December 31, 2024, 2023 and 2022, respectively. The variance in total gross borrowings and repayments is impacted by various business and financial factors including, but not limited to, the timing, average term and method of general partnership borrowing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2024 and 2023, we had outstanding letters of credit of $90 million and $205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11—Partners’ Capital and Distributions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Class C shares are non-economic and provide PAA, as the sole holder of such Class C shares, the right to vote, pro rata with the holders of our Class A and Class B shares, in the election of eligible PAGP GP directors. Pursuant to the Omnibus Agreement entered into on November 15, 2016, the number of Class C shares that PAA owns will at all times equal the number of outstanding PAA common units, excluding common units held by AAP, and Series A preferred units. Thus, the Class C shares function as a “pass-through” voting mechanism through which PAA votes at the direction of and as proxy for the PAA common unitholders (other than AAP) and Series A preferred unitholders in such director elections.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and Redemption Rights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Holders of AAP units and their permitted transferees each have the right to exchange all or a portion of their AAP units for Class A shares at an exchange ratio of one Class A share for each AAP unit exchanged (referred to herein as the “Exchange Right”). This Exchange Right may be exercised only if, simultaneously therewith, an equal number of our Class B shares and general partner units (if any) are transferred by the exercising party to us. See Note 14 for information regarding the recognition of deferred tax assets associated the transfer of ownership resulting from Exchange Right exercises.</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Additionally, subject to certain limitations, a holder of AAP units (other than us) has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any general partner units transferred to us will remain outstanding and increase our ownership percentage in our general partner. Additionally, we will issue a corresponding number of Class C shares to PAA.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activity for our Class A shares, Class B shares and Class C shares: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Class C Shares</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194,192,777</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46,645,514</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534,596,831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Conversion of AAP Management Units</w:t>
            </w:r>
          </w:p>
        </w:tc>
        <w:tc>
          <w:tcPr>
            <w:tcW w:w="14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40" w:type="dxa"/>
            <w:vAlign w:val="bottom"/>
            <w:tcBorders>
              <w:top w:val="single" w:sz="8" w:color="CCEEFF"/>
            </w:tcBorders>
            <w:vMerge w:val="continue"/>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258,047</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Right exercises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 Right exercises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(518,464)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518,464</w:t>
            </w:r>
          </w:p>
        </w:tc>
        <w:tc>
          <w:tcPr>
            <w:tcW w:w="0" w:type="dxa"/>
            <w:vAlign w:val="bottom"/>
          </w:tcPr>
          <w:p>
            <w:pPr>
              <w:spacing w:after="0"/>
              <w:rPr>
                <w:sz w:val="1"/>
                <w:szCs w:val="1"/>
                <w:color w:val="auto"/>
              </w:rPr>
            </w:pPr>
          </w:p>
        </w:tc>
      </w:tr>
      <w:tr>
        <w:trPr>
          <w:trHeight w:val="176"/>
        </w:trPr>
        <w:tc>
          <w:tcPr>
            <w:tcW w:w="69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Repurchase and cancellation of common units by a subsidiary under the Common Equity</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Program</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(7,251,361)</w:t>
            </w:r>
          </w:p>
        </w:tc>
        <w:tc>
          <w:tcPr>
            <w:tcW w:w="0" w:type="dxa"/>
            <w:vAlign w:val="bottom"/>
          </w:tcPr>
          <w:p>
            <w:pPr>
              <w:spacing w:after="0"/>
              <w:rPr>
                <w:sz w:val="1"/>
                <w:szCs w:val="1"/>
                <w:color w:val="auto"/>
              </w:rPr>
            </w:pPr>
          </w:p>
        </w:tc>
      </w:tr>
      <w:tr>
        <w:trPr>
          <w:trHeight w:val="230"/>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35,715</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578,604</w:t>
            </w:r>
          </w:p>
        </w:tc>
        <w:tc>
          <w:tcPr>
            <w:tcW w:w="0" w:type="dxa"/>
            <w:vAlign w:val="bottom"/>
          </w:tcPr>
          <w:p>
            <w:pPr>
              <w:spacing w:after="0"/>
              <w:rPr>
                <w:sz w:val="1"/>
                <w:szCs w:val="1"/>
                <w:color w:val="auto"/>
              </w:rPr>
            </w:pPr>
          </w:p>
        </w:tc>
      </w:tr>
      <w:tr>
        <w:trPr>
          <w:trHeight w:val="221"/>
        </w:trPr>
        <w:tc>
          <w:tcPr>
            <w:tcW w:w="69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194,407,642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46,205,947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528,442,538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Conversion of AAP Management Units</w:t>
            </w:r>
          </w:p>
        </w:tc>
        <w:tc>
          <w:tcPr>
            <w:tcW w:w="14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tcBorders>
              <w:top w:val="single" w:sz="8" w:color="CCEEFF"/>
            </w:tcBorders>
            <w:vMerge w:val="continue"/>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388,839</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Right exercises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1,869,768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(1,869,768)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 Right exercises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(8,487,850)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8,487,850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2,514,901</w:t>
            </w:r>
          </w:p>
        </w:tc>
        <w:tc>
          <w:tcPr>
            <w:tcW w:w="0" w:type="dxa"/>
            <w:vAlign w:val="bottom"/>
          </w:tcPr>
          <w:p>
            <w:pPr>
              <w:spacing w:after="0"/>
              <w:rPr>
                <w:sz w:val="1"/>
                <w:szCs w:val="1"/>
                <w:color w:val="auto"/>
              </w:rPr>
            </w:pPr>
          </w:p>
        </w:tc>
      </w:tr>
      <w:tr>
        <w:trPr>
          <w:trHeight w:val="196"/>
        </w:trPr>
        <w:tc>
          <w:tcPr>
            <w:tcW w:w="6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196,416,760</w:t>
            </w:r>
          </w:p>
        </w:tc>
        <w:tc>
          <w:tcPr>
            <w:tcW w:w="1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36,237,168</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539,445,289</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Right exercises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2,559,549</w:t>
            </w:r>
          </w:p>
        </w:tc>
        <w:tc>
          <w:tcPr>
            <w:tcW w:w="0" w:type="dxa"/>
            <w:vAlign w:val="bottom"/>
          </w:tcPr>
          <w:p>
            <w:pPr>
              <w:spacing w:after="0"/>
              <w:rPr>
                <w:sz w:val="1"/>
                <w:szCs w:val="1"/>
                <w:color w:val="auto"/>
              </w:rPr>
            </w:pPr>
          </w:p>
        </w:tc>
      </w:tr>
      <w:tr>
        <w:trPr>
          <w:trHeight w:val="248"/>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197,465,699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542,004,838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Our Shareholders</w:t>
      </w:r>
    </w:p>
    <w:p>
      <w:pPr>
        <w:spacing w:after="0" w:line="25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to our Class A shareholders during the years presented (in millions, except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0" w:type="dxa"/>
            <w:vAlign w:val="bottom"/>
          </w:tcPr>
          <w:p>
            <w:pPr>
              <w:spacing w:after="0"/>
              <w:rPr>
                <w:sz w:val="16"/>
                <w:szCs w:val="16"/>
                <w:color w:val="auto"/>
              </w:rPr>
            </w:pPr>
          </w:p>
        </w:tc>
        <w:tc>
          <w:tcPr>
            <w:tcW w:w="3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Distributions to Class A Shareholders</w:t>
            </w:r>
          </w:p>
        </w:tc>
        <w:tc>
          <w:tcPr>
            <w:tcW w:w="480" w:type="dxa"/>
            <w:vAlign w:val="bottom"/>
          </w:tcPr>
          <w:p>
            <w:pPr>
              <w:spacing w:after="0"/>
              <w:rPr>
                <w:sz w:val="16"/>
                <w:szCs w:val="16"/>
                <w:color w:val="auto"/>
              </w:rPr>
            </w:pPr>
          </w:p>
        </w:tc>
        <w:tc>
          <w:tcPr>
            <w:tcW w:w="32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Distributions per Class A Share</w:t>
            </w:r>
          </w:p>
        </w:tc>
      </w:tr>
      <w:tr>
        <w:trPr>
          <w:trHeight w:val="23"/>
        </w:trPr>
        <w:tc>
          <w:tcPr>
            <w:tcW w:w="3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0.8325</w:t>
            </w:r>
          </w:p>
        </w:tc>
        <w:tc>
          <w:tcPr>
            <w:tcW w:w="20" w:type="dxa"/>
            <w:vAlign w:val="bottom"/>
          </w:tcPr>
          <w:p>
            <w:pPr>
              <w:spacing w:after="0"/>
              <w:rPr>
                <w:sz w:val="19"/>
                <w:szCs w:val="19"/>
                <w:color w:val="auto"/>
              </w:rPr>
            </w:pPr>
          </w:p>
        </w:tc>
      </w:tr>
      <w:tr>
        <w:trPr>
          <w:trHeight w:val="85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F-34</w:t>
            </w: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right="460" w:firstLine="648"/>
        <w:spacing w:after="0" w:line="312" w:lineRule="auto"/>
        <w:rPr>
          <w:sz w:val="20"/>
          <w:szCs w:val="20"/>
          <w:color w:val="auto"/>
        </w:rPr>
      </w:pPr>
      <w:r>
        <w:rPr>
          <w:rFonts w:ascii="Times New Roman" w:cs="Times New Roman" w:eastAsia="Times New Roman" w:hAnsi="Times New Roman"/>
          <w:sz w:val="17"/>
          <w:szCs w:val="17"/>
          <w:color w:val="auto"/>
        </w:rPr>
        <w:t>On January 7, 2025, we declared a cash distribution of $0.38 per outstanding Class A share. This distribution of $75 million was paid on February 14, 2025 to shareholders of record at the close of business on January 31, 2025, for the period October 1, 2024 through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Income/(Loss)</w:t>
      </w:r>
    </w:p>
    <w:p>
      <w:pPr>
        <w:spacing w:after="0" w:line="25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Other comprehensive income/(loss) attributable to our Class A shareholders is comprised solely of their proportionate share of PAA’s other comprehensive income/(loss) based on our indirect ownership interest in PAA during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Subsidiaries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 in Subsidiaries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the Permian JV, (iv) a 30% interest in Cactus II and (v) a 33% interest in Red River Pipeline Company LLC (“Red River”). The transactions resulting in the recognition of noncontrolling interests in the Permian JV and Cactus II are described below.</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November 2022, we acquired an additional 5% interest in Cactus II which, combined with changes in governance, resulted in our obtaining control of the entity. We own 70% of Cactus II and reflect the entity as a consolidated subsidiary in our Consolidated Financial Statements, with Enbridge’s 30% interest accounted for as a noncontrolling interest. This transaction resulted in the recognition of partners’ capital attributable to noncontrolling interests of approximately $526 million. See Note 7 for more details regarding this transaction.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 common units and/or our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PAA or us to acquire a particular number of PAA common units or Class A shares. Any PAA common units or Class A shares that are repurchased will be canceled. Class C shares held by PAA associated with any publicly held common units that are repurchased will also be canceled.</w:t>
      </w:r>
    </w:p>
    <w:p>
      <w:pPr>
        <w:spacing w:after="0" w:line="21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There were no repurchases under the Program during the years ended December 31, 2024 or 2023. During the years ended December 31, 2022, PAA repurchased common units under the Program through open market purchases for a total purchase price of $74 million, including commissions and fees. The repurchased common units were canceled immediately upon acquisition, as were the Class C shares held by PAA associated with the repurchased common units. At December 31, 2024, the remaining available capacity under the Program was $198 million.</w:t>
      </w:r>
    </w:p>
    <w:p>
      <w:pPr>
        <w:spacing w:after="0" w:line="207" w:lineRule="exact"/>
        <w:rPr>
          <w:sz w:val="20"/>
          <w:szCs w:val="20"/>
          <w:color w:val="auto"/>
        </w:rPr>
      </w:pPr>
    </w:p>
    <w:p>
      <w:pPr>
        <w:ind w:right="60" w:firstLine="729"/>
        <w:spacing w:after="0" w:line="289" w:lineRule="auto"/>
        <w:rPr>
          <w:sz w:val="20"/>
          <w:szCs w:val="20"/>
          <w:color w:val="auto"/>
        </w:rPr>
      </w:pPr>
      <w:r>
        <w:rPr>
          <w:rFonts w:ascii="Times New Roman" w:cs="Times New Roman" w:eastAsia="Times New Roman" w:hAnsi="Times New Roman"/>
          <w:sz w:val="17"/>
          <w:szCs w:val="17"/>
          <w:color w:val="auto"/>
        </w:rPr>
        <w:t>PAA’s capital attributable to AAP was adjusted, in accordance with ASC 810, to reflect the accretion of its interest in PAA as a result of the repurchase of common units from public unitholders. Such adjustment is recognized by PAGP in proportion to its ownership interest in AAP, which results in a net increase in partners’ capital attributable to PAGP. See Note 14 for additional information regarding the associated impact to the deferred tax asset.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Subsidiary Distributions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PAA Series A Preferred Unit Distributions. </w:t>
      </w:r>
      <w:r>
        <w:rPr>
          <w:rFonts w:ascii="Times New Roman" w:cs="Times New Roman" w:eastAsia="Times New Roman" w:hAnsi="Times New Roman"/>
          <w:sz w:val="18"/>
          <w:szCs w:val="18"/>
          <w:color w:val="auto"/>
        </w:rPr>
        <w:t>After the fifth anniversary of the January 28, 2016 issuance date of PAA’s Series A preferred units,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PAA’s Series A preferred units, acting by majority vote, had the option to make a one-time election to reset the Series A preferred unit distribution rate to equal the then applicable rate of ten-year U.S. Treasury Securities plus 5.85% (the “Preferred Distribution Rate Reset Option”). The Preferred Distribution Rate Reset Option was accounted for as an embedded derivative. See Note 12 for additional information. In January 2023, the Series A preferred unitholders elected the Preferred Distribution Rate Reset Option. Effective January 31, 2023, the new Series A preferred unit distribution rate is equal to 9.375% per annum of the original Issue Price (approximately $2.46 per unit annualized). The quarterly distribution paid in May 2023 reflected a pro-rated amount of approximately $0.585 per unit.</w:t>
      </w:r>
    </w:p>
    <w:p>
      <w:pPr>
        <w:spacing w:after="0" w:line="21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PAA repurchased approximately 12.7 million units, or 18%, of its outstanding Series A preferred units at the issue price of $26.25 per unit for a purchase price of approximately $333 million, plus accrued and unpaid distributions through January 30, 2025 of approximately $10 million.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to PAA’s Series A preferred unitholders during the years presented (in millions, except unit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5"/>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60" w:type="dxa"/>
            <w:vAlign w:val="bottom"/>
            <w:gridSpan w:val="2"/>
            <w:vMerge w:val="continue"/>
          </w:tcPr>
          <w:p>
            <w:pPr>
              <w:spacing w:after="0"/>
              <w:rPr>
                <w:sz w:val="16"/>
                <w:szCs w:val="16"/>
                <w:color w:val="auto"/>
              </w:rPr>
            </w:pPr>
          </w:p>
        </w:tc>
        <w:tc>
          <w:tcPr>
            <w:tcW w:w="20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18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ind w:right="19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080" w:type="dxa"/>
            <w:vAlign w:val="bottom"/>
          </w:tcPr>
          <w:p>
            <w:pPr>
              <w:jc w:val="right"/>
              <w:ind w:right="18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right w:val="single" w:sz="8" w:color="auto"/>
            </w:tcBorders>
          </w:tcPr>
          <w:p>
            <w:pPr>
              <w:spacing w:after="0"/>
              <w:rPr>
                <w:sz w:val="19"/>
                <w:szCs w:val="19"/>
                <w:color w:val="auto"/>
              </w:rPr>
            </w:pPr>
          </w:p>
        </w:tc>
        <w:tc>
          <w:tcPr>
            <w:tcW w:w="2200" w:type="dxa"/>
            <w:vAlign w:val="bottom"/>
            <w:gridSpan w:val="2"/>
          </w:tcPr>
          <w:p>
            <w:pPr>
              <w:jc w:val="right"/>
              <w:ind w:right="19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8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right w:val="single" w:sz="8" w:color="auto"/>
            </w:tcBorders>
            <w:shd w:val="clear" w:color="auto" w:fill="CCEEFF"/>
          </w:tcPr>
          <w:p>
            <w:pPr>
              <w:spacing w:after="0"/>
              <w:rPr>
                <w:sz w:val="19"/>
                <w:szCs w:val="19"/>
                <w:color w:val="auto"/>
              </w:rPr>
            </w:pPr>
          </w:p>
        </w:tc>
        <w:tc>
          <w:tcPr>
            <w:tcW w:w="2200" w:type="dxa"/>
            <w:vAlign w:val="bottom"/>
            <w:gridSpan w:val="2"/>
            <w:shd w:val="clear" w:color="auto" w:fill="CCEEFF"/>
          </w:tcPr>
          <w:p>
            <w:pPr>
              <w:jc w:val="right"/>
              <w:ind w:right="19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February 14, 2025, PAA paid a cash distribution of $36 million to its Series A preferred unitholders outstanding as of January 31,2025. At December 31, 2024, such amount was accrued as distributions payable in “Other current liabilities” on our Consolidated Balance Sheet.</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PAA Series B Preferred Unit Distributions. </w:t>
      </w:r>
      <w:r>
        <w:rPr>
          <w:rFonts w:ascii="Times New Roman" w:cs="Times New Roman" w:eastAsia="Times New Roman" w:hAnsi="Times New Roman"/>
          <w:sz w:val="18"/>
          <w:szCs w:val="18"/>
          <w:color w:val="auto"/>
        </w:rPr>
        <w:t>The initial distribution rate for the Series B preferred units from and including October 10, 2017 to,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Beginning August 15, 2023, distributions on the Series B preferred units accumulate based on the applicable three-month SOFR, plus a credit spread adjustment of 0.26161%, plus 4.11% per annum.</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to PAA’s Series B preferred unitholders during the years presented (in millions, except unit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5"/>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60" w:type="dxa"/>
            <w:vAlign w:val="bottom"/>
            <w:gridSpan w:val="2"/>
            <w:vMerge w:val="continue"/>
          </w:tcPr>
          <w:p>
            <w:pPr>
              <w:spacing w:after="0"/>
              <w:rPr>
                <w:sz w:val="16"/>
                <w:szCs w:val="16"/>
                <w:color w:val="auto"/>
              </w:rPr>
            </w:pPr>
          </w:p>
        </w:tc>
        <w:tc>
          <w:tcPr>
            <w:tcW w:w="21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ind w:right="19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120" w:type="dxa"/>
            <w:vAlign w:val="bottom"/>
          </w:tcPr>
          <w:p>
            <w:pPr>
              <w:jc w:val="right"/>
              <w:ind w:right="19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2140" w:type="dxa"/>
            <w:vAlign w:val="bottom"/>
            <w:gridSpan w:val="2"/>
          </w:tcPr>
          <w:p>
            <w:pPr>
              <w:jc w:val="right"/>
              <w:ind w:right="1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9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right w:val="single" w:sz="8" w:color="auto"/>
            </w:tcBorders>
            <w:shd w:val="clear" w:color="auto" w:fill="CCEEFF"/>
          </w:tcPr>
          <w:p>
            <w:pPr>
              <w:spacing w:after="0"/>
              <w:rPr>
                <w:sz w:val="19"/>
                <w:szCs w:val="19"/>
                <w:color w:val="auto"/>
              </w:rPr>
            </w:pPr>
          </w:p>
        </w:tc>
        <w:tc>
          <w:tcPr>
            <w:tcW w:w="2140" w:type="dxa"/>
            <w:vAlign w:val="bottom"/>
            <w:gridSpan w:val="2"/>
            <w:shd w:val="clear" w:color="auto" w:fill="CCEEFF"/>
          </w:tcPr>
          <w:p>
            <w:pPr>
              <w:jc w:val="right"/>
              <w:ind w:right="1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February 18, 2025, PAA paid a cash distribution of $18 million ($22.73 per unit) to its Series B preferred unitholders. At December 31, 2024, approximately $9 million of accrued distributions payable to PAA’s Series B preferred unitholders was included in “Other current liabilities” on our Consolidated Balance Sheet.</w:t>
      </w:r>
    </w:p>
    <w:p>
      <w:pPr>
        <w:spacing w:after="0" w:line="20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PAA Common Unit Distributions. </w:t>
      </w:r>
      <w:r>
        <w:rPr>
          <w:rFonts w:ascii="Times New Roman" w:cs="Times New Roman" w:eastAsia="Times New Roman" w:hAnsi="Times New Roman"/>
          <w:sz w:val="18"/>
          <w:szCs w:val="18"/>
          <w:color w:val="auto"/>
        </w:rPr>
        <w:t>After making distributions to its outstanding preferred units, PAA distributes the remainder of its available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45 days following the end of each quarter to common unitholders of record, including AAP. Available cash is generally defined as all of PAA’s cash and cash equivalents on hand at the end of each quarter, less reserves established in the discretion of its general partner for future requirements. PAA’s available cash also includes cash on hand resulting from borrowings made after the end of the quarter.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by PAA to its common unitholders during the years presented (in millions, except per unit data):</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 Paid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Distributions per</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900" w:type="dxa"/>
            <w:vAlign w:val="bottom"/>
            <w:gridSpan w:val="2"/>
            <w:vMerge w:val="continue"/>
          </w:tcPr>
          <w:p>
            <w:pPr>
              <w:spacing w:after="0"/>
              <w:rPr>
                <w:sz w:val="16"/>
                <w:szCs w:val="16"/>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AAP</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380" w:type="dxa"/>
            <w:vAlign w:val="bottom"/>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1260" w:type="dxa"/>
            <w:vAlign w:val="bottom"/>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4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0.8325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On January 7, 2025, PAA declared a cash distribution of $0.38 per unit on its outstanding common units. The total distribution of $267 million was paid on February 14, 2025 to unitholders of record at the close of business on January 31, 2025, for the period from October 1, 2024 through December 31, 2024. Of this amount, approximately $88 million was paid to AAP.</w:t>
      </w:r>
    </w:p>
    <w:p>
      <w:pPr>
        <w:spacing w:after="0" w:line="201"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AAP Distributions. </w:t>
      </w:r>
      <w:r>
        <w:rPr>
          <w:rFonts w:ascii="Times New Roman" w:cs="Times New Roman" w:eastAsia="Times New Roman" w:hAnsi="Times New Roman"/>
          <w:sz w:val="18"/>
          <w:szCs w:val="18"/>
          <w:color w:val="auto"/>
        </w:rPr>
        <w:t>AAP distributes all of the cash received from PAA distributions on a quarterly basis, less reserves established in the discretion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general partner for future requirements. Generally, distributions are paid to its partners in proportion to their percentage interest in AAP. The following table details the distributions to AAP’s partners paid during the years presented from distributions received from PAA (in millions):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Distributions to AAP’s Partners</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56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21"/>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24"/>
                <w:szCs w:val="24"/>
                <w:color w:val="auto"/>
              </w:rPr>
            </w:pPr>
          </w:p>
        </w:tc>
        <w:tc>
          <w:tcPr>
            <w:tcW w:w="16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PAGP</w:t>
            </w:r>
          </w:p>
        </w:tc>
        <w:tc>
          <w:tcPr>
            <w:tcW w:w="120" w:type="dxa"/>
            <w:vAlign w:val="bottom"/>
          </w:tcPr>
          <w:p>
            <w:pPr>
              <w:spacing w:after="0"/>
              <w:rPr>
                <w:sz w:val="24"/>
                <w:szCs w:val="24"/>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 Cash Distributions</w:t>
            </w:r>
          </w:p>
        </w:tc>
      </w:tr>
      <w:tr>
        <w:trPr>
          <w:trHeight w:val="23"/>
        </w:trPr>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bl>
    <w:p>
      <w:pPr>
        <w:spacing w:after="0" w:line="30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On February 14, 2025, AAP distributed $88 million to its partners from distributions received from PAA. Of this amount, $13 million was distributed to noncontrolling interests and $75 million was distributed to us.</w:t>
      </w:r>
    </w:p>
    <w:p>
      <w:pPr>
        <w:spacing w:after="0" w:line="187"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Joint Venture Distributions. </w:t>
      </w:r>
      <w:r>
        <w:rPr>
          <w:rFonts w:ascii="Times New Roman" w:cs="Times New Roman" w:eastAsia="Times New Roman" w:hAnsi="Times New Roman"/>
          <w:sz w:val="18"/>
          <w:szCs w:val="18"/>
          <w:color w:val="auto"/>
        </w:rPr>
        <w:t>Distributions from Cactus II and Red River are paid in proportion to each owner’s interest in the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available for distribution is cash on hand less the amount of cash required to fund normal operations and capital projects. The following table details distributions paid to noncontrolling interests in consolidated joint venture entities during the years presented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43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Permian JV </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jc w:val="right"/>
              <w:ind w:right="13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1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15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3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Borders>
              <w:bottom w:val="single" w:sz="8" w:color="auto"/>
            </w:tcBorders>
          </w:tcPr>
          <w:p>
            <w:pPr>
              <w:jc w:val="right"/>
              <w:ind w:right="13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0"/>
        </w:trPr>
        <w:tc>
          <w:tcPr>
            <w:tcW w:w="3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30" w:lineRule="exact"/>
        <w:rPr>
          <w:sz w:val="20"/>
          <w:szCs w:val="20"/>
          <w:color w:val="auto"/>
        </w:rPr>
      </w:pPr>
    </w:p>
    <w:p>
      <w:pPr>
        <w:ind w:left="660" w:right="460" w:hanging="652"/>
        <w:spacing w:after="0" w:line="229" w:lineRule="auto"/>
        <w:tabs>
          <w:tab w:leader="none" w:pos="648"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initial distribution from the Permian JV was paid during the first quarter of 2022, with approximately $54 million paid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12—Derivatives and Risk Management Activities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ind w:right="120" w:firstLine="607"/>
        <w:spacing w:after="0" w:line="289" w:lineRule="auto"/>
        <w:rPr>
          <w:sz w:val="20"/>
          <w:szCs w:val="20"/>
          <w:color w:val="auto"/>
        </w:rPr>
      </w:pPr>
      <w:r>
        <w:rPr>
          <w:rFonts w:ascii="Times New Roman" w:cs="Times New Roman" w:eastAsia="Times New Roman" w:hAnsi="Times New Roman"/>
          <w:sz w:val="17"/>
          <w:szCs w:val="17"/>
          <w:color w:val="auto"/>
        </w:rPr>
        <w:t>At December 31, 2024 and 2023,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20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to optimize profits. As of December 31, 2024, net derivative positions related to these activities included:</w:t>
      </w:r>
    </w:p>
    <w:p>
      <w:pPr>
        <w:spacing w:after="0" w:line="54" w:lineRule="exact"/>
        <w:rPr>
          <w:sz w:val="20"/>
          <w:szCs w:val="20"/>
          <w:color w:val="auto"/>
        </w:rPr>
      </w:pPr>
    </w:p>
    <w:p>
      <w:pPr>
        <w:ind w:left="980" w:right="140" w:hanging="324"/>
        <w:spacing w:after="0" w:line="282" w:lineRule="auto"/>
        <w:tabs>
          <w:tab w:leader="none" w:pos="9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7.4 million barrels associated with our crude oil purchases, which was unwound ratably during January 2025 to match monthly average pricing.</w:t>
      </w:r>
    </w:p>
    <w:p>
      <w:pPr>
        <w:spacing w:after="0" w:line="53"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4.8 million barrels, which hedges a portion of our anticipated crude oil lease gathering purchases through November 2025.</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1.8 million barrels at multiple locations through December 2025. These derivatives allow us to lock in grade and location basis differentials.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16.7 million barrels through December 2028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Notional Volume</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Tenor</w:t>
            </w:r>
          </w:p>
        </w:tc>
        <w:tc>
          <w:tcPr>
            <w:tcW w:w="0" w:type="dxa"/>
            <w:vAlign w:val="bottom"/>
          </w:tcPr>
          <w:p>
            <w:pPr>
              <w:spacing w:after="0"/>
              <w:rPr>
                <w:sz w:val="1"/>
                <w:szCs w:val="1"/>
                <w:color w:val="auto"/>
              </w:rPr>
            </w:pPr>
          </w:p>
        </w:tc>
      </w:tr>
      <w:tr>
        <w:trPr>
          <w:trHeight w:val="195"/>
        </w:trPr>
        <w:tc>
          <w:tcPr>
            <w:tcW w:w="768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(Short)/Long</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purchases</w:t>
            </w: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49.3 Bcf</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Propane sales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(8.8) MMbls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Butane sales</w:t>
            </w:r>
          </w:p>
        </w:tc>
        <w:tc>
          <w:tcPr>
            <w:tcW w:w="1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 MMbls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Condensate sales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(2.3) MMbls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gas requirements </w:t>
            </w:r>
            <w:r>
              <w:rPr>
                <w:rFonts w:ascii="Times New Roman" w:cs="Times New Roman" w:eastAsia="Times New Roman" w:hAnsi="Times New Roman"/>
                <w:sz w:val="23"/>
                <w:szCs w:val="23"/>
                <w:color w:val="auto"/>
                <w:vertAlign w:val="superscript"/>
              </w:rPr>
              <w:t>(1)</w:t>
            </w:r>
          </w:p>
        </w:tc>
        <w:tc>
          <w:tcPr>
            <w:tcW w:w="1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2.7 Bcf</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c>
          <w:tcPr>
            <w:tcW w:w="0" w:type="dxa"/>
            <w:vAlign w:val="bottom"/>
          </w:tcPr>
          <w:p>
            <w:pPr>
              <w:spacing w:after="0"/>
              <w:rPr>
                <w:sz w:val="1"/>
                <w:szCs w:val="1"/>
                <w:color w:val="auto"/>
              </w:rPr>
            </w:pPr>
          </w:p>
        </w:tc>
      </w:tr>
      <w:tr>
        <w:trPr>
          <w:trHeight w:val="30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Power supply requirements </w:t>
            </w:r>
            <w:r>
              <w:rPr>
                <w:rFonts w:ascii="Times New Roman" w:cs="Times New Roman" w:eastAsia="Times New Roman" w:hAnsi="Times New Roman"/>
                <w:sz w:val="23"/>
                <w:szCs w:val="23"/>
                <w:color w:val="auto"/>
                <w:vertAlign w:val="superscript"/>
              </w:rPr>
              <w:t>(1)</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2.1 TWh</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25" w:lineRule="exact"/>
        <w:rPr>
          <w:sz w:val="20"/>
          <w:szCs w:val="20"/>
          <w:color w:val="auto"/>
        </w:rPr>
      </w:pPr>
    </w:p>
    <w:p>
      <w:pPr>
        <w:ind w:left="640" w:hanging="632"/>
        <w:spacing w:after="0"/>
        <w:tabs>
          <w:tab w:leader="none" w:pos="640"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Positions to hedge a portion of our power supply and fuel gas requirements at our Canadian natural gas processing and fractionation plants.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6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gain/(loss) from commodity derivative activity</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9"/>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9"/>
              </w:rPr>
              <w:t>77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posted/(returned)</w:t>
            </w:r>
          </w:p>
        </w:tc>
        <w:tc>
          <w:tcPr>
            <w:tcW w:w="980" w:type="dxa"/>
            <w:vAlign w:val="bottom"/>
          </w:tcPr>
          <w:p>
            <w:pPr>
              <w:spacing w:after="0"/>
              <w:rPr>
                <w:sz w:val="19"/>
                <w:szCs w:val="19"/>
                <w:color w:val="auto"/>
              </w:rPr>
            </w:pPr>
          </w:p>
        </w:tc>
        <w:tc>
          <w:tcPr>
            <w:tcW w:w="46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9"/>
              </w:rPr>
              <w:t>(65)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9"/>
              </w:rPr>
              <w:t>(25)</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broker receivable/(payable)</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21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1"/>
                <w:szCs w:val="11"/>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109"/>
        </w:trPr>
        <w:tc>
          <w:tcPr>
            <w:tcW w:w="2580" w:type="dxa"/>
            <w:vAlign w:val="bottom"/>
          </w:tcPr>
          <w:p>
            <w:pPr>
              <w:spacing w:after="0"/>
              <w:rPr>
                <w:sz w:val="9"/>
                <w:szCs w:val="9"/>
                <w:color w:val="auto"/>
              </w:rPr>
            </w:pPr>
          </w:p>
        </w:tc>
        <w:tc>
          <w:tcPr>
            <w:tcW w:w="21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1060" w:type="dxa"/>
            <w:vAlign w:val="bottom"/>
            <w:gridSpan w:val="3"/>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20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880" w:type="dxa"/>
            <w:vAlign w:val="bottom"/>
            <w:vMerge w:val="restart"/>
          </w:tcPr>
          <w:p>
            <w:pPr>
              <w:jc w:val="center"/>
              <w:ind w:right="37"/>
              <w:spacing w:after="0" w:line="127"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5"/>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417"/>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credits</w:t>
            </w: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December 31, 2024 (notional amounts in millions):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8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6"/>
        </w:trPr>
        <w:tc>
          <w:tcPr>
            <w:tcW w:w="2760" w:type="dxa"/>
            <w:vAlign w:val="bottom"/>
            <w:gridSpan w:val="2"/>
            <w:vMerge w:val="continue"/>
          </w:tcPr>
          <w:p>
            <w:pPr>
              <w:spacing w:after="0"/>
              <w:rPr>
                <w:sz w:val="17"/>
                <w:szCs w:val="17"/>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75"/>
        </w:trPr>
        <w:tc>
          <w:tcPr>
            <w:tcW w:w="26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00" w:type="dxa"/>
            <w:vAlign w:val="bottom"/>
            <w:tcBorders>
              <w:top w:val="single" w:sz="8" w:color="CCEEFF"/>
            </w:tcBorders>
            <w:shd w:val="clear" w:color="auto" w:fill="CCEEFF"/>
          </w:tcPr>
          <w:p>
            <w:pPr>
              <w:spacing w:after="0"/>
              <w:rPr>
                <w:sz w:val="15"/>
                <w:szCs w:val="15"/>
                <w:color w:val="auto"/>
              </w:rPr>
            </w:pPr>
          </w:p>
        </w:tc>
        <w:tc>
          <w:tcPr>
            <w:tcW w:w="25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 forward starting swaps</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6/15/2026</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3.09 %</w:t>
            </w:r>
          </w:p>
        </w:tc>
        <w:tc>
          <w:tcPr>
            <w:tcW w:w="1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(30-year)</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we terminated $100 million of notional interest hedging instruments previously expected to terminate in June 2024 for proceeds of $57 million, which was recorded in AOCI. As of December 31, 2024, there was a net loss of $44 million deferred in AOCI. The deferred net loss recorded in AOCI is expected to be reclassified to future earnings contemporaneously with interest expense accruals associated with underlying debt instruments. The early termination did not result in an impact to the relationship between the hedging instrument and hedged item. We estimate that substantially all of the remaining deferred loss will be reclassified to earnings through 2056 as the underlying hedged transactions impact earnings. A portion of these amounts is based on market prices as of December 31, 2024; thus, actual amounts to be reclassified will differ and could vary materially as a result of changes in market conditions.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31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the net fair value of our interest rate hedges, which was included in “Other long-term assets, net” on our Consolidated Balance Sheet, totaled $27 million. At December 31, 2023, the net fair value of these hedges totaled $51 million and $4 million, which were included in “Other current assets” and “Other long-term assets, net”, respectively.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Distribution Rate Reset Option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2023, PAA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the PAA partnership agreement, and recorded at fair value on our Consolidated Balance Sheet. The fair value of the Preferred Distribution Rate Reset Option, which was included in “Other long-term liabilities and deferred credits” on our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Consolidated Statements of Operations. For the years ended December 31, 2023 and 2022, we recognized a gain of $58 million, and a net loss of $189 million, respectively. See Note 11 for additional information regarding the Preferred Distribution Rate Reset Option.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9"/>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 as of December 31, 2024</w:t>
            </w:r>
          </w:p>
        </w:tc>
        <w:tc>
          <w:tcPr>
            <w:tcW w:w="200" w:type="dxa"/>
            <w:vAlign w:val="bottom"/>
          </w:tcPr>
          <w:p>
            <w:pPr>
              <w:spacing w:after="0"/>
              <w:rPr>
                <w:sz w:val="16"/>
                <w:szCs w:val="16"/>
                <w:color w:val="auto"/>
              </w:rPr>
            </w:pPr>
          </w:p>
        </w:tc>
        <w:tc>
          <w:tcPr>
            <w:tcW w:w="2780" w:type="dxa"/>
            <w:vAlign w:val="bottom"/>
            <w:gridSpan w:val="6"/>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Fair Value as of December 31, 2023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4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120" w:type="dxa"/>
            <w:vAlign w:val="bottom"/>
            <w:gridSpan w:val="3"/>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0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9"/>
              </w:rPr>
              <w:t>(76)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180" w:type="dxa"/>
            <w:vAlign w:val="bottom"/>
          </w:tcPr>
          <w:p>
            <w:pPr>
              <w:spacing w:after="0"/>
              <w:rPr>
                <w:sz w:val="21"/>
                <w:szCs w:val="21"/>
                <w:color w:val="auto"/>
              </w:rPr>
            </w:pPr>
          </w:p>
        </w:tc>
        <w:tc>
          <w:tcPr>
            <w:tcW w:w="412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8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56"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98"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2</w:t>
      </w:r>
    </w:p>
    <w:p>
      <w:pPr>
        <w:spacing w:after="0" w:line="256" w:lineRule="exact"/>
        <w:rPr>
          <w:rFonts w:ascii="Times New Roman" w:cs="Times New Roman" w:eastAsia="Times New Roman" w:hAnsi="Times New Roman"/>
          <w:sz w:val="23"/>
          <w:szCs w:val="23"/>
          <w:color w:val="auto"/>
          <w:vertAlign w:val="superscript"/>
        </w:rPr>
      </w:pPr>
    </w:p>
    <w:p>
      <w:pPr>
        <w:ind w:left="660" w:right="4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8"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3</w:t>
      </w:r>
    </w:p>
    <w:p>
      <w:pPr>
        <w:spacing w:after="0" w:line="256" w:lineRule="exact"/>
        <w:rPr>
          <w:rFonts w:ascii="Times New Roman" w:cs="Times New Roman" w:eastAsia="Times New Roman" w:hAnsi="Times New Roman"/>
          <w:sz w:val="23"/>
          <w:szCs w:val="23"/>
          <w:color w:val="auto"/>
          <w:vertAlign w:val="superscript"/>
        </w:rPr>
      </w:pPr>
    </w:p>
    <w:p>
      <w:pPr>
        <w:ind w:left="660" w:right="40"/>
        <w:spacing w:after="0" w:line="27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Level 3 of the fair value hierarchy includes the Preferred Distribution Rate Reset Option contained in our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PAA’s common unit price, and default probabilities which impacted timing estimates as to when the option would be exercised.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Level 3 Net Asset/(Liability)</w:t>
      </w:r>
    </w:p>
    <w:p>
      <w:pPr>
        <w:spacing w:after="0" w:line="256" w:lineRule="exact"/>
        <w:rPr>
          <w:sz w:val="20"/>
          <w:szCs w:val="20"/>
          <w:color w:val="auto"/>
        </w:rPr>
      </w:pPr>
    </w:p>
    <w:p>
      <w:pPr>
        <w:ind w:right="36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fair value of the beginning and ending balances for the Preferred Distribution Rate Reset Option embedded derivative, which was classified as Level 3 in the fair value hierarchy (in millions):</w:t>
      </w:r>
    </w:p>
    <w:tbl>
      <w:tblPr>
        <w:tblLayout w:type="fixed"/>
        <w:tblInd w:w="0" w:type="dxa"/>
        <w:tblCellMar>
          <w:top w:w="0" w:type="dxa"/>
          <w:left w:w="0" w:type="dxa"/>
          <w:bottom w:w="0" w:type="dxa"/>
          <w:right w:w="0" w:type="dxa"/>
        </w:tblCellMar>
      </w:tblPr>
      <w:tr>
        <w:trPr>
          <w:trHeight w:val="149"/>
        </w:trPr>
        <w:tc>
          <w:tcPr>
            <w:tcW w:w="9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9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9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for the period included in earnings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9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9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4"/>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unrealized gains/(losses) included in earnings relating to Level 3 derivatives still held at the end of the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storage tanks, land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56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2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components of lease cost, including both amounts recognized in income and amounts capitalized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7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finance lease costs, variable lease costs and sublease income.</w:t>
      </w:r>
    </w:p>
    <w:p>
      <w:pPr>
        <w:spacing w:after="0" w:line="332"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presents information related to cash flows arising from lease transactions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67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184"/>
        </w:trPr>
        <w:tc>
          <w:tcPr>
            <w:tcW w:w="6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Non-cash change in lease liabilities arising from obtaining new right-of-use assets or</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modifications: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549"/>
        </w:trPr>
        <w:tc>
          <w:tcPr>
            <w:tcW w:w="982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Information related to the weighted-average remaining lease term and discount rate is presented in the table below:</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9"/>
        </w:trPr>
        <w:tc>
          <w:tcPr>
            <w:tcW w:w="6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r>
      <w:tr>
        <w:trPr>
          <w:trHeight w:val="23"/>
        </w:trPr>
        <w:tc>
          <w:tcPr>
            <w:tcW w:w="6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6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and location of our operating and finance lease right-of-use assets and liabilities on our Consolidated Balance Sheets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2"/>
                <w:szCs w:val="2"/>
                <w:color w:val="auto"/>
              </w:rPr>
            </w:pPr>
          </w:p>
        </w:tc>
        <w:tc>
          <w:tcPr>
            <w:tcW w:w="4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Long-term operating lease right-of-use assets,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right-of-use assets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Property and equipment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Property and equipment,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right-of-use assets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Long-term 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liabilities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Short-term debt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Other long-term debt,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4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80" w:hanging="652"/>
        <w:spacing w:after="0" w:line="229" w:lineRule="auto"/>
        <w:tabs>
          <w:tab w:leader="none" w:pos="648"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right-of-use assets of $26 million and $28 million and lease liabilities of $33 million and $34 million as of December 31, 2024 and 2023, respectively, associated with leased storage tanks owned by an equity method investee, in which we own a 50% interest.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maturity of undiscounted cash flows for future minimum lease payments under noncancelable leases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reconciled to our lease liabilities on our Consolidated Balance Sheet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 xml:space="preserve">Finance </w:t>
            </w:r>
            <w:r>
              <w:rPr>
                <w:rFonts w:ascii="Times New Roman" w:cs="Times New Roman" w:eastAsia="Times New Roman" w:hAnsi="Times New Roman"/>
                <w:sz w:val="9"/>
                <w:szCs w:val="9"/>
                <w:b w:val="1"/>
                <w:bCs w:val="1"/>
                <w:color w:val="auto"/>
              </w:rPr>
              <w:t>(2)</w:t>
            </w:r>
          </w:p>
        </w:tc>
      </w:tr>
      <w:tr>
        <w:trPr>
          <w:trHeight w:val="23"/>
        </w:trPr>
        <w:tc>
          <w:tcPr>
            <w:tcW w:w="388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76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Future minimum lease payments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800" w:type="dxa"/>
            <w:vAlign w:val="bottom"/>
          </w:tcPr>
          <w:p>
            <w:pPr>
              <w:spacing w:after="0"/>
              <w:rPr>
                <w:sz w:val="19"/>
                <w:szCs w:val="19"/>
                <w:color w:val="auto"/>
              </w:rPr>
            </w:pP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3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3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3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24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3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ectPr>
          <w:pgSz w:w="11900" w:h="16838" w:orient="portrait"/>
          <w:cols w:equalWidth="0" w:num="1">
            <w:col w:w="11240"/>
          </w:cols>
          <w:pgMar w:left="320" w:top="126" w:right="339" w:bottom="1440" w:gutter="0" w:footer="0" w:header="0"/>
        </w:sect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future minimum payments for short-term and other immaterial leases not included on our Consolidated Balance Sheet.</w:t>
      </w:r>
    </w:p>
    <w:p>
      <w:pPr>
        <w:spacing w:after="0" w:line="117" w:lineRule="exact"/>
        <w:rPr>
          <w:sz w:val="20"/>
          <w:szCs w:val="20"/>
          <w:color w:val="auto"/>
        </w:rPr>
      </w:pPr>
    </w:p>
    <w:p>
      <w:pPr>
        <w:ind w:left="20" w:right="720" w:hanging="11"/>
        <w:spacing w:after="0" w:line="282" w:lineRule="auto"/>
        <w:rPr>
          <w:sz w:val="20"/>
          <w:szCs w:val="20"/>
          <w:color w:val="auto"/>
        </w:rPr>
      </w:pPr>
      <w:r>
        <w:rPr>
          <w:rFonts w:ascii="Times New Roman" w:cs="Times New Roman" w:eastAsia="Times New Roman" w:hAnsi="Times New Roman"/>
          <w:sz w:val="18"/>
          <w:szCs w:val="18"/>
          <w:color w:val="auto"/>
        </w:rPr>
        <w:t>Includes payments of approximately $6 million for each of the years ending 2025 through 2029 and approximately $39 million thereafter associated with leased storage tanks owned by an equity method investee, in which we own a 50% interest.</w:t>
      </w:r>
    </w:p>
    <w:p>
      <w:pPr>
        <w:spacing w:after="0" w:line="185"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lease revenue for the periods indicated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revenue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are included in “Services revenues” on our Consolidated Statements of Operations.</w:t>
      </w:r>
    </w:p>
    <w:p>
      <w:pPr>
        <w:spacing w:after="0" w:line="22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table below presents the maturity of lease payments for operating lease agreements in effect as of December 31, 2024. This presentation includes minimum fixed lease payments and does not include an estimate of variable lease consideration. These agreements have remaining lease terms ranging from one year to 17 years. The following table presents the undiscounted cash flows expected to be received related to these agreements (in millions):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minimum lease revenue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14—Income Taxes</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2024 and 2023, we had not recognized any material amounts in connection with uncertainty in income taxes.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Taxes</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Although we are organized as a limited partnership, we have elected to be treated as a corporation for U.S. federal income tax purposes and are therefore subject to both U.S. federal and state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Federal and Provincial Taxes</w:t>
      </w:r>
    </w:p>
    <w:p>
      <w:pPr>
        <w:spacing w:after="0" w:line="25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Components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income tax expense are as follows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income tax</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Canadian federal and provincial income and withholding taxes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7"/>
        </w:trPr>
        <w:tc>
          <w:tcPr>
            <w:tcW w:w="67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income tax</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income tax</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Canadian federal and provincial income tax</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income tax expense based on the statutory federal income tax rate and our effective income tax expense is summarized as follows (in millions):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1,409</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(995)</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63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r>
      <w:tr>
        <w:trPr>
          <w:trHeight w:val="256"/>
        </w:trPr>
        <w:tc>
          <w:tcPr>
            <w:tcW w:w="63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rate adjustment</w:t>
            </w: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attributable to noncontrolling interests: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Canadian federal and provincial income tax</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Canadian withholding tax</w:t>
            </w: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income tax</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246</w:t>
            </w:r>
          </w:p>
        </w:tc>
      </w:tr>
      <w:tr>
        <w:trPr>
          <w:trHeight w:val="21"/>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tax assets and liabilities are aggregated by the applicable tax paying entity and jurisdiction and result from the following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50"/>
        </w:trPr>
        <w:tc>
          <w:tcPr>
            <w:tcW w:w="8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in excess of tax values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assets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 classification of deferred tax assets/(liabilities):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3"/>
        </w:trPr>
        <w:tc>
          <w:tcPr>
            <w:tcW w:w="8240" w:type="dxa"/>
            <w:vAlign w:val="bottom"/>
          </w:tcPr>
          <w:p>
            <w:pPr>
              <w:spacing w:after="0"/>
              <w:rPr>
                <w:sz w:val="19"/>
                <w:szCs w:val="19"/>
                <w:color w:val="auto"/>
              </w:rPr>
            </w:pP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exchange of the ownership interest in AAP in connection with our IPO and all subsequent exchanges, a deferred tax asset was created. These transfers of ownership were accounted for at the historical carrying basis for GAAP accounting purposes, but were recorded at the fair market value of the Class A shares at the time of exchange for U.S. federal income tax purposes. These transfers were transactions among shareholders, with the basis differences resulting in a deferred tax asset that was recorded as a component of partners’ capital. Also, other equity transactions, including the repurchase of common units by PAA, and the associated adjustment to partners’ capital attributable to PAGP resulted in a corresponding change to the deferred tax asset balance that was recorded as a component of partners’ capital. See Note 11 for additional information regarding exchanges and the repurchase of common units by PAA. The deferred tax asset is amortized to deferred income tax expense as the associated basis step-up is realized on our tax returns.</w:t>
      </w:r>
    </w:p>
    <w:p>
      <w:pPr>
        <w:spacing w:after="0" w:line="21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our federal and state net operating loss carryforwards for income tax purposes were approximately $3,549 million and $953 million, respectively. If not utilized, the state net operating losses will begin to expire in 2025 and a portion of our federal net operating losses will begin to expire in 2033. Under the Tax Cuts and Jobs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spacing w:after="0" w:line="21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Generally, tax returns for our Canadian entities are open to audit from 2018 through 2024. Our U.S. and state tax years are generally open to examination from 2021 to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2024, in reference to tax years 2012 to 2019,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$177 million (based on the exchange rate as of December 31, 2024). Payment of a portion of the assessment is required in order to file a notice of objection to dispute the reassessment. Accordingly, we have remitted approximately $97 million (based on the exchange rate as of December 31, 2024)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2024, we believe that our tax position associated with these matters is “more likely than not” to be sustained and have not recognized any amounts for uncertainty in income taxes related to these notices.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15—Major Customers and Concentration of Credit Risk</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ExxonMobil Corporation and its subsidiaries accounted for 30%, 26% and 20% of our revenues for the years ended December 31, 2024, 2023 and 2022, respectively. BP p.l.c. and its subsidiaries accounted for 10% of our revenues for the year ended December 31, 2023. No other customers accounted for 10% or more of our revenues during any of the three years ended December 31, 2024.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pacing w:after="0" w:line="21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PAA’s Ownership of our Class C Shares</w:t>
      </w:r>
    </w:p>
    <w:p>
      <w:pPr>
        <w:spacing w:after="0" w:line="256"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2023, PAA owned 542,004,838 and 539,445,289, respectively, Class C shares. See Note 11 for additional information regarding our Class C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Plains Entities entered into an Omnibus Agreement on November 15, 2016, which, among other things, provides for the following:</w:t>
      </w:r>
    </w:p>
    <w:p>
      <w:pPr>
        <w:spacing w:after="0" w:line="252" w:lineRule="exact"/>
        <w:rPr>
          <w:sz w:val="20"/>
          <w:szCs w:val="20"/>
          <w:color w:val="auto"/>
        </w:rPr>
      </w:pPr>
    </w:p>
    <w:p>
      <w:pPr>
        <w:ind w:left="660" w:right="50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lend proceeds of any future indebtedness incurred by us to AAP, and AAP’s corresponding ability to lend such proceeds to PAA, in each case on substantially the same terms as incurred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Our other related parties include entities in which we hold investments and account for under the equity method of accounting (see Note 8 for information regarding such entities). During the three years ended December 31, 2024,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Consolidated Statements of Operations from these transactions is included below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6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Consolidated Balance Sheets were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0"/>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162"/>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30" w:lineRule="exact"/>
        <w:rPr>
          <w:sz w:val="20"/>
          <w:szCs w:val="20"/>
          <w:color w:val="auto"/>
        </w:rPr>
      </w:pPr>
    </w:p>
    <w:p>
      <w:pPr>
        <w:ind w:left="660" w:right="80" w:hanging="652"/>
        <w:spacing w:after="0" w:line="229" w:lineRule="auto"/>
        <w:tabs>
          <w:tab w:leader="none" w:pos="648" w:val="left"/>
        </w:tabs>
        <w:numPr>
          <w:ilvl w:val="0"/>
          <w:numId w:val="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90" w:lineRule="exact"/>
        <w:rPr>
          <w:rFonts w:ascii="Times New Roman" w:cs="Times New Roman" w:eastAsia="Times New Roman" w:hAnsi="Times New Roman"/>
          <w:sz w:val="23"/>
          <w:szCs w:val="23"/>
          <w:color w:val="auto"/>
          <w:vertAlign w:val="superscript"/>
        </w:rPr>
      </w:pPr>
    </w:p>
    <w:p>
      <w:pPr>
        <w:ind w:left="660" w:right="180" w:hanging="652"/>
        <w:spacing w:after="0" w:line="235" w:lineRule="auto"/>
        <w:tabs>
          <w:tab w:leader="none" w:pos="648" w:val="left"/>
        </w:tabs>
        <w:numPr>
          <w:ilvl w:val="0"/>
          <w:numId w:val="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17—Equity-Indexed Compensation Plans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equity-indexed compensation plans primarily include LTIPs. Although other types of awards are contemplated under certain of the LTIPs, currently outstanding awards are limited to “phantom units,” which mature into the right to receive our Class A shares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Class A share or PAA common unit. The DERs terminate with the vesting or forfeiture of the underlying LTIP award.</w:t>
      </w:r>
    </w:p>
    <w:p>
      <w:pPr>
        <w:spacing w:after="0" w:line="21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214" w:lineRule="exact"/>
        <w:rPr>
          <w:sz w:val="20"/>
          <w:szCs w:val="20"/>
          <w:color w:val="auto"/>
        </w:rPr>
      </w:pPr>
    </w:p>
    <w:p>
      <w:pPr>
        <w:jc w:val="both"/>
        <w:ind w:right="220" w:firstLine="648"/>
        <w:spacing w:after="0" w:line="274" w:lineRule="auto"/>
        <w:rPr>
          <w:sz w:val="20"/>
          <w:szCs w:val="20"/>
          <w:color w:val="auto"/>
        </w:rPr>
      </w:pPr>
      <w:r>
        <w:rPr>
          <w:rFonts w:ascii="Times New Roman" w:cs="Times New Roman" w:eastAsia="Times New Roman" w:hAnsi="Times New Roman"/>
          <w:sz w:val="17"/>
          <w:szCs w:val="17"/>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awards authorized under our LTIPs as of December 31, 2024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8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LTIP</w:t>
            </w:r>
          </w:p>
        </w:tc>
        <w:tc>
          <w:tcPr>
            <w:tcW w:w="218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LTIP</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8960" w:type="dxa"/>
            <w:vAlign w:val="bottom"/>
            <w:gridSpan w:val="3"/>
            <w:vMerge w:val="continue"/>
          </w:tcPr>
          <w:p>
            <w:pPr>
              <w:spacing w:after="0"/>
              <w:rPr>
                <w:sz w:val="16"/>
                <w:szCs w:val="16"/>
                <w:color w:val="auto"/>
              </w:rPr>
            </w:pPr>
          </w:p>
        </w:tc>
        <w:tc>
          <w:tcPr>
            <w:tcW w:w="21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Awards Authorized</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8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Plains GP Holdings, L.P. Long-Term Incentive Plan</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Plains All American 2021 Long-Term Incentive Plan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Plains All American PNG Successor Long-Term Incentive Plan</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Plains All American GP LLC 2006 Long-Term Incentive Tracking Unit Plan</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8960" w:type="dxa"/>
            <w:vAlign w:val="bottom"/>
            <w:tcBorders>
              <w:bottom w:val="single" w:sz="8" w:color="CCEEFF"/>
            </w:tcBorders>
            <w:gridSpan w:val="3"/>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40" w:hanging="652"/>
        <w:spacing w:after="0" w:line="229" w:lineRule="auto"/>
        <w:tabs>
          <w:tab w:leader="none" w:pos="648"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the 47.3 million total awards authorized, 19.1 million awards are currently available for future grant. The remaining balance has already vested or is currently outstanding.</w:t>
      </w:r>
    </w:p>
    <w:p>
      <w:pPr>
        <w:spacing w:after="0" w:line="225" w:lineRule="exact"/>
        <w:rPr>
          <w:sz w:val="20"/>
          <w:szCs w:val="20"/>
          <w:color w:val="auto"/>
        </w:rPr>
      </w:pPr>
    </w:p>
    <w:p>
      <w:pPr>
        <w:jc w:val="both"/>
        <w:ind w:right="220" w:firstLine="648"/>
        <w:spacing w:after="0" w:line="281" w:lineRule="auto"/>
        <w:rPr>
          <w:sz w:val="20"/>
          <w:szCs w:val="20"/>
          <w:color w:val="auto"/>
        </w:rPr>
      </w:pPr>
      <w:r>
        <w:rPr>
          <w:rFonts w:ascii="Times New Roman" w:cs="Times New Roman" w:eastAsia="Times New Roman" w:hAnsi="Times New Roman"/>
          <w:sz w:val="17"/>
          <w:szCs w:val="17"/>
          <w:color w:val="auto"/>
        </w:rPr>
        <w:t>As of December 31, 2024, 10.5 million PAA LTIP awards and 0.1 million PAGP LTIP awards were outstanding. Of the awards outstanding, 8.6 million PAA LTIP awards and 0.1 million PAGP LTIP awards include associated DERs. At December 31, 2024, certain of the outstanding LTIP awards were considered probable of vesting and such awards are expected to vest at various dates between August 2025 and August 2028. As of December 31, 2024, the outstanding awards that are considered probable of vesting have a remaining unrecognized fair value of approximately $65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2024 are summarized below (in millions):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4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Leases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41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commitments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2885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460" w:hanging="11"/>
        <w:spacing w:after="0" w:line="282" w:lineRule="auto"/>
        <w:rPr>
          <w:sz w:val="20"/>
          <w:szCs w:val="20"/>
          <w:color w:val="auto"/>
        </w:rPr>
      </w:pPr>
      <w:r>
        <w:rPr>
          <w:rFonts w:ascii="Times New Roman" w:cs="Times New Roman" w:eastAsia="Times New Roman" w:hAnsi="Times New Roman"/>
          <w:sz w:val="18"/>
          <w:szCs w:val="18"/>
          <w:color w:val="auto"/>
        </w:rPr>
        <w:t>Includes both operating and finance leases as defined by FASB guidance. Leases are primarily for (i) railcars, (ii) office space, (iii) land, (iv) vehicles, (v) storage tanks and (vi) tractor trailers. See Note 13 for additional information.</w:t>
      </w:r>
    </w:p>
    <w:p>
      <w:pPr>
        <w:spacing w:after="0" w:line="54" w:lineRule="exact"/>
        <w:rPr>
          <w:sz w:val="20"/>
          <w:szCs w:val="20"/>
          <w:color w:val="auto"/>
        </w:rPr>
      </w:pPr>
    </w:p>
    <w:p>
      <w:pPr>
        <w:ind w:right="140" w:hanging="11"/>
        <w:spacing w:after="0" w:line="254" w:lineRule="auto"/>
        <w:rPr>
          <w:sz w:val="20"/>
          <w:szCs w:val="20"/>
          <w:color w:val="auto"/>
        </w:rPr>
      </w:pPr>
      <w:r>
        <w:rPr>
          <w:rFonts w:ascii="Times New Roman" w:cs="Times New Roman" w:eastAsia="Times New Roman" w:hAnsi="Times New Roman"/>
          <w:sz w:val="18"/>
          <w:szCs w:val="18"/>
          <w:color w:val="auto"/>
        </w:rPr>
        <w:t>Primarily includes storage, transportation and pipeline throughput agreements, as well as certain rights-of-way easements. Expense associated with our storage, transportation and pipeline throughput agreements was approximately $387 million, $396 million and $336 million for 2024, 2023 and 2022,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 Other commitments for 2025 also include amounts associated with an agreement to purchase a crude oil gathering business in the Delaware Basin for $161 million (approximately $105 million net to our 65% interest in the Permian JV), net of a cash deposit of approximately $16 million paid in December 2024. See Note 7 for additional information.</w:t>
      </w:r>
    </w:p>
    <w:p>
      <w:pPr>
        <w:spacing w:after="0" w:line="200" w:lineRule="exact"/>
        <w:rPr>
          <w:sz w:val="20"/>
          <w:szCs w:val="20"/>
          <w:color w:val="auto"/>
        </w:rPr>
      </w:pPr>
    </w:p>
    <w:p>
      <w:pPr>
        <w:sectPr>
          <w:pgSz w:w="11900" w:h="16838" w:orient="portrait"/>
          <w:cols w:equalWidth="0" w:num="2">
            <w:col w:w="140" w:space="520"/>
            <w:col w:w="10560"/>
          </w:cols>
          <w:pgMar w:left="320" w:top="126" w:right="35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ectPr>
          <w:pgSz w:w="11900" w:h="16838" w:orient="portrait"/>
          <w:cols w:equalWidth="0" w:num="1">
            <w:col w:w="11220"/>
          </w:cols>
          <w:pgMar w:left="320" w:top="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1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estimated undiscounted reserve for environmental liabilities (excluding liabilities related to the Line 901 incident, as discussed further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reflected on our Consolidated Balance Sheets as follows (in millions):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94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6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long-term liabilities and deferred credits </w:t>
            </w:r>
            <w:r>
              <w:rPr>
                <w:rFonts w:ascii="Times New Roman" w:cs="Times New Roman" w:eastAsia="Times New Roman" w:hAnsi="Times New Roman"/>
                <w:sz w:val="23"/>
                <w:szCs w:val="23"/>
                <w:color w:val="auto"/>
                <w:vertAlign w:val="superscript"/>
              </w:rPr>
              <w:t>(1)</w:t>
            </w:r>
          </w:p>
        </w:tc>
        <w:tc>
          <w:tcPr>
            <w:tcW w:w="1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940" w:type="dxa"/>
            <w:vAlign w:val="bottom"/>
            <w:tcBorders>
              <w:bottom w:val="single" w:sz="8" w:color="auto"/>
            </w:tcBorders>
          </w:tcPr>
          <w:p>
            <w:pPr>
              <w:spacing w:after="0"/>
              <w:rPr>
                <w:sz w:val="13"/>
                <w:szCs w:val="13"/>
                <w:color w:val="auto"/>
              </w:rPr>
            </w:pPr>
          </w:p>
        </w:tc>
        <w:tc>
          <w:tcPr>
            <w:tcW w:w="3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r>
    </w:tbl>
    <w:p>
      <w:pPr>
        <w:spacing w:after="0" w:line="276" w:lineRule="exact"/>
        <w:rPr>
          <w:sz w:val="20"/>
          <w:szCs w:val="20"/>
          <w:color w:val="auto"/>
        </w:rPr>
      </w:pPr>
    </w:p>
    <w:p>
      <w:pPr>
        <w:ind w:left="320" w:hanging="312"/>
        <w:spacing w:after="0"/>
        <w:tabs>
          <w:tab w:leader="none" w:pos="320"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2024 balance reflects an increase in estimated costs for long-term environmental remediation obligations.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crude oil release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were determined by the Unified Command to be complete in 2016, and the Unified Command was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14"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Line 901 incident, several governmental agencies and regulators initiated investigations into the Line 901 incident, various claims have been made against us and a number of lawsuits have been filed against us, most of which have been resolved. Set forth below is a brief summary of actions and matters that are currently pending or recently resolved.</w:t>
      </w:r>
    </w:p>
    <w:p>
      <w:pPr>
        <w:spacing w:after="0" w:line="20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Several pending or recently resolved lawsuits and claims were filed by companies, governmental agencies and individuals alleging damages arising out of the Line 901 incident. These lawsuits and claims generally seek restitution, compensatory and punitive damages, and/or injunctive relief. Most of these lawsuits have been settled or dismissed by the court. We recently settled the following two lawsuits (the “2024 Settlements”): (i) a lawsuit in California Superior Court in Santa Barbara County for lost revenue or profit asserted by a former oil producer that declared bankruptcy and shut in its offshore production platform following the Line 901 incident; and (ii) a lawsuit filed by the California State Land Commission in California Superior Court in Santa Barbara County seeking lost royalties following the shut-down of Line 901, as well as costs related to the decommissioning of such platform. In connection with the 2024 Settlements, we recognized additional costs related to the Line 901 incident of $120 million. Our remaining Line 901 lawsuits include various lawsuits filed in California Superior Court in Santa Barbara County by (x) companies and individuals who provided labor, goods, or services associated with oil production activities they claim were disrupted following the Line 901 incident and (y) a landowner on an adjacent pipeline alleging property damage from the “stigma” of the Line 901 incident. We are vigorously defending these remaining lawsuits, which have not yet been set for trial, and believe we have strong defenses. The ultimate outcome of such matters is uncertain, and an unfavorable resolution could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November 2022, we submitted claims to several of our insurance carriers seeking reimbursement for a $230 million payment made in October of 2022 to settle a class action lawsuit stemming from the Line 901 incident (the “Class Action Settlement”). We had previously received payment of approximately $3.6 million from one insurer, which represented the final payment obligation of such insurer and brought the total amount collected from all insurers under such program to $275 million of the $500 million policy limits. In response to denials of coverage or other failures to timely tender payment, we initiated final and binding insurance arbitration proceedings against the insurers responsible for the remaining $225 million of coverage. Such insurers generally alleged that some or all damages encompassed by the Class Action Settlement were not covered by their policies and that all or some portion of the $275 million for which we had already received insurance reimbursement did not, for purposes of determining whether their policies were triggered, properly exhaust the underlying policies that paid those sums.</w:t>
      </w: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we believed that our claim for reimbursement was probable of recovery despite the ongoing arbitration proceedings. Our belief at that time was based on: (i) our analysis of the terms of the underlying insurance policies as applied to the facts and circumstances that comprised our claim for reimbursement, (ii) our experience with the cost submissions and timely collection of claims for the $275 million previously collected for this incident under the same insurance program as the denied claims, including from some of the same insurers who were then denying claims,</w:t>
      </w:r>
    </w:p>
    <w:p>
      <w:pPr>
        <w:spacing w:after="0" w:line="3" w:lineRule="exact"/>
        <w:rPr>
          <w:sz w:val="20"/>
          <w:szCs w:val="20"/>
          <w:color w:val="auto"/>
        </w:rPr>
      </w:pPr>
    </w:p>
    <w:p>
      <w:pPr>
        <w:ind w:right="100" w:firstLine="8"/>
        <w:spacing w:after="0" w:line="252" w:lineRule="auto"/>
        <w:tabs>
          <w:tab w:leader="none" w:pos="3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extensive legal review and assessment of the insurer’s claimed basis for denial of coverage, which review and assessment included the advice of external legal counsel experienced in these type of matters that supported our belief that our insurers were required to provide coverage based on the terms of the policies and the nature of our claims, and (iv) the financial strength of the insurance carriers as determined by an independent credit ratings agency. However, at that time we also noted that various factors could impact the timing and amount of recovery of our insurance receivable, including future developments that adversely impacted our assessment of the strength of our coverage claims, the outcome of any dispute resolution proceedings with respect to our coverage claims (including arbitration proceedings) and the extent to which insurers may become insolvent in the future.</w:t>
      </w:r>
    </w:p>
    <w:p>
      <w:pPr>
        <w:spacing w:after="0" w:line="21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 binding arbitration hearing with respect to our insurance claim against insurers representing $175 million of our total $225 million reimbursement claim concluded in early October 2024, and the arbitration panel’s final and binding decision was returned in January 2025. The panel ruled that a substantial portion of our claims subject to the proceeding were not covered under the applicable policy and therefore we were not entitled to reimbursement of our $175 million claim against the applicable insurers. With respect to our remaining $50 million claim against different insurance carriers, we now regard collection of those claims as being less than “probable.” As a result, we have written off the entire $225 million receivable and will recognize any future collections as and if they are received.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connection with the foregoing, including the 2024 Settlements, we have made adjustments to our total estimated Line 901 costs and the portion of such costs that we believe are probable of recovery from insurance carriers, net of deductibles. Effective as of December 31, 2024, we estimate that the aggregate total costs we have incurred or will incur with respect to the Line 901 incident will be approximately $870 million, which includes actual and projected emergency response and clean-up costs, natural resource damage assessments, fines and penalties incurred, certain third-party claims settlements (including the Class Action Settlement and the 2024 Settlements), and estimated costs associated with our remaining Line 901 lawsuits and claims as described above,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31"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we recognized costs, net of amounts probable of recovery from insurance (as applicable), of $345 million, $10 million, and $95 million, respectively. As of December 31, 2024 and 2023, we had a remaining undiscounted gross liability of approximately $5 million and $94 million, respectively, related to the Line 901 incident, which aggregate amounts are reflected in “Current liabilities” on our Consolidated Balance Sheet.</w:t>
      </w:r>
    </w:p>
    <w:p>
      <w:pPr>
        <w:spacing w:after="0" w:line="20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discussed above, we maintain insurance coverage, which is subject to certain exclusions and deductibles, in the event of such liabilities. As of December 31, 2023, we had recognized a receivable of approximately $225 million for the portion of the release costs that we believed were probable of recovery from insurance, net of deductibles and amounts already collected (approximately $280 million out of the $505 million submitted, including the 2015 insurance program and our directors and officers (D&amp;O) insurance policies). Of this amount, we had classified $175 million as a short-term asset in “Trade accounts receivable and other receivables, net” with the remaining $50 million recognized as a long-term asset in “Other long-term assets, net” on our Consolidated Balance Sheet as of December 31, 2023.</w:t>
      </w:r>
    </w:p>
    <w:p>
      <w:pPr>
        <w:spacing w:after="0" w:line="214"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Following the arbitration panel ruling discussed above, we wrote off the full $225 million insurance receivable in the fourth quarter of 2024. Therefore, as of December 31, 2024, we no longer have any amounts recorded as receivables related to the Line 901 incident recognized on our Consolidated Balance Sheet.</w:t>
      </w:r>
    </w:p>
    <w:p>
      <w:pPr>
        <w:spacing w:after="0" w:line="20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w:t>
      </w:r>
      <w:r>
        <w:rPr>
          <w:rFonts w:ascii="Times New Roman" w:cs="Times New Roman" w:eastAsia="Times New Roman" w:hAnsi="Times New Roman"/>
          <w:sz w:val="18"/>
          <w:szCs w:val="18"/>
          <w:color w:val="auto"/>
        </w:rPr>
        <w:t>On July 19, 2022, Hartree Natural Gas Storage, LLC (“Hartree”) filed a lawsuit under seal in the Superior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 asserting claims against PAA Natural Gas Storage, L.P. and PAA arising out of a Membership Interest Purchase Agreement relating to the 2021 sale of the Pine Prairie Energy Center natural gas storage facility to Hartree. We have entered into a confidential settlement agreement and anticipate that in connection with the settlement, all of Hartree’s claims will be dismissed with prejudice and without any admission of wrongdoing by Plains.</w:t>
      </w:r>
    </w:p>
    <w:p>
      <w:pPr>
        <w:spacing w:after="0" w:line="21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Various coastal parishes, the State of Louisiana and some of its departments have filed lawsuits in Louisiana 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damages in an unspecified amount. Our subsidiary owned and operated a pipeline in the vicinity of the refuge from 2006 through 2016. The damages have not been quantified and are not yet reasonably estimable, but we believe the claims in the lawsuit lack merit and intend to vigorously defend this lawsuit in coordination with the other Defendants.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19—Segment Information</w:t>
      </w:r>
    </w:p>
    <w:p>
      <w:pPr>
        <w:spacing w:after="0" w:line="25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21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w:t>
      </w:r>
    </w:p>
    <w:p>
      <w:pPr>
        <w:spacing w:after="0" w:line="21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46,974</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(13)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40" w:type="dxa"/>
            <w:vAlign w:val="bottom"/>
            <w:tcBorders>
              <w:bottom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auto"/>
            </w:tcBorders>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117"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54" w:lineRule="exact"/>
        <w:rPr>
          <w:sz w:val="20"/>
          <w:szCs w:val="20"/>
          <w:color w:val="auto"/>
        </w:rPr>
      </w:pPr>
    </w:p>
    <w:p>
      <w:pPr>
        <w:ind w:left="20" w:right="60" w:hanging="11"/>
        <w:spacing w:after="0" w:line="258" w:lineRule="auto"/>
        <w:rPr>
          <w:sz w:val="20"/>
          <w:szCs w:val="20"/>
          <w:color w:val="auto"/>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50" w:lineRule="exact"/>
        <w:rPr>
          <w:sz w:val="20"/>
          <w:szCs w:val="20"/>
          <w:color w:val="auto"/>
        </w:rPr>
      </w:pPr>
    </w:p>
    <w:p>
      <w:pPr>
        <w:ind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60" w:lineRule="exact"/>
        <w:rPr>
          <w:sz w:val="20"/>
          <w:szCs w:val="20"/>
          <w:color w:val="auto"/>
        </w:rPr>
      </w:pPr>
    </w:p>
    <w:p>
      <w:pPr>
        <w:ind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4"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ind w:left="660" w:right="20" w:hanging="652"/>
        <w:spacing w:after="0" w:line="256" w:lineRule="auto"/>
        <w:tabs>
          <w:tab w:leader="none" w:pos="65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be settled in cash is not excluded in determining Segment Adjusted EBITDA. See Note 17 for information regarding our equity-indexed compensation plans.</w:t>
      </w:r>
    </w:p>
    <w:p>
      <w:pPr>
        <w:spacing w:after="0" w:line="79" w:lineRule="exact"/>
        <w:rPr>
          <w:rFonts w:ascii="Times New Roman" w:cs="Times New Roman" w:eastAsia="Times New Roman" w:hAnsi="Times New Roman"/>
          <w:sz w:val="13"/>
          <w:szCs w:val="13"/>
          <w:color w:val="auto"/>
        </w:rPr>
      </w:pPr>
    </w:p>
    <w:p>
      <w:pPr>
        <w:ind w:left="660" w:hanging="652"/>
        <w:spacing w:after="0" w:line="251" w:lineRule="auto"/>
        <w:tabs>
          <w:tab w:leader="none" w:pos="648" w:val="left"/>
        </w:tabs>
        <w:numPr>
          <w:ilvl w:val="0"/>
          <w:numId w:val="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82" w:lineRule="exact"/>
        <w:rPr>
          <w:rFonts w:ascii="Times New Roman" w:cs="Times New Roman" w:eastAsia="Times New Roman" w:hAnsi="Times New Roman"/>
          <w:sz w:val="22"/>
          <w:szCs w:val="22"/>
          <w:color w:val="auto"/>
          <w:vertAlign w:val="superscript"/>
        </w:rPr>
      </w:pPr>
    </w:p>
    <w:p>
      <w:pPr>
        <w:ind w:left="660" w:right="20" w:hanging="652"/>
        <w:spacing w:after="0" w:line="239" w:lineRule="auto"/>
        <w:tabs>
          <w:tab w:leader="none" w:pos="648"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(as applicable). The year ended December 31, 2024 includes the write-off of a receivable for Line 901 insurance proceeds in the fourth quarter of 2024 and the impact of settlements in the third quarter of 2024. See Note 18 for additional information regarding the Line 901 incident.</w:t>
      </w:r>
    </w:p>
    <w:p>
      <w:pPr>
        <w:sectPr>
          <w:pgSz w:w="11900" w:h="16838" w:orient="portrait"/>
          <w:cols w:equalWidth="0" w:num="1">
            <w:col w:w="11240"/>
          </w:cols>
          <w:pgMar w:left="320" w:top="126" w:right="3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Reflects amounts attributable to noncontrolling interests in the Permian JV, Cactus II (beginning November 2022) and Red River.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capital and acquisition capital expenditures, including investments in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combined represent total capital expenditures.</w:t>
      </w:r>
    </w:p>
    <w:p>
      <w:pPr>
        <w:spacing w:after="0" w:line="117" w:lineRule="exact"/>
        <w:rPr>
          <w:sz w:val="20"/>
          <w:szCs w:val="20"/>
          <w:color w:val="auto"/>
        </w:rPr>
      </w:pPr>
    </w:p>
    <w:p>
      <w:pPr>
        <w:sectPr>
          <w:pgSz w:w="11900" w:h="16838" w:orient="portrait"/>
          <w:cols w:equalWidth="0" w:num="2">
            <w:col w:w="200" w:space="440"/>
            <w:col w:w="10600"/>
          </w:cols>
          <w:pgMar w:left="320" w:top="126" w:right="339" w:bottom="1440" w:gutter="0" w:footer="0" w:header="0"/>
          <w:type w:val="continuous"/>
        </w:sectPr>
      </w:pPr>
    </w:p>
    <w:p>
      <w:pPr>
        <w:jc w:val="both"/>
        <w:ind w:left="660" w:right="320" w:hanging="652"/>
        <w:spacing w:after="0" w:line="235" w:lineRule="auto"/>
        <w:tabs>
          <w:tab w:leader="none" w:pos="652"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expenses associated with the Rattler Permian Transaction in 2023. See Note 7 for additional discussion. An adjustment for these non-recurring expenses is included in the calculation of Segment Adjusted EBITDA for the year ended December 31, 2023 as our CODM does not view such expenses as integral to understanding our core segment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Net income attributable to PAGP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120" w:type="dxa"/>
            <w:vAlign w:val="bottom"/>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0"/>
        </w:trPr>
        <w:tc>
          <w:tcPr>
            <w:tcW w:w="120" w:type="dxa"/>
            <w:vAlign w:val="bottom"/>
          </w:tcPr>
          <w:p>
            <w:pPr>
              <w:spacing w:after="0"/>
              <w:rPr>
                <w:sz w:val="19"/>
                <w:szCs w:val="19"/>
                <w:color w:val="auto"/>
              </w:rPr>
            </w:pPr>
          </w:p>
        </w:tc>
        <w:tc>
          <w:tcPr>
            <w:tcW w:w="6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other segment items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Unallocated general and administrative expenses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12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30"/>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12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120" w:type="dxa"/>
            <w:vAlign w:val="bottom"/>
          </w:tcPr>
          <w:p>
            <w:pPr>
              <w:spacing w:after="0"/>
              <w:rPr>
                <w:sz w:val="19"/>
                <w:szCs w:val="19"/>
                <w:color w:val="auto"/>
              </w:rPr>
            </w:pPr>
          </w:p>
        </w:tc>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30"/>
        </w:trPr>
        <w:tc>
          <w:tcPr>
            <w:tcW w:w="120" w:type="dxa"/>
            <w:vAlign w:val="bottom"/>
          </w:tcPr>
          <w:p>
            <w:pPr>
              <w:spacing w:after="0"/>
              <w:rPr>
                <w:sz w:val="19"/>
                <w:szCs w:val="19"/>
                <w:color w:val="auto"/>
              </w:rPr>
            </w:pPr>
          </w:p>
        </w:tc>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120" w:type="dxa"/>
            <w:vAlign w:val="bottom"/>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120" w:type="dxa"/>
            <w:vAlign w:val="bottom"/>
          </w:tcPr>
          <w:p>
            <w:pPr>
              <w:spacing w:after="0"/>
              <w:rPr>
                <w:sz w:val="19"/>
                <w:szCs w:val="19"/>
                <w:color w:val="auto"/>
              </w:rPr>
            </w:pPr>
          </w:p>
        </w:tc>
        <w:tc>
          <w:tcPr>
            <w:tcW w:w="6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48"/>
        </w:trPr>
        <w:tc>
          <w:tcPr>
            <w:tcW w:w="12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1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12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3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117"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See footnotes to the segment financial data tables above for a more detailed discussion of Other segment items.</w:t>
      </w:r>
    </w:p>
    <w:p>
      <w:pPr>
        <w:spacing w:after="0" w:line="63" w:lineRule="exact"/>
        <w:rPr>
          <w:sz w:val="20"/>
          <w:szCs w:val="20"/>
          <w:color w:val="auto"/>
        </w:rPr>
      </w:pPr>
    </w:p>
    <w:p>
      <w:pPr>
        <w:ind w:left="20" w:right="300" w:hanging="11"/>
        <w:spacing w:after="0" w:line="282" w:lineRule="auto"/>
        <w:rPr>
          <w:sz w:val="20"/>
          <w:szCs w:val="20"/>
          <w:color w:val="auto"/>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w:t>
      </w:r>
    </w:p>
    <w:p>
      <w:pPr>
        <w:spacing w:after="0" w:line="200" w:lineRule="exact"/>
        <w:rPr>
          <w:sz w:val="20"/>
          <w:szCs w:val="20"/>
          <w:color w:val="auto"/>
        </w:rPr>
      </w:pPr>
    </w:p>
    <w:p>
      <w:pPr>
        <w:sectPr>
          <w:pgSz w:w="11900" w:h="16838" w:orient="portrait"/>
          <w:cols w:equalWidth="0" w:num="2">
            <w:col w:w="140" w:space="500"/>
            <w:col w:w="10580"/>
          </w:cols>
          <w:pgMar w:left="320" w:top="126" w:right="35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in the United States and Canada. Set forth below are revenues and long-lived assets attributable to these geographic areas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Revenues </w:t>
            </w:r>
            <w:r>
              <w:rPr>
                <w:rFonts w:ascii="Times New Roman" w:cs="Times New Roman" w:eastAsia="Times New Roman" w:hAnsi="Times New Roman"/>
                <w:sz w:val="9"/>
                <w:szCs w:val="9"/>
                <w:b w:val="1"/>
                <w:bCs w:val="1"/>
                <w:color w:val="auto"/>
              </w:rPr>
              <w:t>(1)</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are primarily attributed to each region based on where the services are provided or the product is shipped.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8"/>
                <w:szCs w:val="18"/>
                <w:b w:val="1"/>
                <w:bCs w:val="1"/>
                <w:color w:val="auto"/>
                <w:vertAlign w:val="superscript"/>
              </w:rPr>
              <w:t>(1)</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long-term derivative assets and long-term deferred tax assets.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78" w:lineRule="exact"/>
        <w:rPr>
          <w:rFonts w:ascii="Times New Roman" w:cs="Times New Roman" w:eastAsia="Times New Roman" w:hAnsi="Times New Roman"/>
          <w:sz w:val="23"/>
          <w:szCs w:val="23"/>
          <w:color w:val="auto"/>
          <w:vertAlign w:val="superscript"/>
        </w:rPr>
      </w:pPr>
    </w:p>
    <w:p>
      <w:pPr>
        <w:ind w:left="54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F-61</w:t>
      </w:r>
    </w:p>
    <w:p>
      <w:pPr>
        <w:sectPr>
          <w:pgSz w:w="11900" w:h="16838" w:orient="portrait"/>
          <w:cols w:equalWidth="0" w:num="1">
            <w:col w:w="11220"/>
          </w:cols>
          <w:pgMar w:left="320" w:top="126" w:right="359" w:bottom="1440" w:gutter="0" w:footer="0" w:header="0"/>
          <w:type w:val="continuous"/>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b w:val="1"/>
          <w:bCs w:val="1"/>
          <w:color w:val="auto"/>
        </w:rPr>
        <w:t>Exhibit 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8"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Plains GP Holdings, L.P. has one class of securities registered under Section 12 of the Securities Exchange Act of 1934, as amended (the “Exchange Act”): its Class A shares representing limited partner interests, which are described in this Exhibit. The following definitions are used in this Exhibit:</w:t>
      </w:r>
    </w:p>
    <w:p>
      <w:pPr>
        <w:spacing w:after="0" w:line="196" w:lineRule="exact"/>
        <w:rPr>
          <w:sz w:val="20"/>
          <w:szCs w:val="20"/>
          <w:color w:val="auto"/>
        </w:rPr>
      </w:pPr>
    </w:p>
    <w:p>
      <w:pPr>
        <w:ind w:left="660" w:right="380" w:hanging="328"/>
        <w:spacing w:after="0" w:line="261" w:lineRule="auto"/>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 “us,” “the Partnership” or “Plains GP Holdings, L.P.” refers to Plains GP Holdings, L.P., the registrant itself, or to Plains GP Holdings, L.P. and its operating subsidiaries collectively, as the context requires (we currently have no operating activities apart from those of PAA; accordingly, any references to “we,” “our” and similar terms describing assets, business characteristics or other related matters refer to PAA’s assets, business characteristics or other matters involving PAA’s assets and operating activities);</w:t>
      </w:r>
    </w:p>
    <w:p>
      <w:pPr>
        <w:spacing w:after="0" w:line="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refers to Plains All American Pipeline, L.P. (Nasdaq: PAA), individually, or to Plains All American Pipeline, L.P. and its operating subsidiaries collectively, as the context requires;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GP” refers to PAA GP LLC, the general partner of PAA;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refers to Plains AAP, L.P., which owns a 100% membership interest in PAA GP;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 LLC” refers to Plains All American GP LLC, the general partner of AAP;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refers to PAA GP Holdings LLC;</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refers to the Second Amended and Restated Agreement of Limited Partnership of Plains GP Holdings, L.P., as it may be amended from time to time;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Owners” refers to owners of AAP immediately prior to our initial public offering (our “IPO”);</w:t>
      </w:r>
    </w:p>
    <w:p>
      <w:pPr>
        <w:spacing w:after="0" w:line="117"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67"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“Omnibus Agreement” refers to the Omnibus Agreement entered into on November 15, 2016 with our general partner, GP LLC, AAP, PAA GP and PAA in connection with the closing of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spacing w:after="0" w:line="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of our general partner do not include the Legacy Owners.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Share Structure</w:t>
      </w:r>
    </w:p>
    <w:p>
      <w:pPr>
        <w:spacing w:after="0" w:line="243"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represent a non-economic limited partner interest and serve as a pass-through voting mechanism through which PAA, as the sole holder of the Class C shares, votes at the direction and on behalf of PAA common and Series A preferred unitholders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“Description of Our Partnership Agreement.”</w:t>
      </w:r>
    </w:p>
    <w:p>
      <w:pPr>
        <w:sectPr>
          <w:pgSz w:w="11900" w:h="16838" w:orient="portrait"/>
          <w:cols w:equalWidth="0" w:num="1">
            <w:col w:w="11240"/>
          </w:cols>
          <w:pgMar w:left="320" w:top="122" w:right="339" w:bottom="1440" w:gutter="0" w:footer="0" w:header="0"/>
        </w:sectPr>
      </w:pPr>
    </w:p>
    <w:bookmarkStart w:id="167" w:name="page168"/>
    <w:bookmarkEnd w:id="167"/>
    <w:p>
      <w:pPr>
        <w:spacing w:after="0" w:line="207" w:lineRule="exact"/>
        <w:rPr>
          <w:sz w:val="20"/>
          <w:szCs w:val="20"/>
          <w:color w:val="auto"/>
        </w:rPr>
      </w:pPr>
    </w:p>
    <w:p>
      <w:pPr>
        <w:ind w:right="60" w:firstLine="324"/>
        <w:spacing w:after="0"/>
        <w:rPr>
          <w:sz w:val="20"/>
          <w:szCs w:val="20"/>
          <w:color w:val="auto"/>
        </w:rPr>
      </w:pPr>
      <w:r>
        <w:rPr>
          <w:rFonts w:ascii="Times New Roman" w:cs="Times New Roman" w:eastAsia="Times New Roman" w:hAnsi="Times New Roman"/>
          <w:sz w:val="18"/>
          <w:szCs w:val="18"/>
          <w:color w:val="auto"/>
        </w:rPr>
        <w:t>Our Class A shares are listed on the Nasdaq Global Select Market under the symbol “PAGP”; we do not intend to list the Class B shares or the Class C shares on any stock exchange. All of our Class B shares are owned by the Legacy Owners, including former holders of Class B units of AAP who have converted such Class B units into AAP Class A units and a like number of Class B shares, or their permitted transferees. All of the Class C shares are owned by PAA.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Right</w:t>
      </w:r>
    </w:p>
    <w:p>
      <w:pPr>
        <w:spacing w:after="0" w:line="229" w:lineRule="exact"/>
        <w:rPr>
          <w:sz w:val="20"/>
          <w:szCs w:val="20"/>
          <w:color w:val="auto"/>
        </w:rPr>
      </w:pPr>
    </w:p>
    <w:p>
      <w:pPr>
        <w:ind w:right="420" w:firstLine="324"/>
        <w:spacing w:after="0" w:line="250" w:lineRule="auto"/>
        <w:rPr>
          <w:sz w:val="20"/>
          <w:szCs w:val="20"/>
          <w:color w:val="auto"/>
        </w:rPr>
      </w:pPr>
      <w:r>
        <w:rPr>
          <w:rFonts w:ascii="Times New Roman" w:cs="Times New Roman" w:eastAsia="Times New Roman" w:hAnsi="Times New Roman"/>
          <w:sz w:val="18"/>
          <w:szCs w:val="18"/>
          <w:color w:val="auto"/>
        </w:rPr>
        <w:t>Each holder of AAP Class A units (other than us) has the right to exchange (the “Exchange Right”) all or a portion of their AAP Class A units for Class A shares at an exchange ratio of one Class A share for each AAP Class A unit exchanged. The Exchange Right may be exercised only if, simultaneously therewith, an equal number of our Class B shares and general partner units, if applicable, are transferred by the exercising party to us.</w:t>
      </w:r>
    </w:p>
    <w:p>
      <w:pPr>
        <w:spacing w:after="0" w:line="190" w:lineRule="exact"/>
        <w:rPr>
          <w:sz w:val="20"/>
          <w:szCs w:val="20"/>
          <w:color w:val="auto"/>
        </w:rPr>
      </w:pPr>
    </w:p>
    <w:p>
      <w:pPr>
        <w:ind w:right="60" w:firstLine="324"/>
        <w:spacing w:after="0"/>
        <w:rPr>
          <w:sz w:val="20"/>
          <w:szCs w:val="20"/>
          <w:color w:val="auto"/>
        </w:rPr>
      </w:pPr>
      <w:r>
        <w:rPr>
          <w:rFonts w:ascii="Times New Roman" w:cs="Times New Roman" w:eastAsia="Times New Roman" w:hAnsi="Times New Roman"/>
          <w:sz w:val="18"/>
          <w:szCs w:val="18"/>
          <w:color w:val="auto"/>
        </w:rPr>
        <w:t>For purposes of any transfer or exchange of AAP Class A units, the AAP partnership agreement, our general partner’s limited liability company agreement and our partnership agreement contain provisions linking each such AAP Class A unit with one of our Class B shares and a general partner unit, if applicable. Our Class B shares and general partner units, if applicable, cannot be transferred without transferring an equal number of AAP Class A units and vice versa.</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mechanisms are subject to customary conversion rate adjustments for equity splits, equity dividends and reclassifications.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Class A Shares, Class B Shares and Class C Shares</w:t>
      </w:r>
    </w:p>
    <w:p>
      <w:pPr>
        <w:spacing w:after="0" w:line="229"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4"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the transferee has the capacity, power and authority to become bound by our partnership agreement;</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agrees to be bound by the terms and conditions of, and is deemed to have executed, our partnership agreement; and</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the consents and approvals contained in our partnership agreement.</w:t>
      </w:r>
    </w:p>
    <w:p>
      <w:pPr>
        <w:spacing w:after="0" w:line="239" w:lineRule="exact"/>
        <w:rPr>
          <w:sz w:val="20"/>
          <w:szCs w:val="20"/>
          <w:color w:val="auto"/>
        </w:rPr>
      </w:pPr>
    </w:p>
    <w:p>
      <w:pPr>
        <w:ind w:right="420" w:firstLine="324"/>
        <w:spacing w:after="0" w:line="250" w:lineRule="auto"/>
        <w:rPr>
          <w:sz w:val="20"/>
          <w:szCs w:val="20"/>
          <w:color w:val="auto"/>
        </w:rPr>
      </w:pPr>
      <w:r>
        <w:rPr>
          <w:rFonts w:ascii="Times New Roman" w:cs="Times New Roman" w:eastAsia="Times New Roman" w:hAnsi="Times New Roman"/>
          <w:sz w:val="18"/>
          <w:szCs w:val="18"/>
          <w:color w:val="auto"/>
        </w:rPr>
        <w:t>A transferee will become a substituted limited partner for the transferred shares automatically upon the recording of the transfer on our books and records. Our general partner will cause any transfers to be recorded on our books and records no less frequently than quarterly.</w:t>
      </w:r>
    </w:p>
    <w:p>
      <w:pPr>
        <w:spacing w:after="0" w:line="190"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90" w:lineRule="exact"/>
        <w:rPr>
          <w:sz w:val="20"/>
          <w:szCs w:val="20"/>
          <w:color w:val="auto"/>
        </w:rPr>
      </w:pPr>
    </w:p>
    <w:p>
      <w:pPr>
        <w:ind w:right="140" w:firstLine="324"/>
        <w:spacing w:after="0" w:line="279" w:lineRule="auto"/>
        <w:rPr>
          <w:sz w:val="20"/>
          <w:szCs w:val="20"/>
          <w:color w:val="auto"/>
        </w:rPr>
      </w:pPr>
      <w:r>
        <w:rPr>
          <w:rFonts w:ascii="Times New Roman" w:cs="Times New Roman" w:eastAsia="Times New Roman" w:hAnsi="Times New Roman"/>
          <w:sz w:val="17"/>
          <w:szCs w:val="17"/>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67" w:lineRule="exact"/>
        <w:rPr>
          <w:sz w:val="20"/>
          <w:szCs w:val="20"/>
          <w:color w:val="auto"/>
        </w:rPr>
      </w:pPr>
    </w:p>
    <w:p>
      <w:pPr>
        <w:ind w:right="260" w:firstLine="324"/>
        <w:spacing w:after="0" w:line="250" w:lineRule="auto"/>
        <w:rPr>
          <w:sz w:val="20"/>
          <w:szCs w:val="20"/>
          <w:color w:val="auto"/>
        </w:rPr>
      </w:pPr>
      <w:r>
        <w:rPr>
          <w:rFonts w:ascii="Times New Roman" w:cs="Times New Roman" w:eastAsia="Times New Roman" w:hAnsi="Times New Roman"/>
          <w:sz w:val="18"/>
          <w:szCs w:val="18"/>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90"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if applicable. Please read “—Exchange Right” above.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Omnibus Agreement, PAA may not transfer the Class C shares without our prior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CASH DISTRIBUTION POLICY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Cash Distribution Policy</w:t>
      </w:r>
    </w:p>
    <w:p>
      <w:pPr>
        <w:spacing w:after="0" w:line="25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partnership agreement requires that, within 55 days after the end of each quarter, we distribute all of our available cash to Class A shareholders of record on the applicable record date.</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Available cash generally means, for any quarter ending prior to liquidation, all cash and cash equivalents on hand on the date of determination of available cash for the distribution in respect of such quarter (including expected distributions from AAP in respect of such quarter), less the amount of cash reserves established by our general partner to:</w:t>
      </w:r>
    </w:p>
    <w:p>
      <w:pPr>
        <w:spacing w:after="0" w:line="196"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agreement binding upon us or our subsidiaries (exclusive of PAA and its subsidiaries);</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future distributions to shareholders;</w:t>
      </w:r>
    </w:p>
    <w:p>
      <w:pPr>
        <w:ind w:left="660" w:right="280" w:hanging="328"/>
        <w:spacing w:after="0" w:line="241"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future capital expenditures, debt service and other credit needs as well as any federal, state, provincial or other income tax that may affect the Partnership in the future;</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our general, administrative or other expenses; or</w:t>
      </w: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Available Cash</w:t>
      </w:r>
    </w:p>
    <w:p>
      <w:pPr>
        <w:spacing w:after="0" w:line="256" w:lineRule="exact"/>
        <w:rPr>
          <w:sz w:val="20"/>
          <w:szCs w:val="20"/>
          <w:color w:val="auto"/>
        </w:rPr>
      </w:pPr>
    </w:p>
    <w:p>
      <w:pPr>
        <w:jc w:val="both"/>
        <w:ind w:right="120" w:firstLine="324"/>
        <w:spacing w:after="0" w:line="264" w:lineRule="auto"/>
        <w:rPr>
          <w:sz w:val="20"/>
          <w:szCs w:val="20"/>
          <w:color w:val="auto"/>
        </w:rPr>
      </w:pPr>
      <w:r>
        <w:rPr>
          <w:rFonts w:ascii="Times New Roman" w:cs="Times New Roman" w:eastAsia="Times New Roman" w:hAnsi="Times New Roman"/>
          <w:sz w:val="17"/>
          <w:szCs w:val="17"/>
          <w:color w:val="auto"/>
        </w:rPr>
        <w:t>Our principal sources of cash flow are derived from our indirect investment in PAA through our ownership of limited partner interests in AAP, which owns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general partner owns a non-economic general partner interest in us, which does not entitle it to receive cash distributions.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Cash Upon Liquidation</w:t>
      </w:r>
    </w:p>
    <w:p>
      <w:pPr>
        <w:spacing w:after="0" w:line="2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certain material provisions of our partnership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75"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69" w:name="page170"/>
    <w:bookmarkEnd w:id="169"/>
    <w:p>
      <w:pPr>
        <w:ind w:right="420"/>
        <w:spacing w:after="0" w:line="266" w:lineRule="auto"/>
        <w:rPr>
          <w:sz w:val="20"/>
          <w:szCs w:val="20"/>
          <w:color w:val="auto"/>
        </w:rPr>
      </w:pPr>
      <w:r>
        <w:rPr>
          <w:rFonts w:ascii="Times New Roman" w:cs="Times New Roman" w:eastAsia="Times New Roman" w:hAnsi="Times New Roman"/>
          <w:sz w:val="18"/>
          <w:szCs w:val="18"/>
          <w:color w:val="auto"/>
        </w:rPr>
        <w:t>to perform all acts it determines to be necessary or appropriate to carry out our purposes and to conduct our business, including, but not limited to, the following:</w:t>
      </w:r>
    </w:p>
    <w:p>
      <w:pPr>
        <w:spacing w:after="0" w:line="203"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expenditures and the incurrence of debt and other obligations;</w:t>
      </w:r>
    </w:p>
    <w:p>
      <w:pPr>
        <w:spacing w:after="0" w:line="15" w:lineRule="exact"/>
        <w:rPr>
          <w:rFonts w:ascii="Times New Roman" w:cs="Times New Roman" w:eastAsia="Times New Roman" w:hAnsi="Times New Roman"/>
          <w:sz w:val="18"/>
          <w:szCs w:val="18"/>
          <w:color w:val="auto"/>
        </w:rPr>
      </w:pPr>
    </w:p>
    <w:p>
      <w:pPr>
        <w:ind w:left="660" w:right="740" w:hanging="328"/>
        <w:spacing w:after="0" w:line="241"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disposition, mortgage, pledge, encumbrance, hypothecation or exchange of any or all of our assets or the merger or other combination of us with or into another person;</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and performance of contracts;</w:t>
      </w:r>
    </w:p>
    <w:p>
      <w:pPr>
        <w:ind w:left="660" w:hanging="328"/>
        <w:spacing w:after="0" w:line="234"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our cash;</w:t>
      </w:r>
    </w:p>
    <w:p>
      <w:pPr>
        <w:ind w:left="660" w:right="40" w:hanging="328"/>
        <w:spacing w:after="0" w:line="24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sale or other acquisition or disposition of our partnership securities or the issuance of partnership securities or options or other rights relating thereto;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 connection with our participation and management of PAA.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Contributions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shareholders are not obligated to make additional capital contributions, except as described below under “—Limited Liability.”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Law; Forum, Venue and Jurisdiction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partnership agreement is governed by Delaware law. Our partnership agreement requires that any claims, suits, actions or proceedings:</w:t>
      </w:r>
    </w:p>
    <w:p>
      <w:pPr>
        <w:spacing w:after="0" w:line="252" w:lineRule="exact"/>
        <w:rPr>
          <w:sz w:val="20"/>
          <w:szCs w:val="20"/>
          <w:color w:val="auto"/>
        </w:rPr>
      </w:pPr>
    </w:p>
    <w:p>
      <w:pPr>
        <w:ind w:left="660" w:right="40" w:hanging="328"/>
        <w:spacing w:after="0" w:line="247"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ind w:left="660" w:hanging="328"/>
        <w:spacing w:after="0" w:line="23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in a derivative manner on our behalf;</w:t>
      </w:r>
    </w:p>
    <w:p>
      <w:pPr>
        <w:ind w:left="660" w:hanging="328"/>
        <w:spacing w:after="0" w:line="241"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of breach of a fiduciary duty owed by any director, officer or other employee of us or our general partner, or owed by our general partner to us or the shareholders;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arising pursuant to any provision of the Delaware Revised Uniform Limited Partnership Act (the “Delaware Act”); or</w:t>
      </w: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governed by the internal affairs doctrine,</w:t>
      </w:r>
    </w:p>
    <w:p>
      <w:pPr>
        <w:spacing w:after="0" w:line="21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17" w:right="3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121"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04"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or replace our general partner,</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some amendments to our partnership agreement, or</w:t>
      </w: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other action under our partnership agreement,</w:t>
      </w:r>
    </w:p>
    <w:p>
      <w:pPr>
        <w:spacing w:after="0" w:line="2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204" w:lineRule="exact"/>
        <w:rPr>
          <w:sz w:val="20"/>
          <w:szCs w:val="20"/>
          <w:color w:val="auto"/>
        </w:rPr>
      </w:pPr>
    </w:p>
    <w:p>
      <w:pPr>
        <w:ind w:right="20" w:firstLine="324"/>
        <w:spacing w:after="0" w:line="244" w:lineRule="auto"/>
        <w:rPr>
          <w:sz w:val="20"/>
          <w:szCs w:val="20"/>
          <w:color w:val="auto"/>
        </w:rPr>
      </w:pPr>
      <w:r>
        <w:rPr>
          <w:rFonts w:ascii="Times New Roman" w:cs="Times New Roman" w:eastAsia="Times New Roman" w:hAnsi="Times New Roman"/>
          <w:sz w:val="18"/>
          <w:szCs w:val="18"/>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212"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Voting Rights</w:t>
      </w:r>
    </w:p>
    <w:p>
      <w:pPr>
        <w:spacing w:after="0" w:line="108"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Our general partner manages us and our operations. Our shareholders will have only limited voting rights on matters affecting our business. Our shareholders will not have the right to elect our general partner or, except as described below under “—Public Election of Directors,” its directors on an annual or other continuing basis.</w:t>
      </w:r>
    </w:p>
    <w:p>
      <w:pPr>
        <w:spacing w:after="0" w:line="196"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Our Class C shares are only entitled to vote on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On such matters, PAA votes the Class C shares on behalf of, and as instructed by, the PAA common and Series A preferred unitholders. Because of the limited voting rights of our Class C shares,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13" w:right="359" w:bottom="1440" w:gutter="0" w:footer="0" w:header="0"/>
        </w:sectPr>
      </w:pPr>
    </w:p>
    <w:bookmarkStart w:id="171" w:name="page172"/>
    <w:bookmarkEnd w:id="171"/>
    <w:p>
      <w:pPr>
        <w:spacing w:after="0" w:line="221" w:lineRule="exact"/>
        <w:rPr>
          <w:sz w:val="20"/>
          <w:szCs w:val="20"/>
          <w:color w:val="auto"/>
        </w:rPr>
      </w:pPr>
    </w:p>
    <w:p>
      <w:pPr>
        <w:ind w:firstLine="324"/>
        <w:spacing w:after="0" w:line="247" w:lineRule="auto"/>
        <w:rPr>
          <w:sz w:val="20"/>
          <w:szCs w:val="20"/>
          <w:color w:val="auto"/>
        </w:rPr>
      </w:pPr>
      <w:r>
        <w:rPr>
          <w:rFonts w:ascii="Times New Roman" w:cs="Times New Roman" w:eastAsia="Times New Roman" w:hAnsi="Times New Roman"/>
          <w:sz w:val="18"/>
          <w:szCs w:val="18"/>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 general partner will have no fiduciary duty or obligation whatsoever to us or the shareholders, including any duty to act in good faith or in the best interests of us or the shareholders.</w:t>
      </w:r>
    </w:p>
    <w:p>
      <w:pPr>
        <w:sectPr>
          <w:pgSz w:w="11900" w:h="16838" w:orient="portrait"/>
          <w:cols w:equalWidth="0" w:num="1">
            <w:col w:w="11180"/>
          </w:cols>
          <w:pgMar w:left="320" w:top="1440" w:right="399" w:bottom="1440" w:gutter="0" w:footer="0" w:header="0"/>
        </w:sectPr>
      </w:pPr>
    </w:p>
    <w:p>
      <w:pPr>
        <w:spacing w:after="0" w:line="261"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Issuance of additional shares (or other partnership securities)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approval right.</w:t>
      </w:r>
    </w:p>
    <w:p>
      <w:pPr>
        <w:spacing w:after="0" w:line="463" w:lineRule="exact"/>
        <w:rPr>
          <w:sz w:val="20"/>
          <w:szCs w:val="20"/>
          <w:color w:val="auto"/>
        </w:rPr>
      </w:pPr>
    </w:p>
    <w:p>
      <w:pPr>
        <w:sectPr>
          <w:pgSz w:w="11900" w:h="16838" w:orient="portrait"/>
          <w:cols w:equalWidth="0" w:num="2">
            <w:col w:w="3760" w:space="720"/>
            <w:col w:w="6700"/>
          </w:cols>
          <w:pgMar w:left="320" w:top="1440" w:right="399" w:bottom="1440" w:gutter="0" w:footer="0" w:header="0"/>
          <w:type w:val="continuous"/>
        </w:sectPr>
      </w:pP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Amendment of our partnership agreement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or with the consent of our general partner. Certain amendments may be made by our general partner without the</w:t>
      </w:r>
    </w:p>
    <w:p>
      <w:pPr>
        <w:spacing w:after="0" w:line="1" w:lineRule="exact"/>
        <w:rPr>
          <w:sz w:val="20"/>
          <w:szCs w:val="20"/>
          <w:color w:val="auto"/>
        </w:rPr>
      </w:pPr>
    </w:p>
    <w:p>
      <w:pPr>
        <w:sectPr>
          <w:pgSz w:w="11900" w:h="16838" w:orient="portrait"/>
          <w:cols w:equalWidth="0" w:num="2">
            <w:col w:w="3760" w:space="720"/>
            <w:col w:w="6700"/>
          </w:cols>
          <w:pgMar w:left="320" w:top="1440" w:right="399" w:bottom="1440" w:gutter="0" w:footer="0" w:header="0"/>
          <w:type w:val="continuous"/>
        </w:sectPr>
      </w:pPr>
    </w:p>
    <w:p>
      <w:pPr>
        <w:jc w:val="both"/>
        <w:ind w:left="4480"/>
        <w:spacing w:after="0"/>
        <w:rPr>
          <w:sz w:val="20"/>
          <w:szCs w:val="20"/>
          <w:color w:val="auto"/>
        </w:rPr>
      </w:pPr>
      <w:r>
        <w:rPr>
          <w:rFonts w:ascii="Times New Roman" w:cs="Times New Roman" w:eastAsia="Times New Roman" w:hAnsi="Times New Roman"/>
          <w:sz w:val="18"/>
          <w:szCs w:val="18"/>
          <w:color w:val="auto"/>
        </w:rPr>
        <w:t>approval of our shareholders. Other amendments generally require the approval of a majority of our outstanding shares (including under certain circumstances, our Class C shares). Please read “—Amendments to Our Partnership Agreement.”</w:t>
      </w:r>
    </w:p>
    <w:p>
      <w:pPr>
        <w:sectPr>
          <w:pgSz w:w="11900" w:h="16838" w:orient="portrait"/>
          <w:cols w:equalWidth="0" w:num="1">
            <w:col w:w="11180"/>
          </w:cols>
          <w:pgMar w:left="320" w:top="1440" w:right="399" w:bottom="1440" w:gutter="0" w:footer="0" w:header="0"/>
          <w:type w:val="continuous"/>
        </w:sectPr>
      </w:pPr>
    </w:p>
    <w:p>
      <w:pPr>
        <w:spacing w:after="0" w:line="306"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majority of our outstanding shares in certain circumstances. Please read “—Merger, Sale or Other Disposition of Assets.”</w:t>
      </w:r>
    </w:p>
    <w:p>
      <w:pPr>
        <w:spacing w:after="0" w:line="200" w:lineRule="exact"/>
        <w:rPr>
          <w:sz w:val="20"/>
          <w:szCs w:val="20"/>
          <w:color w:val="auto"/>
        </w:rPr>
      </w:pPr>
    </w:p>
    <w:p>
      <w:pPr>
        <w:sectPr>
          <w:pgSz w:w="11900" w:h="16838" w:orient="portrait"/>
          <w:cols w:equalWidth="0" w:num="2">
            <w:col w:w="4240" w:space="240"/>
            <w:col w:w="6700"/>
          </w:cols>
          <w:pgMar w:left="320" w:top="1440" w:right="399" w:bottom="1440" w:gutter="0" w:footer="0" w:header="0"/>
          <w:type w:val="continuous"/>
        </w:sectPr>
      </w:pP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Dissolution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majority of our outstanding shares. Please read “—Termination or Dissolution.”</w:t>
      </w:r>
    </w:p>
    <w:p>
      <w:pPr>
        <w:spacing w:after="0" w:line="211" w:lineRule="exact"/>
        <w:rPr>
          <w:sz w:val="20"/>
          <w:szCs w:val="20"/>
          <w:color w:val="auto"/>
        </w:rPr>
      </w:pPr>
    </w:p>
    <w:p>
      <w:pPr>
        <w:sectPr>
          <w:pgSz w:w="11900" w:h="16838" w:orient="portrait"/>
          <w:cols w:equalWidth="0" w:num="2">
            <w:col w:w="3760" w:space="720"/>
            <w:col w:w="6700"/>
          </w:cols>
          <w:pgMar w:left="320" w:top="1440" w:right="39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Reconstitution upon dissolution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majority of our outstanding shares. Please read “—Termination or Dissolution.”</w:t>
      </w:r>
    </w:p>
    <w:p>
      <w:pPr>
        <w:spacing w:after="0" w:line="211" w:lineRule="exact"/>
        <w:rPr>
          <w:sz w:val="20"/>
          <w:szCs w:val="20"/>
          <w:color w:val="auto"/>
        </w:rPr>
      </w:pPr>
    </w:p>
    <w:p>
      <w:pPr>
        <w:sectPr>
          <w:pgSz w:w="11900" w:h="16838" w:orient="portrait"/>
          <w:cols w:equalWidth="0" w:num="2">
            <w:col w:w="3760" w:space="720"/>
            <w:col w:w="6700"/>
          </w:cols>
          <w:pgMar w:left="320" w:top="1440" w:right="39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Withdrawal of our general partner</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approval right. Please read “—Withdrawal or Removal of the General Partner.”</w:t>
      </w:r>
    </w:p>
    <w:p>
      <w:pPr>
        <w:spacing w:after="0" w:line="211" w:lineRule="exact"/>
        <w:rPr>
          <w:sz w:val="20"/>
          <w:szCs w:val="20"/>
          <w:color w:val="auto"/>
        </w:rPr>
      </w:pPr>
    </w:p>
    <w:p>
      <w:pPr>
        <w:sectPr>
          <w:pgSz w:w="11900" w:h="16838" w:orient="portrait"/>
          <w:cols w:equalWidth="0" w:num="2">
            <w:col w:w="3760" w:space="720"/>
            <w:col w:w="6700"/>
          </w:cols>
          <w:pgMar w:left="320" w:top="1440" w:right="39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Removal of our general partner</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7"/>
          <w:szCs w:val="17"/>
          <w:color w:val="auto"/>
        </w:rPr>
        <w:t>Not less than 66 2/3% of our outstanding shares, including shares held by our general partner, the Legacy Owners and their respective affiliates. Please read “—Withdrawal or</w:t>
      </w:r>
    </w:p>
    <w:p>
      <w:pPr>
        <w:spacing w:after="0" w:line="1" w:lineRule="exact"/>
        <w:rPr>
          <w:sz w:val="20"/>
          <w:szCs w:val="20"/>
          <w:color w:val="auto"/>
        </w:rPr>
      </w:pPr>
    </w:p>
    <w:p>
      <w:pPr>
        <w:sectPr>
          <w:pgSz w:w="11900" w:h="16838" w:orient="portrait"/>
          <w:cols w:equalWidth="0" w:num="2">
            <w:col w:w="3760" w:space="720"/>
            <w:col w:w="6700"/>
          </w:cols>
          <w:pgMar w:left="320" w:top="1440" w:right="3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Removal of the General Partner.”</w:t>
      </w:r>
    </w:p>
    <w:p>
      <w:pPr>
        <w:sectPr>
          <w:pgSz w:w="11900" w:h="16838" w:orient="portrait"/>
          <w:cols w:equalWidth="0" w:num="1">
            <w:col w:w="11180"/>
          </w:cols>
          <w:pgMar w:left="320" w:top="1440" w:right="399" w:bottom="1440" w:gutter="0" w:footer="0" w:header="0"/>
          <w:type w:val="continuous"/>
        </w:sect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Transfer of the general partner interest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approval right.</w:t>
      </w:r>
    </w:p>
    <w:p>
      <w:pPr>
        <w:spacing w:after="0" w:line="211" w:lineRule="exact"/>
        <w:rPr>
          <w:sz w:val="20"/>
          <w:szCs w:val="20"/>
          <w:color w:val="auto"/>
        </w:rPr>
      </w:pPr>
    </w:p>
    <w:p>
      <w:pPr>
        <w:sectPr>
          <w:pgSz w:w="11900" w:h="16838" w:orient="portrait"/>
          <w:cols w:equalWidth="0" w:num="2">
            <w:col w:w="3760" w:space="720"/>
            <w:col w:w="6700"/>
          </w:cols>
          <w:pgMar w:left="320" w:top="1440" w:right="39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108"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20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20" w:top="1440" w:right="399" w:bottom="1440" w:gutter="0" w:footer="0" w:header="0"/>
          <w:type w:val="continuous"/>
        </w:sectPr>
      </w:pPr>
    </w:p>
    <w:bookmarkStart w:id="172" w:name="page173"/>
    <w:bookmarkEnd w:id="17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Prohibited Amendments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amendment may be made that would:</w:t>
      </w:r>
    </w:p>
    <w:p>
      <w:pPr>
        <w:spacing w:after="0" w:line="239" w:lineRule="exact"/>
        <w:rPr>
          <w:sz w:val="20"/>
          <w:szCs w:val="20"/>
          <w:color w:val="auto"/>
        </w:rPr>
      </w:pPr>
    </w:p>
    <w:p>
      <w:pPr>
        <w:ind w:left="660" w:right="260" w:hanging="328"/>
        <w:spacing w:after="0" w:line="282" w:lineRule="auto"/>
        <w:tabs>
          <w:tab w:leader="none" w:pos="6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175" w:lineRule="exact"/>
        <w:rPr>
          <w:rFonts w:ascii="Times New Roman" w:cs="Times New Roman" w:eastAsia="Times New Roman" w:hAnsi="Times New Roman"/>
          <w:sz w:val="18"/>
          <w:szCs w:val="18"/>
          <w:color w:val="auto"/>
        </w:rPr>
      </w:pPr>
    </w:p>
    <w:p>
      <w:pPr>
        <w:ind w:left="660" w:hanging="328"/>
        <w:spacing w:after="0" w:line="258" w:lineRule="auto"/>
        <w:tabs>
          <w:tab w:leader="none" w:pos="6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Shareholder Approval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general partner may generally make amendments to our partnership agreement without the approval of any shareholder or assignee to reflect:</w:t>
      </w:r>
    </w:p>
    <w:p>
      <w:pPr>
        <w:spacing w:after="0" w:line="239" w:lineRule="exact"/>
        <w:rPr>
          <w:sz w:val="20"/>
          <w:szCs w:val="20"/>
          <w:color w:val="auto"/>
        </w:rPr>
      </w:pPr>
    </w:p>
    <w:p>
      <w:pPr>
        <w:ind w:left="640" w:hanging="308"/>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our name, the location of our principal place of business, our registered agent or its registered office;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substitution, withdrawal or removal of partners in accordance with our partnership agreement;</w:t>
      </w:r>
    </w:p>
    <w:p>
      <w:pPr>
        <w:spacing w:after="0" w:line="10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59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67"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59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69"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59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general partner determines to be necessary or appropriate for the authorization of additional partnership securities or rights to acquire partnership securities;</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our partnership agreement to be made by our general partner acting alone;</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that has been approved under the terms of our partnership agreement;</w:t>
      </w:r>
    </w:p>
    <w:p>
      <w:pPr>
        <w:spacing w:after="0" w:line="10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59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4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fiscal year or taxable year and related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40" w:right="379" w:bottom="1440" w:gutter="0" w:footer="0" w:header="0"/>
        </w:sectPr>
      </w:pPr>
    </w:p>
    <w:bookmarkStart w:id="173" w:name="page174"/>
    <w:bookmarkEnd w:id="173"/>
    <w:p>
      <w:pPr>
        <w:ind w:left="660" w:right="40" w:hanging="328"/>
        <w:spacing w:after="0" w:line="258" w:lineRule="auto"/>
        <w:tabs>
          <w:tab w:leader="none" w:pos="68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61" w:lineRule="exact"/>
        <w:rPr>
          <w:rFonts w:ascii="Times New Roman" w:cs="Times New Roman" w:eastAsia="Times New Roman" w:hAnsi="Times New Roman"/>
          <w:sz w:val="18"/>
          <w:szCs w:val="18"/>
          <w:color w:val="auto"/>
        </w:rPr>
      </w:pPr>
    </w:p>
    <w:p>
      <w:pPr>
        <w:jc w:val="both"/>
        <w:ind w:left="660" w:right="120" w:hanging="328"/>
        <w:spacing w:after="0" w:line="258" w:lineRule="auto"/>
        <w:tabs>
          <w:tab w:leader="none" w:pos="67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61"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any of the matters described in (1) through (11) above.</w:t>
      </w:r>
    </w:p>
    <w:p>
      <w:pPr>
        <w:spacing w:after="0" w:line="23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40" w:lineRule="exact"/>
        <w:rPr>
          <w:sz w:val="20"/>
          <w:szCs w:val="20"/>
          <w:color w:val="auto"/>
        </w:rPr>
      </w:pPr>
    </w:p>
    <w:p>
      <w:pPr>
        <w:ind w:left="660" w:right="280" w:hanging="328"/>
        <w:spacing w:after="0" w:line="266" w:lineRule="auto"/>
        <w:tabs>
          <w:tab w:leader="none" w:pos="59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adversely affect our shareholders (or any particular class of holders of partnership interests, including our Class C shares) in any material respect;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59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5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59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40"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59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for any action taken by our general partner relating to splits or combinations of shares under the provisions of our partnership agreement; or</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effect the intent of the provisions of our partnership agreement or as are otherwise contemplated by our partnership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of Counsel and Shareholder Approval</w:t>
      </w:r>
    </w:p>
    <w:p>
      <w:pPr>
        <w:spacing w:after="0" w:line="108"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218" w:lineRule="exact"/>
        <w:rPr>
          <w:sz w:val="20"/>
          <w:szCs w:val="20"/>
          <w:color w:val="auto"/>
        </w:rPr>
      </w:pPr>
    </w:p>
    <w:p>
      <w:pPr>
        <w:ind w:right="240" w:firstLine="324"/>
        <w:spacing w:after="0" w:line="250" w:lineRule="auto"/>
        <w:rPr>
          <w:sz w:val="20"/>
          <w:szCs w:val="20"/>
          <w:color w:val="auto"/>
        </w:rPr>
      </w:pPr>
      <w:r>
        <w:rPr>
          <w:rFonts w:ascii="Times New Roman" w:cs="Times New Roman" w:eastAsia="Times New Roman" w:hAnsi="Times New Roman"/>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Sale or Other Disposition of Assets</w:t>
      </w:r>
    </w:p>
    <w:p>
      <w:pPr>
        <w:spacing w:after="0" w:line="108"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204" w:lineRule="exact"/>
        <w:rPr>
          <w:sz w:val="20"/>
          <w:szCs w:val="20"/>
          <w:color w:val="auto"/>
        </w:rPr>
      </w:pPr>
    </w:p>
    <w:p>
      <w:pPr>
        <w:ind w:right="160" w:firstLine="324"/>
        <w:spacing w:after="0" w:line="246" w:lineRule="auto"/>
        <w:rPr>
          <w:sz w:val="20"/>
          <w:szCs w:val="20"/>
          <w:color w:val="auto"/>
        </w:rPr>
      </w:pPr>
      <w:r>
        <w:rPr>
          <w:rFonts w:ascii="Times New Roman" w:cs="Times New Roman" w:eastAsia="Times New Roman" w:hAnsi="Times New Roman"/>
          <w:sz w:val="18"/>
          <w:szCs w:val="18"/>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174" w:name="page175"/>
    <w:bookmarkEnd w:id="174"/>
    <w:p>
      <w:pPr>
        <w:ind w:right="100" w:firstLine="324"/>
        <w:spacing w:after="0" w:line="246" w:lineRule="auto"/>
        <w:rPr>
          <w:sz w:val="20"/>
          <w:szCs w:val="20"/>
          <w:color w:val="auto"/>
        </w:rPr>
      </w:pPr>
      <w:r>
        <w:rPr>
          <w:rFonts w:ascii="Times New Roman" w:cs="Times New Roman" w:eastAsia="Times New Roman" w:hAnsi="Times New Roman"/>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or Dissolution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580" w:hanging="248"/>
        <w:spacing w:after="0"/>
        <w:tabs>
          <w:tab w:leader="none" w:pos="5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our general partner to dissolve us, if approved by a majority of our outstanding shares;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being no holders of partnership interests, unless we are continued without dissolution in accordance with applicable Delaware law;</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us; or</w:t>
      </w:r>
    </w:p>
    <w:p>
      <w:pPr>
        <w:spacing w:after="0" w:line="103" w:lineRule="exact"/>
        <w:rPr>
          <w:rFonts w:ascii="Times New Roman" w:cs="Times New Roman" w:eastAsia="Times New Roman" w:hAnsi="Times New Roman"/>
          <w:sz w:val="18"/>
          <w:szCs w:val="18"/>
          <w:color w:val="auto"/>
        </w:rPr>
      </w:pPr>
    </w:p>
    <w:p>
      <w:pPr>
        <w:ind w:left="660" w:right="320" w:hanging="328"/>
        <w:spacing w:after="0" w:line="258" w:lineRule="auto"/>
        <w:tabs>
          <w:tab w:leader="none" w:pos="59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6"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24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194" w:lineRule="exact"/>
        <w:rPr>
          <w:sz w:val="20"/>
          <w:szCs w:val="20"/>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towards the payment of all of our creditors and the settlement of or creation of a reserve for contingent liabilities;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to all partners in accordance with the positive balance in the respective capital accounts.</w:t>
      </w:r>
    </w:p>
    <w:p>
      <w:pPr>
        <w:spacing w:after="0" w:line="25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or Removal of the General Partner</w:t>
      </w:r>
    </w:p>
    <w:p>
      <w:pPr>
        <w:spacing w:after="0" w:line="256" w:lineRule="exact"/>
        <w:rPr>
          <w:sz w:val="20"/>
          <w:szCs w:val="20"/>
          <w:color w:val="auto"/>
        </w:rPr>
      </w:pPr>
    </w:p>
    <w:p>
      <w:pPr>
        <w:ind w:right="680" w:firstLine="324"/>
        <w:spacing w:after="0" w:line="266" w:lineRule="auto"/>
        <w:rPr>
          <w:sz w:val="20"/>
          <w:szCs w:val="20"/>
          <w:color w:val="auto"/>
        </w:rPr>
      </w:pPr>
      <w:r>
        <w:rPr>
          <w:rFonts w:ascii="Times New Roman" w:cs="Times New Roman" w:eastAsia="Times New Roman" w:hAnsi="Times New Roman"/>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9" w:lineRule="exact"/>
        <w:rPr>
          <w:sz w:val="20"/>
          <w:szCs w:val="20"/>
          <w:color w:val="auto"/>
        </w:rPr>
      </w:pPr>
    </w:p>
    <w:p>
      <w:pPr>
        <w:ind w:right="140" w:firstLine="324"/>
        <w:spacing w:after="0" w:line="250"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17" w:right="359" w:bottom="1440" w:gutter="0" w:footer="0" w:header="0"/>
        </w:sectPr>
      </w:pPr>
    </w:p>
    <w:bookmarkStart w:id="175" w:name="page176"/>
    <w:bookmarkEnd w:id="175"/>
    <w:p>
      <w:pPr>
        <w:ind w:right="80" w:firstLine="324"/>
        <w:spacing w:after="0" w:line="246"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66 2/3%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 1/3% of our outstanding shares by any person or group would give such persons the practical ability to prevent our general partner’s removal.</w:t>
      </w:r>
    </w:p>
    <w:p>
      <w:pPr>
        <w:spacing w:after="0" w:line="222"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Management Provision</w:t>
      </w:r>
    </w:p>
    <w:p>
      <w:pPr>
        <w:spacing w:after="0" w:line="108"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w:t>
      </w:r>
    </w:p>
    <w:p>
      <w:pPr>
        <w:spacing w:after="0" w:line="4" w:lineRule="exact"/>
        <w:rPr>
          <w:sz w:val="20"/>
          <w:szCs w:val="20"/>
          <w:color w:val="auto"/>
        </w:rPr>
      </w:pPr>
    </w:p>
    <w:p>
      <w:pPr>
        <w:ind w:right="340" w:firstLine="8"/>
        <w:spacing w:after="0" w:line="258" w:lineRule="auto"/>
        <w:tabs>
          <w:tab w:leader="none" w:pos="2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transferees that acquired the shares from a person or group described in clause (i), or (iii) any person or group that acquires 20% of any class of shares with the prior approval of the board of directors of our general partner.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108"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222"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Election of Directors</w:t>
      </w:r>
    </w:p>
    <w:p>
      <w:pPr>
        <w:spacing w:after="0" w:line="243"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Subject to limited exceptions, PAGP GP’s Fourth Amended and Restated Limited Liability Company Agreement (as amended, the “PAGP GP LLC Agreement”) provides that the Board will consist of up to 13 members, including the CEO. In addition, if PAA fails to make three distributions on its Series A preferred units (whether or not consecutive), the holders of PAA’s Series A preferred units will have the right to appoint a new member of the Board to serve until such time as all accrued and unpaid distributions on such Series A preferred units have been paid in full.</w:t>
      </w:r>
    </w:p>
    <w:p>
      <w:pPr>
        <w:spacing w:after="0" w:line="204" w:lineRule="exact"/>
        <w:rPr>
          <w:sz w:val="20"/>
          <w:szCs w:val="20"/>
          <w:color w:val="auto"/>
        </w:rPr>
      </w:pPr>
    </w:p>
    <w:p>
      <w:pPr>
        <w:ind w:right="40" w:firstLine="324"/>
        <w:spacing w:after="0" w:line="280" w:lineRule="auto"/>
        <w:rPr>
          <w:sz w:val="20"/>
          <w:szCs w:val="20"/>
          <w:color w:val="auto"/>
        </w:rPr>
      </w:pPr>
      <w:r>
        <w:rPr>
          <w:rFonts w:ascii="Times New Roman" w:cs="Times New Roman" w:eastAsia="Times New Roman" w:hAnsi="Times New Roman"/>
          <w:sz w:val="17"/>
          <w:szCs w:val="17"/>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of directors of our general partner to fill a vacancy, that director will have the same remaining term as his or her predecessor.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176" w:name="page177"/>
    <w:bookmarkEnd w:id="176"/>
    <w:p>
      <w:pPr>
        <w:spacing w:after="0" w:line="221"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color w:val="auto"/>
        </w:rPr>
        <w:t xml:space="preserve">We hold annual shareholder meetings for the purpose of electing directors. Voting at any such shareholder meetings will be non-cumulative. The presence in person or by proxy of the holders of a majority of our outstanding Class A shares, Class B shares and Class C shares, voting together as a single class, will constitute a quorum;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19.9% of the outstanding Class A shares, Class B shares and Class C shares beneficially owned by a greater than 20% owner will be counted for purposes of determining a quorum for the election of our general partner’s board of directors. Directors will be elected by a plurality of the votes cast.</w:t>
      </w:r>
    </w:p>
    <w:p>
      <w:pPr>
        <w:spacing w:after="0" w:line="222"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and comply with certain other requirements set forth in our partnership agreement.</w:t>
      </w:r>
    </w:p>
    <w:p>
      <w:pPr>
        <w:spacing w:after="0" w:line="213"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218" w:lineRule="exact"/>
        <w:rPr>
          <w:sz w:val="20"/>
          <w:szCs w:val="20"/>
          <w:color w:val="auto"/>
        </w:rPr>
      </w:pPr>
    </w:p>
    <w:p>
      <w:pPr>
        <w:ind w:right="100" w:firstLine="324"/>
        <w:spacing w:after="0" w:line="250" w:lineRule="auto"/>
        <w:rPr>
          <w:sz w:val="20"/>
          <w:szCs w:val="20"/>
          <w:color w:val="auto"/>
        </w:rPr>
      </w:pPr>
      <w:r>
        <w:rPr>
          <w:rFonts w:ascii="Times New Roman" w:cs="Times New Roman" w:eastAsia="Times New Roman" w:hAnsi="Times New Roman"/>
          <w:sz w:val="18"/>
          <w:szCs w:val="18"/>
          <w:color w:val="auto"/>
        </w:rPr>
        <w:t>An elected director may be removed only for cause by vote of a majority of other elected directors. 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Limited Partner</w:t>
      </w:r>
    </w:p>
    <w:p>
      <w:pPr>
        <w:spacing w:after="0" w:line="24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Non-Citizen Assignees; Redemption</w:t>
      </w:r>
    </w:p>
    <w:p>
      <w:pPr>
        <w:spacing w:after="0" w:line="243"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ON INSIDER TRADING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POLICY HAS BEEN ADOPTED BY THE BOARD OF DIRECTORS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 APPLIES TO ALL EMPLOYEES, CONSULTANTS, DIRECTORS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OFFICERS OF PAA GP HOLDINGS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PLAINS ALL AMERICAN GP LLC.</w:t>
      </w:r>
    </w:p>
    <w:p>
      <w:pPr>
        <w:spacing w:after="0" w:line="226" w:lineRule="exact"/>
        <w:rPr>
          <w:sz w:val="20"/>
          <w:szCs w:val="20"/>
          <w:color w:val="auto"/>
        </w:rPr>
      </w:pPr>
    </w:p>
    <w:p>
      <w:pPr>
        <w:jc w:val="both"/>
        <w:ind w:firstLine="18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This policy should be read carefully by all directors, officers, consultants and employees</w:t>
      </w:r>
      <w:r>
        <w:rPr>
          <w:rFonts w:ascii="Times New Roman" w:cs="Times New Roman" w:eastAsia="Times New Roman" w:hAnsi="Times New Roman"/>
          <w:sz w:val="23"/>
          <w:szCs w:val="23"/>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 xml:space="preserve"> of PAA GP Holdings LLC (the “Company”) and Plains All American GP LLC (“GP LLC”). All are encouraged to ask questions and seek any follow-up information that they may require about this Policy. Any questions should be directed to the General Counsel listed below.</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Richard McGee</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(713) 652-3655</w:t>
      </w:r>
    </w:p>
    <w:p>
      <w:pPr>
        <w:spacing w:after="0" w:line="234" w:lineRule="exact"/>
        <w:rPr>
          <w:sz w:val="20"/>
          <w:szCs w:val="20"/>
          <w:color w:val="auto"/>
        </w:rPr>
      </w:pPr>
    </w:p>
    <w:p>
      <w:pPr>
        <w:jc w:val="both"/>
        <w:ind w:firstLine="247"/>
        <w:spacing w:after="0" w:line="266" w:lineRule="auto"/>
        <w:rPr>
          <w:sz w:val="20"/>
          <w:szCs w:val="20"/>
          <w:color w:val="auto"/>
        </w:rPr>
      </w:pPr>
      <w:r>
        <w:rPr>
          <w:rFonts w:ascii="Times New Roman" w:cs="Times New Roman" w:eastAsia="Times New Roman" w:hAnsi="Times New Roman"/>
          <w:sz w:val="18"/>
          <w:szCs w:val="18"/>
          <w:color w:val="auto"/>
        </w:rPr>
        <w:t>The Company has adopted this Policy on Insider Trading to apply to each employee, consultant, director and officer of the Company and GP LLC (“Insiders”). Directors of the Company as well as officers and certain employees of GP LLC are also subject to the Company’s Policy Regarding Special Trading Procedures, which describes additional special trading restrictions and procedures applicable to that group.</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reserves the right to amend or rescind this policy or any portion of it at any time and to adopt different policies and procedures at any time. This policy must be strictly followed.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It is generally illegal for any person, either personally or on behalf of others, to trade in or make gifts of securities on the basis of “Inside Information.” Inside Information is generally defined as any non-public information about an entity that may be considered material to an investor in making a decision to purchase, hold or sell securities of that entity. For purposes of this policy, Inside Information includes all material, non-public information about the Company, GP LLC, Plains GP Holdings, L.P. (“PAGP”) and Plains All American Pipeline, L.P. (“PAA”) and their subsidiaries and affiliates (collectively, the “Plains Entities”), or any other entity (such as a customer or supplier), learned as a result of the Insider’s relationship with the Plains Entities. Information is considered to be “non-public” until it is widely disseminated to the public (generally through a news release by PAA or PAGP). Information is “material” if there is a substantial likelihood that an investor would reasonably consider it important in arriving at a decision to buy, sell or hold securities. Examples of potentially material information include, but are not limited to:</w:t>
      </w:r>
    </w:p>
    <w:p>
      <w:pPr>
        <w:spacing w:after="0" w:line="219"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earnings or losses, business forecasts, distributions or ratings of debt securities;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significant acquisition, disposition, merger or tender offer;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significant joint venture;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restructuring involving the Plains Entities;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that could significantly impact the Plains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6459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73" w:lineRule="exact"/>
        <w:rPr>
          <w:sz w:val="20"/>
          <w:szCs w:val="20"/>
          <w:color w:val="auto"/>
        </w:rPr>
      </w:pPr>
    </w:p>
    <w:p>
      <w:pPr>
        <w:ind w:right="120" w:firstLine="8"/>
        <w:spacing w:after="0" w:line="229" w:lineRule="auto"/>
        <w:tabs>
          <w:tab w:leader="none" w:pos="103"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has no employees. The term “employee” as it is used herein refers to those individuals employed by GP LLC or Plains Midstream Canada ULC who provide services to or on behalf of the Plains Entities.</w:t>
      </w:r>
    </w:p>
    <w:p>
      <w:pPr>
        <w:sectPr>
          <w:pgSz w:w="11900" w:h="16838" w:orient="portrait"/>
          <w:cols w:equalWidth="0" w:num="1">
            <w:col w:w="11240"/>
          </w:cols>
          <w:pgMar w:left="320" w:top="94" w:right="339" w:bottom="1440" w:gutter="0" w:footer="0" w:header="0"/>
        </w:sectPr>
      </w:pPr>
    </w:p>
    <w:bookmarkStart w:id="178" w:name="page179"/>
    <w:bookmarkEnd w:id="178"/>
    <w:p>
      <w:pPr>
        <w:ind w:left="660" w:right="20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disruption in operations, or a material adverse event, loss, potential loss, breach (including a cybersecurity breach) or unauthorized access affecting the property, systems or assets of the Plains Entities;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senior management;</w:t>
      </w:r>
    </w:p>
    <w:p>
      <w:pPr>
        <w:spacing w:after="0" w:line="19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governmental investigation, or the resolution of such litigation or conclusion of such investigation;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major customer or material contract.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also generally illegal to communicate (or “tip”) material, non-public information to others who may trade in securities on the basis of that information. These illegal activities are commonly referred to as “insider trading.”</w:t>
      </w:r>
    </w:p>
    <w:p>
      <w:pPr>
        <w:spacing w:after="0" w:line="189" w:lineRule="exact"/>
        <w:rPr>
          <w:sz w:val="20"/>
          <w:szCs w:val="20"/>
          <w:color w:val="auto"/>
        </w:rPr>
      </w:pPr>
    </w:p>
    <w:p>
      <w:pPr>
        <w:jc w:val="both"/>
        <w:ind w:firstLine="291"/>
        <w:spacing w:after="0" w:line="266" w:lineRule="auto"/>
        <w:rPr>
          <w:sz w:val="20"/>
          <w:szCs w:val="20"/>
          <w:color w:val="auto"/>
        </w:rPr>
      </w:pPr>
      <w:r>
        <w:rPr>
          <w:rFonts w:ascii="Times New Roman" w:cs="Times New Roman" w:eastAsia="Times New Roman" w:hAnsi="Times New Roman"/>
          <w:sz w:val="18"/>
          <w:szCs w:val="18"/>
          <w:color w:val="auto"/>
        </w:rPr>
        <w:t xml:space="preserve">The federal securities laws include severe penalties for illegal trading or tipping and empower the Securities and Exchange Commission and the Department of Justice to prosecute such crimes. </w:t>
      </w:r>
      <w:r>
        <w:rPr>
          <w:rFonts w:ascii="Times New Roman" w:cs="Times New Roman" w:eastAsia="Times New Roman" w:hAnsi="Times New Roman"/>
          <w:sz w:val="18"/>
          <w:szCs w:val="18"/>
          <w:b w:val="1"/>
          <w:bCs w:val="1"/>
          <w:color w:val="auto"/>
        </w:rPr>
        <w:t>Potential penalties for insider trading violations include administrative sanctions, damage awards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private plaintiffs, civil penalties, criminal fines and jail sentences.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Statement</w:t>
      </w:r>
    </w:p>
    <w:p>
      <w:pPr>
        <w:spacing w:after="0" w:line="256" w:lineRule="exact"/>
        <w:rPr>
          <w:sz w:val="20"/>
          <w:szCs w:val="20"/>
          <w:color w:val="auto"/>
        </w:rPr>
      </w:pPr>
    </w:p>
    <w:p>
      <w:pPr>
        <w:jc w:val="both"/>
        <w:ind w:firstLine="234"/>
        <w:spacing w:after="0" w:line="289" w:lineRule="auto"/>
        <w:rPr>
          <w:sz w:val="20"/>
          <w:szCs w:val="20"/>
          <w:color w:val="auto"/>
        </w:rPr>
      </w:pPr>
      <w:r>
        <w:rPr>
          <w:rFonts w:ascii="Times New Roman" w:cs="Times New Roman" w:eastAsia="Times New Roman" w:hAnsi="Times New Roman"/>
          <w:sz w:val="17"/>
          <w:szCs w:val="17"/>
          <w:color w:val="auto"/>
        </w:rPr>
        <w:t>It is the policy of the Company to prohibit all Insiders who, by virtue of their relationship with the Plains Entities, have access to Inside Information about the Plains Entities (including PAGP and PAA), or any other publicly traded entity, from (i) buying, selling or making gifts of securities of PAGP, PAA or such other entity while in possession of such Inside Information or (ii) passing on such Inside Information, directly or indirectly, to others (“tipping”).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Scope of The Policy</w:t>
      </w:r>
    </w:p>
    <w:p>
      <w:pPr>
        <w:spacing w:after="0" w:line="256" w:lineRule="exact"/>
        <w:rPr>
          <w:sz w:val="20"/>
          <w:szCs w:val="20"/>
          <w:color w:val="auto"/>
        </w:rPr>
      </w:pPr>
    </w:p>
    <w:p>
      <w:pPr>
        <w:jc w:val="both"/>
        <w:ind w:firstLine="274"/>
        <w:spacing w:after="0" w:line="266" w:lineRule="auto"/>
        <w:rPr>
          <w:sz w:val="20"/>
          <w:szCs w:val="20"/>
          <w:color w:val="auto"/>
        </w:rPr>
      </w:pPr>
      <w:r>
        <w:rPr>
          <w:rFonts w:ascii="Times New Roman" w:cs="Times New Roman" w:eastAsia="Times New Roman" w:hAnsi="Times New Roman"/>
          <w:sz w:val="18"/>
          <w:szCs w:val="18"/>
          <w:u w:val="single" w:color="auto"/>
          <w:color w:val="auto"/>
        </w:rPr>
        <w:t>Persons Covered by This Policy</w:t>
      </w:r>
      <w:r>
        <w:rPr>
          <w:rFonts w:ascii="Times New Roman" w:cs="Times New Roman" w:eastAsia="Times New Roman" w:hAnsi="Times New Roman"/>
          <w:sz w:val="18"/>
          <w:szCs w:val="18"/>
          <w:color w:val="auto"/>
        </w:rPr>
        <w:t>. This policy shall be strictly adhered to by all Insiders and all members of their immediate families and personal households as well as any entities that an Insider controls, including any corporations, partnerships or trusts. All Insiders are responsible for the compliance with this policy by members of their immediate families and personal households and controlled entities.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Insider is individually responsible for making sure that he or she complies with this policy, and that any family member, household member or entity whose transactions are subject to this policy, as discussed below, also comply with this policy. In all cases, the responsibility for determining whether an Insider is in possession of material nonpublic information rests with that individual.</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Transactions Covered by This Policy; Exceptions</w:t>
      </w:r>
      <w:r>
        <w:rPr>
          <w:rFonts w:ascii="Times New Roman" w:cs="Times New Roman" w:eastAsia="Times New Roman" w:hAnsi="Times New Roman"/>
          <w:sz w:val="18"/>
          <w:szCs w:val="18"/>
          <w:color w:val="auto"/>
        </w:rPr>
        <w:t>. This policy applies to all transactions (including making gifts) in the securities of PAGP, PAA and other publicly-traded entities, with the following exceptions: (i) transactions (including making gifts) pursuant to an Approved 10b5-1 Plan (an “Approved 10b5-1 Plan” is a plan of acquisition or disposition (including dispositions by gift) of PAA or PAGP securities that meets the requirements of Rule 10b5-1 under the Securities Exchange Act of 1934, as amended, and that has been approved in advance by the CEO in consultation with the General Counsel or, in the case of the CEO, by either the Compensation Committee or the Board of Directors), (ii) the acquisition of securities under equity incentive plans such as the PAA and PAGP Long-Term Incentive Plans, (iii) the withholding of securities by PAA or PAGP for the payment of taxes in connection with the vesting of awards under the Long-Term Incentive Plans, or (iv) the exchange or redemption of Class A Units of Plains AAP, L.P. The trading restrictions of this policy do apply, however, to all sales (other than dispositions described in (iii) above) or gifts of securities acquired upon vesting of awards under the Long-Term Incentive Plans or as a result of the exchange or redemption of Class A Units of Plains AAP, L.P.</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of the Policy</w:t>
      </w:r>
    </w:p>
    <w:p>
      <w:pPr>
        <w:spacing w:after="0" w:line="256" w:lineRule="exact"/>
        <w:rPr>
          <w:sz w:val="20"/>
          <w:szCs w:val="20"/>
          <w:color w:val="auto"/>
        </w:rPr>
      </w:pPr>
    </w:p>
    <w:p>
      <w:pPr>
        <w:jc w:val="both"/>
        <w:ind w:firstLine="207"/>
        <w:spacing w:after="0" w:line="266" w:lineRule="auto"/>
        <w:rPr>
          <w:sz w:val="20"/>
          <w:szCs w:val="20"/>
          <w:color w:val="auto"/>
        </w:rPr>
      </w:pPr>
      <w:r>
        <w:rPr>
          <w:rFonts w:ascii="Times New Roman" w:cs="Times New Roman" w:eastAsia="Times New Roman" w:hAnsi="Times New Roman"/>
          <w:sz w:val="18"/>
          <w:szCs w:val="18"/>
          <w:color w:val="auto"/>
        </w:rPr>
        <w:t>This policy is implemented to (1) make all Insiders aware of what constitutes Inside Information and the severe consequences that may result from the illegal trading on or tipping of such information, and (2) protect the Plains Entities and their affiliates against legal liability and to preserve the reputation of the Plains Entities and the Insiders for integrity and ethical conduct by setting forth procedures to prevent the illegal use of Inside Information.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179" w:name="page180"/>
    <w:bookmarkEnd w:id="179"/>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Procedures</w:t>
      </w:r>
    </w:p>
    <w:p>
      <w:pPr>
        <w:spacing w:after="0" w:line="256" w:lineRule="exact"/>
        <w:rPr>
          <w:sz w:val="20"/>
          <w:szCs w:val="20"/>
          <w:color w:val="auto"/>
        </w:rPr>
      </w:pPr>
    </w:p>
    <w:p>
      <w:pPr>
        <w:jc w:val="both"/>
        <w:ind w:firstLine="656"/>
        <w:spacing w:after="0" w:line="258" w:lineRule="auto"/>
        <w:tabs>
          <w:tab w:leader="none" w:pos="99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Tipping is Prohibited</w:t>
      </w:r>
      <w:r>
        <w:rPr>
          <w:rFonts w:ascii="Times New Roman" w:cs="Times New Roman" w:eastAsia="Times New Roman" w:hAnsi="Times New Roman"/>
          <w:sz w:val="18"/>
          <w:szCs w:val="18"/>
          <w:color w:val="auto"/>
        </w:rPr>
        <w:t>. All Inside Information is to be held in the strictest confidence and not disclosed to anyone outside the Plains Entities, unless and until the information has been properly disseminated to the public. Unauthorized disclosure of any Inside Information learned as a result of an Insider’s relationship to the Plains Entities is strictly prohibited. Inside Information is often inadvertently disclosed or overheard in casual, social conversations. Care must be taken to avoid such inadvertent disclosures. This prohibition against tipping includes Inside Information about companies other than the Plains Entities, learned by an Insider as a result of his relationship with the Plains Entities.</w:t>
      </w:r>
    </w:p>
    <w:p>
      <w:pPr>
        <w:spacing w:after="0" w:line="210" w:lineRule="exact"/>
        <w:rPr>
          <w:rFonts w:ascii="Times New Roman" w:cs="Times New Roman" w:eastAsia="Times New Roman" w:hAnsi="Times New Roman"/>
          <w:sz w:val="18"/>
          <w:szCs w:val="18"/>
          <w:color w:val="auto"/>
        </w:rPr>
      </w:pPr>
    </w:p>
    <w:p>
      <w:pPr>
        <w:jc w:val="both"/>
        <w:ind w:firstLine="656"/>
        <w:spacing w:after="0" w:line="263" w:lineRule="auto"/>
        <w:tabs>
          <w:tab w:leader="none" w:pos="101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Inquiries by Stock Analysts, Investors and the Media</w:t>
      </w:r>
      <w:r>
        <w:rPr>
          <w:rFonts w:ascii="Times New Roman" w:cs="Times New Roman" w:eastAsia="Times New Roman" w:hAnsi="Times New Roman"/>
          <w:sz w:val="18"/>
          <w:szCs w:val="18"/>
          <w:color w:val="auto"/>
        </w:rPr>
        <w:t xml:space="preserve">. All inquiries from stock analysts, PAGP or PAA investors or potential investors and members of the media, and any inquiry regarding rumors, price movement or activity in the PAGP Class A shares or PAA common units, should immediately be referred to the Company’s Chief Executive Officer, President, Chief Commercial Officer, Chief Operating Officer, Chief Financial Officer, General Counsel, or the Vice President of Investor Relations. </w:t>
      </w:r>
      <w:r>
        <w:rPr>
          <w:rFonts w:ascii="Times New Roman" w:cs="Times New Roman" w:eastAsia="Times New Roman" w:hAnsi="Times New Roman"/>
          <w:sz w:val="23"/>
          <w:szCs w:val="23"/>
          <w:color w:val="auto"/>
          <w:vertAlign w:val="superscript"/>
        </w:rPr>
        <w:t>2</w:t>
      </w:r>
    </w:p>
    <w:p>
      <w:pPr>
        <w:spacing w:after="0" w:line="136" w:lineRule="exact"/>
        <w:rPr>
          <w:rFonts w:ascii="Times New Roman" w:cs="Times New Roman" w:eastAsia="Times New Roman" w:hAnsi="Times New Roman"/>
          <w:sz w:val="18"/>
          <w:szCs w:val="18"/>
          <w:color w:val="auto"/>
        </w:rPr>
      </w:pPr>
    </w:p>
    <w:p>
      <w:pPr>
        <w:jc w:val="both"/>
        <w:ind w:firstLine="656"/>
        <w:spacing w:after="0" w:line="258" w:lineRule="auto"/>
        <w:tabs>
          <w:tab w:leader="none" w:pos="100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Trading in Securities and Other Entities</w:t>
      </w:r>
      <w:r>
        <w:rPr>
          <w:rFonts w:ascii="Times New Roman" w:cs="Times New Roman" w:eastAsia="Times New Roman" w:hAnsi="Times New Roman"/>
          <w:sz w:val="18"/>
          <w:szCs w:val="18"/>
          <w:color w:val="auto"/>
        </w:rPr>
        <w:t>. Trading restrictions also apply if an Insider obtains Inside Information concerning another entity as a result of his or her relationship with the Plains Entities. An example of information of this nature would be knowledge of a significant discovery well in which such other entity owns an interest. In such event, an Insider may not trade in or make gifts of the securities of such other entity until at least the third business day after such entity has made a formal public disclosure of such information, or such other time as the policies of such other entity might dictate, if the Insider is subject to such policies.</w:t>
      </w:r>
    </w:p>
    <w:p>
      <w:pPr>
        <w:spacing w:after="0" w:line="210" w:lineRule="exact"/>
        <w:rPr>
          <w:rFonts w:ascii="Times New Roman" w:cs="Times New Roman" w:eastAsia="Times New Roman" w:hAnsi="Times New Roman"/>
          <w:sz w:val="18"/>
          <w:szCs w:val="18"/>
          <w:color w:val="auto"/>
        </w:rPr>
      </w:pPr>
    </w:p>
    <w:p>
      <w:pPr>
        <w:ind w:firstLine="656"/>
        <w:spacing w:after="0" w:line="282" w:lineRule="auto"/>
        <w:tabs>
          <w:tab w:leader="none" w:pos="99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Violations</w:t>
      </w:r>
      <w:r>
        <w:rPr>
          <w:rFonts w:ascii="Times New Roman" w:cs="Times New Roman" w:eastAsia="Times New Roman" w:hAnsi="Times New Roman"/>
          <w:sz w:val="18"/>
          <w:szCs w:val="18"/>
          <w:color w:val="auto"/>
        </w:rPr>
        <w:t>. If an Insider knows or has reason to believe that any compliance procedures contained in this policy have been or are about to be violated in any way, they should promptly bring the actual or potential violation to the attention of the General Counsel.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Prohibition on Short Sales, Puts, Calls, Options and Other Transactions</w:t>
      </w:r>
    </w:p>
    <w:p>
      <w:pPr>
        <w:spacing w:after="0" w:line="2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Short Sales. </w:t>
      </w:r>
      <w:r>
        <w:rPr>
          <w:rFonts w:ascii="Times New Roman" w:cs="Times New Roman" w:eastAsia="Times New Roman" w:hAnsi="Times New Roman"/>
          <w:sz w:val="18"/>
          <w:szCs w:val="18"/>
          <w:color w:val="auto"/>
        </w:rPr>
        <w:t>Short sales are sales of securities that the seller does not own at the time of the sale or, if owned, that will not be delivered within 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of the sale. One usually sells short when one thinks the market is going to decline substantially or the stock will otherwise drop in value. If the stock falls in price as expected, the person selling short can then buy the stock at a lower price for delivery at the earlier sale price (this is called “covering the short”) and pocket the difference in price as profit. In addition to the fact that it is illegal for directors and officers to sell their company’s securities short, the Company believes that it is inappropriate for its Insiders to bet against the securities of PAGP or PAA in this way. All Insiders and members of their immediate families and personal households are prohibited from making any short sales of PAGP or PAA securities.</w:t>
      </w:r>
    </w:p>
    <w:p>
      <w:pPr>
        <w:spacing w:after="0" w:line="14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Publicly Traded Options. </w:t>
      </w:r>
      <w:r>
        <w:rPr>
          <w:rFonts w:ascii="Times New Roman" w:cs="Times New Roman" w:eastAsia="Times New Roman" w:hAnsi="Times New Roman"/>
          <w:sz w:val="18"/>
          <w:szCs w:val="18"/>
          <w:color w:val="auto"/>
        </w:rPr>
        <w:t>Puts, calls, options or other derivative securities for Class A shares of PAGP or common units of PAA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granted pursuant to employee benefit plans) also afford the opportunity to profit from a market view that is adverse to PAGP, PAA and their affiliates, and they carry a high risk of inadvertent securities law violations. Also, given the relatively short duration of publicly-traded options, transactions in options may create the appearance that an Insider is trading based on material nonpublic information or is focused on short-term performance, rather than the long-term objectives, of the Plains Entities. Accordingly, all such transactions are prohibited in the case of Directors and officers of the Company and strongly discouraged in the case of other employees.</w:t>
      </w:r>
    </w:p>
    <w:p>
      <w:pPr>
        <w:spacing w:after="0" w:line="20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Pledges and Margin Accounts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pledged as collateral for a loan may be sold in foreclosure if the borrower defaults on the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Similarly, securities held in a margin account may be sold by a broker without the customer’s consent if the customer fails to meet a margin call. A foreclosure or margin sale could occur at a time when the pledgor or account holder is aware of material nonpublic information resulting in a securities law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6459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8" w:lineRule="exact"/>
        <w:rPr>
          <w:sz w:val="20"/>
          <w:szCs w:val="20"/>
          <w:color w:val="auto"/>
        </w:rPr>
      </w:pPr>
    </w:p>
    <w:p>
      <w:pPr>
        <w:ind w:right="320" w:firstLine="8"/>
        <w:spacing w:after="0" w:line="242" w:lineRule="auto"/>
        <w:tabs>
          <w:tab w:leader="none" w:pos="103" w:val="left"/>
        </w:tabs>
        <w:numPr>
          <w:ilvl w:val="0"/>
          <w:numId w:val="10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Company’s “Policy for Informal Disclosure” governs the process by which certain designated individuals within the Company may communicate with specified groups or individuals outside the Plains Entities. The general rule outlined above governs all persons who have not been so designated.</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80" w:name="page181"/>
    <w:bookmarkEnd w:id="180"/>
    <w:p>
      <w:pPr>
        <w:jc w:val="both"/>
        <w:spacing w:after="0" w:line="282" w:lineRule="auto"/>
        <w:rPr>
          <w:sz w:val="20"/>
          <w:szCs w:val="20"/>
          <w:color w:val="auto"/>
        </w:rPr>
      </w:pPr>
      <w:r>
        <w:rPr>
          <w:rFonts w:ascii="Times New Roman" w:cs="Times New Roman" w:eastAsia="Times New Roman" w:hAnsi="Times New Roman"/>
          <w:sz w:val="18"/>
          <w:szCs w:val="18"/>
          <w:color w:val="auto"/>
        </w:rPr>
        <w:t>Therefore, pledging PAA and PAGP securities as collateral for a loan or holding such securities as marginable securities in a margin account is prohibited in the case of Directors and officers of the Company and strongly discouraged in the case of other employees.</w:t>
      </w:r>
    </w:p>
    <w:p>
      <w:pPr>
        <w:spacing w:after="0" w:line="11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Hedging Transactions</w:t>
      </w:r>
      <w:r>
        <w:rPr>
          <w:rFonts w:ascii="Times New Roman" w:cs="Times New Roman" w:eastAsia="Times New Roman" w:hAnsi="Times New Roman"/>
          <w:sz w:val="18"/>
          <w:szCs w:val="18"/>
          <w:color w:val="auto"/>
        </w:rPr>
        <w:t>. Certain forms of hedging or monetization transactions, such as prepaid variable forwards, equity swaps, collars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funds, may permit a director, officer or other employee to continue to own PAA or PAGP securities but without the full risks and rewards of ownership. When that occurs, the director, officer or other employee may no longer have the same objectives as other investors. Therefore, such hedging transactions are prohibited in the case of Directors and officers of the Company and strongly discouraged in the case of other employees.</w:t>
      </w:r>
    </w:p>
    <w:p>
      <w:pPr>
        <w:spacing w:after="0" w:line="14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Standing and Limit Orders. </w:t>
      </w:r>
      <w:r>
        <w:rPr>
          <w:rFonts w:ascii="Times New Roman" w:cs="Times New Roman" w:eastAsia="Times New Roman" w:hAnsi="Times New Roman"/>
          <w:sz w:val="18"/>
          <w:szCs w:val="18"/>
          <w:color w:val="auto"/>
        </w:rPr>
        <w:t>Standing and limit orders create heightened risks for insider trading violations because purchases and sales could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 at a time when a director, officer or other employee is aware of material nonpublic information. Therefore, placing standing or limit orders on PAA or PAGP securities is strongly discouraged. If a director, officer or other employee subject to this policy desires to use a standing or limit order, the order should be limited to a short duration.</w:t>
      </w:r>
    </w:p>
    <w:p>
      <w:pPr>
        <w:spacing w:after="0" w:line="17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impose sanctions for failure to comply with the provisions of this policy. Such sanctions may include suspension without pay and dismissal without cause.</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February 2025</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7" w:right="339" w:bottom="1440" w:gutter="0" w:footer="0" w:header="0"/>
        </w:sectPr>
      </w:pPr>
    </w:p>
    <w:bookmarkStart w:id="181" w:name="page182"/>
    <w:bookmarkEnd w:id="181"/>
    <w:p>
      <w:pPr>
        <w:ind w:left="10120"/>
        <w:spacing w:after="0"/>
        <w:rPr>
          <w:sz w:val="20"/>
          <w:szCs w:val="20"/>
          <w:color w:val="auto"/>
        </w:rPr>
      </w:pPr>
      <w:r>
        <w:rPr>
          <w:rFonts w:ascii="Times New Roman" w:cs="Times New Roman" w:eastAsia="Times New Roman" w:hAnsi="Times New Roman"/>
          <w:sz w:val="21"/>
          <w:szCs w:val="21"/>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REGARDING SPECIAL TRADING PROCEDURES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POLICY HAS BEEN ADOPTED BY THE BOARD OF DIRECTORS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PAA GP HOLDINGS LLC</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This policy applies to all members of the board of directors (the “directors”) of PAA GP Holdings LLC (the “Company”), officers of the Company and of Plains All American GP LLC (“GP LLC”), as well as certain employees of the Company and GP LLC and other individuals to whom this policy is delivered. Certain provisions of this policy apply only to directors of the Company and to officers of the Company and GP LLC (the “Pre-Clearance Group”). The policy should be read carefully, and any questions should be directed to the General Counsel listed below.</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Richard McGee</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(713) 652-3655</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adopted a Policy on Insider Trading (the “Insider Trading Policy”) that applies to each director, officer, consultant and employee of the Company and GP LLC (the “Insiders”). A copy of the Insider Trading Policy has been distributed or made available to all Insiders and is incorporated herein by reference. This Policy Regarding Special Trading Procedures describes additional special trading restrictions that apply to all members of the Pre-Clearance Group and, with respect to the blackout period provisions, certain employees of the Company and GP LLC (the “designated employees”). All directors, officers and designated employees must comply strictly with this policy as well as with the Company’s Insider Trading Policy.</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times when the Company may be aware of a material, nonpublic development concerning the Company or one of its affiliates, including Plains All American Pipeline, L.P. (“PAA”) and Plains GP Holdings, L.P. (“PAGP”) and their subsidiaries (collectively, the “Plains Entities”). If you trade in or make gifts of securities of PAA or PAGP before the development is either disclosed to the public or resolved, you may expose yourself and the Company to a charge of insider trading that could be costly and difficult to defend. This can occur even though you may not have personal knowledge of the development or its details. In addition, the Company could receive negative publicity if you trade during such development.</w:t>
      </w:r>
    </w:p>
    <w:p>
      <w:pPr>
        <w:spacing w:after="0" w:line="152" w:lineRule="exact"/>
        <w:rPr>
          <w:sz w:val="20"/>
          <w:szCs w:val="20"/>
          <w:color w:val="auto"/>
        </w:rPr>
      </w:pPr>
    </w:p>
    <w:p>
      <w:pPr>
        <w:ind w:left="320" w:hanging="312"/>
        <w:spacing w:after="0"/>
        <w:tabs>
          <w:tab w:leader="none" w:pos="3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Applicable To Pre-Clearance Group (Directors and Officers)</w:t>
      </w:r>
    </w:p>
    <w:p>
      <w:pPr>
        <w:spacing w:after="0" w:line="184" w:lineRule="exact"/>
        <w:rPr>
          <w:rFonts w:ascii="Times New Roman" w:cs="Times New Roman" w:eastAsia="Times New Roman" w:hAnsi="Times New Roman"/>
          <w:sz w:val="18"/>
          <w:szCs w:val="18"/>
          <w:b w:val="1"/>
          <w:bCs w:val="1"/>
          <w:color w:val="auto"/>
        </w:rPr>
      </w:pPr>
    </w:p>
    <w:p>
      <w:pPr>
        <w:jc w:val="both"/>
        <w:ind w:firstLine="648"/>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Pre-Clearance</w:t>
      </w:r>
      <w:r>
        <w:rPr>
          <w:rFonts w:ascii="Times New Roman" w:cs="Times New Roman" w:eastAsia="Times New Roman" w:hAnsi="Times New Roman"/>
          <w:sz w:val="18"/>
          <w:szCs w:val="18"/>
          <w:b w:val="1"/>
          <w:bCs w:val="1"/>
          <w:color w:val="auto"/>
        </w:rPr>
        <w:t>. All members of the Pre-Clearance Group and members of their immediate families and personal households may enter into transactions (including making gifts) involving securities of PAA or PAGP only after pre-clearing their intent to transact with the General Counsel.</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Clearance by the General Counsel will not relieve the director or officer of their obligation to otherwise comply with the Company’s Insider Trading Policy or the securities laws relating to insider trading. Pre-clearance will not be required for transactions (including gifts) made pursuant to an Approved 10b5-1 Plan (defined below). See Section 3 below for additional exceptions.</w:t>
      </w:r>
    </w:p>
    <w:p>
      <w:pPr>
        <w:spacing w:after="0" w:line="1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If you intend to engage in a trade or make a gift involving securities of PAA or PAGP, you must first receive from the General Counsel</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 signed Trading Authorization Request, a form of which is attached as Exhibit A to this policy. The General Counsel may refuse to permit any transaction if he determines that the transaction could give rise to a charge of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6459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7" w:lineRule="exact"/>
        <w:rPr>
          <w:sz w:val="20"/>
          <w:szCs w:val="20"/>
          <w:color w:val="auto"/>
        </w:rPr>
      </w:pPr>
    </w:p>
    <w:p>
      <w:pPr>
        <w:ind w:right="20" w:firstLine="8"/>
        <w:spacing w:after="0" w:line="241" w:lineRule="auto"/>
        <w:tabs>
          <w:tab w:leader="none" w:pos="119" w:val="left"/>
        </w:tabs>
        <w:numPr>
          <w:ilvl w:val="0"/>
          <w:numId w:val="1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General Counsel or members of his immediate family and personal household wish to enter into transactions (including making gifts) involving securities of PAA or PAGP, the General Counsel must pre-clear that intent to trade with the Company’s Chief Executive Officer or Chief Financial Officer.</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the absence of the General Counsel, Trading Authorization Requests may be submitted to the Chief Executive Officer or the Chief Financial Officer.</w:t>
      </w:r>
    </w:p>
    <w:p>
      <w:pPr>
        <w:sectPr>
          <w:pgSz w:w="11900" w:h="16838" w:orient="portrait"/>
          <w:cols w:equalWidth="0" w:num="1">
            <w:col w:w="11240"/>
          </w:cols>
          <w:pgMar w:left="320" w:top="122" w:right="339" w:bottom="1440" w:gutter="0" w:footer="0" w:header="0"/>
        </w:sectPr>
      </w:pPr>
    </w:p>
    <w:bookmarkStart w:id="182" w:name="page183"/>
    <w:bookmarkEnd w:id="18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and after you receive permission to engage in a trade or make a gift involving securities of PAA or PAGP, you must complete your transaction within three business days (unless otherwise indicated on the Trading Authorization Request) or make a new request for clearance.</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“Approved 10b5-1 Plan” is a plan of acquisition or disposition (including dispositions by gift) of PAA or PAGP securities that meets the requirements of Rule 10b5-1 under the Securities Exchange Act of 1934, as amended, and that has been approved in advance by the CEO in consultation with the General Counsel or, in the case of the CEO, by either the Compensation Committee or the Board of Directors. In order to comply with disclosure requirements regarding Approved 10b5-1 Plans, you must advise the General Counsel’s office prior to the adoption, termination or modification of any such Plan.</w:t>
      </w:r>
    </w:p>
    <w:p>
      <w:pPr>
        <w:spacing w:after="0" w:line="98" w:lineRule="exact"/>
        <w:rPr>
          <w:sz w:val="20"/>
          <w:szCs w:val="20"/>
          <w:color w:val="auto"/>
        </w:rPr>
      </w:pPr>
    </w:p>
    <w:p>
      <w:pPr>
        <w:jc w:val="both"/>
        <w:ind w:firstLine="656"/>
        <w:spacing w:after="0" w:line="257" w:lineRule="auto"/>
        <w:tabs>
          <w:tab w:leader="none" w:pos="993"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Post-Trading Reporting</w:t>
      </w:r>
      <w:r>
        <w:rPr>
          <w:rFonts w:ascii="Times New Roman" w:cs="Times New Roman" w:eastAsia="Times New Roman" w:hAnsi="Times New Roman"/>
          <w:sz w:val="18"/>
          <w:szCs w:val="18"/>
          <w:color w:val="auto"/>
        </w:rPr>
        <w:t>. Directors and those officers who are subject to the reporting requirements of Section 16 of the Securities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1934 (Section 16 Reporting Persons) are required to report to the General Counsel any transactions (including gifts) in PAA or PAGP securities undertaken by them, members of their immediate families and personal household or entities controlled by them. The report should be made as soon as practicable after the transaction occurs and, at the latest, by the beginning of the following business day. Each report you make to the General Counsel should include the date of the transaction or gift, the quantity and type of security involved and, in the case of purchases or sales, the price and contact information for the broker-dealer through which the purchase or sale was effected.</w:t>
      </w:r>
    </w:p>
    <w:p>
      <w:pPr>
        <w:spacing w:after="0" w:line="87"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person subject to this policy may trade in, or make gifts of, PAA or PAGP securities, other than pursuant to an exception described in Section 3 below, during the following regular quarterly blackout periods: for each fiscal quarter, from the close of trading on the last day of such fiscal quarter through the first full business day after PAA issues an earnings release pertaining to such quarter. For example, if PAA issues an earnings release before the market opens on a Friday morning, the blackout period would end at the close of business on Friday and trading could resume the following Monday morning (subject to compliance with applicable pre-clearance requirements and the Insider Trading Policy).</w:t>
      </w:r>
    </w:p>
    <w:p>
      <w:pPr>
        <w:spacing w:after="0" w:line="1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extend the regular quarterly blackout period or impose additional blackout periods at any time if at the time the Company believes trading by Insiders would be inappropriate because of developments at the Plains Entities that are or could become material.</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Persons subject to this policy will be advised by the General Counsel’s office of the imposition and timing of blackout periods. If you are advised that the Company is in a blackout period with respect to trading of PAA or PAGP securities, you may not buy, sell or make gifts of PAA or PAGP securities under any circumstances (other than pursuant to an Approved 10b5-1 Plan) until you are advised that the blackout has been lifted and, if applicable, your transaction is specifically approved. In addition, you may not inform anyone else within or outside the Plains Entities that an additional blackout period has been imposed (other than the General Counsel or that officer’s representative, or except as authorized by the General Counsel).</w:t>
      </w:r>
    </w:p>
    <w:p>
      <w:pPr>
        <w:spacing w:after="0" w:line="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pre-clearance requirements and blackout period restrictions described above do not apply to (i) transactions (including making gifts) pursuant to an Approved 10b5-1 Plan, (ii) the acquisition of securities under equity incentive plans such as the PAA or PAGP Long-Term Incentive Plans, (iii) the withholding of securities by PAA or PAGP for the payment of taxes in connection with the vesting of awards under the Long-Term Incentive Plans, or (iv) the exchange or redemption of Class A Units of Plains AAP, L.P. Nevertheless, sales (other than dispositions described in (iii) above) or gifts of any securities acquired upon vesting of an award under a Long-Term Incentive Plan or as a result of the exchange or redemption of Class A Units of Plains AAP, L.P. are subject to the applicable pre-clearance requirements and blackout period restrictions, as well as to compliance with other provisions of this policy and the Insider Trading Policy. Members of the Pre-Clearance Group must notify the General Counsel in advance of any transaction subject to the foregoing exceptions.</w:t>
      </w:r>
    </w:p>
    <w:p>
      <w:pPr>
        <w:spacing w:after="0" w:line="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Communicating Potential Material Information</w:t>
      </w:r>
    </w:p>
    <w:p>
      <w:pPr>
        <w:sectPr>
          <w:pgSz w:w="11900" w:h="16838" w:orient="portrait"/>
          <w:cols w:equalWidth="0" w:num="1">
            <w:col w:w="11240"/>
          </w:cols>
          <w:pgMar w:left="320" w:top="1417" w:right="339" w:bottom="1440" w:gutter="0" w:footer="0" w:header="0"/>
        </w:sectPr>
      </w:pPr>
    </w:p>
    <w:bookmarkStart w:id="183" w:name="page184"/>
    <w:bookmarkEnd w:id="18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you become aware of any non-public information about the Plains Entities or any of their affiliates that is or may become material, you should promptly communicate that information to the Chief Executive Officer, President, Chief Commercial Officer, Chief Operating Officer, or Chief Financial Officer of the Company, as well as to the General Counsel. This communication is very important to allow the Company to determine whether, how and when the information should be reported to the public. It is also critical to permit the General Counsel to determine whether to permit transactions (including gifts) in securities of PAA or PAGP. Except for such communication, you should keep the information confidential and share it only with the Company’s employees, accountants and legal counsel who have a need to know as directed by the General Counsel. If you have any doubt about whether information may be material, you should err in favor of prompt communication to the Chief Executive Officer, President, Chief Commercial Officer, Chief Operating Officer or Chief Financial Officer of the Company, as well as to the General Counsel.</w:t>
      </w:r>
    </w:p>
    <w:p>
      <w:pPr>
        <w:spacing w:after="0" w:line="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Reporting Violations</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know or have reason to believe that any compliance procedures contained in this Policy have been or are about to be violated in any way, you should promptly bring the actual or potential violation to the attention of the General Counsel.</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Relation to Insider Trading Policy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Regarding Special Trading Procedures does not, except as expressly set forth in this paragraph, alter the obligation of any person to comply with the provisions of the Company’s Insider Trading Policy. The prohibition on trading or gifting securities of PAA or PAGP while in possession of material, non-public information, as set forth in the Insider Trading Policy, does not apply to transactions consummated pursuant to an Approved 10b5-1 Plan.</w:t>
      </w:r>
    </w:p>
    <w:p>
      <w:pPr>
        <w:spacing w:after="0" w:line="1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Other Transactions</w:t>
      </w:r>
    </w:p>
    <w:p>
      <w:pPr>
        <w:spacing w:after="0" w:line="189" w:lineRule="exact"/>
        <w:rPr>
          <w:sz w:val="20"/>
          <w:szCs w:val="20"/>
          <w:color w:val="auto"/>
        </w:rPr>
      </w:pPr>
    </w:p>
    <w:p>
      <w:pPr>
        <w:jc w:val="both"/>
        <w:ind w:firstLine="277"/>
        <w:spacing w:after="0" w:line="282" w:lineRule="auto"/>
        <w:rPr>
          <w:sz w:val="20"/>
          <w:szCs w:val="20"/>
          <w:color w:val="auto"/>
        </w:rPr>
      </w:pPr>
      <w:r>
        <w:rPr>
          <w:rFonts w:ascii="Times New Roman" w:cs="Times New Roman" w:eastAsia="Times New Roman" w:hAnsi="Times New Roman"/>
          <w:sz w:val="18"/>
          <w:szCs w:val="18"/>
          <w:color w:val="auto"/>
        </w:rPr>
        <w:t>In addition to the prohibition against short selling contained in the Company’s Insider Trading Policy, the following transactions are prohibited or discouraged as described below:</w:t>
      </w:r>
    </w:p>
    <w:p>
      <w:pPr>
        <w:spacing w:after="0" w:line="117" w:lineRule="exact"/>
        <w:rPr>
          <w:sz w:val="20"/>
          <w:szCs w:val="20"/>
          <w:color w:val="auto"/>
        </w:rPr>
      </w:pPr>
    </w:p>
    <w:p>
      <w:pPr>
        <w:ind w:firstLine="656"/>
        <w:spacing w:after="0" w:line="286" w:lineRule="auto"/>
        <w:tabs>
          <w:tab w:leader="none" w:pos="129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Publicly Traded Options</w:t>
      </w:r>
      <w:r>
        <w:rPr>
          <w:rFonts w:ascii="Times New Roman" w:cs="Times New Roman" w:eastAsia="Times New Roman" w:hAnsi="Times New Roman"/>
          <w:sz w:val="18"/>
          <w:szCs w:val="18"/>
          <w:color w:val="auto"/>
        </w:rPr>
        <w:t>. Transactions in puts, calls, options or other derivative securities, on an exchange or in any other 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are prohibited for members of the Pre-Clearance Group and are strongly discouraged for all other employees.</w:t>
      </w:r>
    </w:p>
    <w:p>
      <w:pPr>
        <w:spacing w:after="0" w:line="127"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8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Pledges and Margin Accounts</w:t>
      </w:r>
      <w:r>
        <w:rPr>
          <w:rFonts w:ascii="Times New Roman" w:cs="Times New Roman" w:eastAsia="Times New Roman" w:hAnsi="Times New Roman"/>
          <w:sz w:val="18"/>
          <w:szCs w:val="18"/>
          <w:color w:val="auto"/>
        </w:rPr>
        <w:t>. Securities pledged as collateral for a loan may be sold in foreclosure if the borrower defaults on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Similarly, securities held in a margin account may be sold by a broker without the customer’s consent if the customer fails to meet a margin call. A foreclosure or margin sale could occur at a time when the pledgor or account holder is aware of material nonpublic information or during a blackout period. Therefore, pledging PAA and PAGP securities as collateral for a loan or holding such securities as marginable securities in a margin account is prohibited for members of the Pre-Clearance Group and is strongly discouraged for all other employees.</w:t>
      </w:r>
    </w:p>
    <w:p>
      <w:pPr>
        <w:spacing w:after="0" w:line="138"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Hedging Transactions</w:t>
      </w:r>
      <w:r>
        <w:rPr>
          <w:rFonts w:ascii="Times New Roman" w:cs="Times New Roman" w:eastAsia="Times New Roman" w:hAnsi="Times New Roman"/>
          <w:sz w:val="18"/>
          <w:szCs w:val="18"/>
          <w:color w:val="auto"/>
        </w:rPr>
        <w:t>. Certain forms of hedging or monetization transactions, such as prepaid variable forwards, equity swaps, collars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exchange funds, may permit a director, officer or other employee to continue to own PAA or PAGP securities but without the full risks and rewards of ownership. When that occurs, the director, officer or other employee may no longer have the same objectives as other investors. Therefore, such hedging transactions are prohibited for members of the Pre-Clearance Group and strongly discouraged for all other employees.</w:t>
      </w:r>
    </w:p>
    <w:p>
      <w:pPr>
        <w:spacing w:after="0" w:line="13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Standing and Limit Orders</w:t>
      </w:r>
      <w:r>
        <w:rPr>
          <w:rFonts w:ascii="Times New Roman" w:cs="Times New Roman" w:eastAsia="Times New Roman" w:hAnsi="Times New Roman"/>
          <w:sz w:val="18"/>
          <w:szCs w:val="18"/>
          <w:color w:val="auto"/>
        </w:rPr>
        <w:t>. Standing and limit orders (except pursuant to an Approved 10b5-1 Plan) create heightened risks for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violations because purchases and sales could occur at a time when a director, officer or other employee is aware of material nonpublic information or during a blackout period. Therefore, placing standing or limit orders on PAA or PAGP securities is strongly discouraged. If a director, officer or other employee subject to this policy desires to use a standing or limit order, the order should be of short duration, should not exceed the time allowed to complete a transaction approved under the pre-clearance procedures and should be withdrawn during any blackout period.</w:t>
      </w:r>
    </w:p>
    <w:p>
      <w:pPr>
        <w:sectPr>
          <w:pgSz w:w="11900" w:h="16838" w:orient="portrait"/>
          <w:cols w:equalWidth="0" w:num="1">
            <w:col w:w="11240"/>
          </w:cols>
          <w:pgMar w:left="320" w:top="1417" w:right="339" w:bottom="1440" w:gutter="0" w:footer="0" w:header="0"/>
        </w:sectPr>
      </w:pPr>
    </w:p>
    <w:bookmarkStart w:id="184" w:name="page185"/>
    <w:bookmarkEnd w:id="184"/>
    <w:p>
      <w:pPr>
        <w:ind w:left="100"/>
        <w:spacing w:after="0"/>
        <w:rPr>
          <w:sz w:val="20"/>
          <w:szCs w:val="20"/>
          <w:color w:val="auto"/>
        </w:rPr>
      </w:pPr>
      <w:r>
        <w:rPr>
          <w:rFonts w:ascii="Times New Roman" w:cs="Times New Roman" w:eastAsia="Times New Roman" w:hAnsi="Times New Roman"/>
          <w:sz w:val="18"/>
          <w:szCs w:val="18"/>
          <w:b w:val="1"/>
          <w:bCs w:val="1"/>
          <w:color w:val="auto"/>
        </w:rPr>
        <w:t>This document states a policy of PAA GP Holdings LLC and is not intended to be regarded as the rendering of legal advice.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February 2025</w:t>
      </w:r>
    </w:p>
    <w:p>
      <w:pPr>
        <w:sectPr>
          <w:pgSz w:w="11900" w:h="16838" w:orient="portrait"/>
          <w:cols w:equalWidth="0" w:num="1">
            <w:col w:w="10120"/>
          </w:cols>
          <w:pgMar w:left="1440" w:top="1413" w:right="3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216"/>
        </w:trPr>
        <w:tc>
          <w:tcPr>
            <w:tcW w:w="4000" w:type="dxa"/>
            <w:vAlign w:val="bottom"/>
          </w:tcPr>
          <w:p>
            <w:pPr>
              <w:spacing w:after="0"/>
              <w:rPr>
                <w:sz w:val="18"/>
                <w:szCs w:val="18"/>
                <w:color w:val="auto"/>
              </w:rPr>
            </w:pPr>
          </w:p>
        </w:tc>
        <w:tc>
          <w:tcPr>
            <w:tcW w:w="7200" w:type="dxa"/>
            <w:vAlign w:val="bottom"/>
            <w:gridSpan w:val="4"/>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SUBSIDIARIES OF</w:t>
            </w:r>
          </w:p>
        </w:tc>
      </w:tr>
      <w:tr>
        <w:trPr>
          <w:trHeight w:val="218"/>
        </w:trPr>
        <w:tc>
          <w:tcPr>
            <w:tcW w:w="4000" w:type="dxa"/>
            <w:vAlign w:val="bottom"/>
          </w:tcPr>
          <w:p>
            <w:pPr>
              <w:spacing w:after="0"/>
              <w:rPr>
                <w:sz w:val="18"/>
                <w:szCs w:val="18"/>
                <w:color w:val="auto"/>
              </w:rPr>
            </w:pPr>
          </w:p>
        </w:tc>
        <w:tc>
          <w:tcPr>
            <w:tcW w:w="7200" w:type="dxa"/>
            <w:vAlign w:val="bottom"/>
            <w:gridSpan w:val="4"/>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PLAINS GP HOLDINGS, L.P.</w:t>
            </w:r>
          </w:p>
        </w:tc>
      </w:tr>
      <w:tr>
        <w:trPr>
          <w:trHeight w:val="236"/>
        </w:trPr>
        <w:tc>
          <w:tcPr>
            <w:tcW w:w="4000" w:type="dxa"/>
            <w:vAlign w:val="bottom"/>
          </w:tcPr>
          <w:p>
            <w:pPr>
              <w:spacing w:after="0"/>
              <w:rPr>
                <w:sz w:val="20"/>
                <w:szCs w:val="20"/>
                <w:color w:val="auto"/>
              </w:rPr>
            </w:pPr>
          </w:p>
        </w:tc>
        <w:tc>
          <w:tcPr>
            <w:tcW w:w="7200" w:type="dxa"/>
            <w:vAlign w:val="bottom"/>
            <w:gridSpan w:val="4"/>
          </w:tcPr>
          <w:p>
            <w:pPr>
              <w:jc w:val="center"/>
              <w:ind w:righ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 of 12/31/2024</w:t>
            </w:r>
            <w:r>
              <w:rPr>
                <w:rFonts w:ascii="Times New Roman" w:cs="Times New Roman" w:eastAsia="Times New Roman" w:hAnsi="Times New Roman"/>
                <w:sz w:val="18"/>
                <w:szCs w:val="18"/>
                <w:color w:val="auto"/>
              </w:rPr>
              <w:t>)</w:t>
            </w:r>
          </w:p>
        </w:tc>
      </w:tr>
      <w:tr>
        <w:trPr>
          <w:trHeight w:val="206"/>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40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r>
      <w:tr>
        <w:trPr>
          <w:trHeight w:val="223"/>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Advantage Pipeline LLC</w:t>
            </w:r>
          </w:p>
        </w:tc>
        <w:tc>
          <w:tcPr>
            <w:tcW w:w="39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Advantage Pipeline Holdings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Advantage Pipeline Logistics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Advantage Pipeline Management,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Alpha Crude Holdings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Aurora Pipeline Company Ltd.</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Bakersfield Crude Terminal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Cactus II Pipeline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Capline Pipeline Company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Eagle Ford Crude Terminal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 Midstream Holdings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FM Gathering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Kern-Southland Energy Link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Midway Pipeline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Niobrara Crude Terminal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OMOG JV Holdings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OMOG JV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Oryx Delaware Oil Transport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Oryx Midland Oil Gathering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Oryx Midland Oil Marketing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Oryx Midstream Holdings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Oryx Wink Oil Pipeline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Finance Corp.</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Luxembourg S.a.r.l.</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PAA Midstream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Natural Gas Storage, L.P.</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PAA Service Corp.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PAA/Vulcan Gas Storage,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Pacific Pipeline System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Emergency Relief Fund, Inc.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Capline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Gas Solutions,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GP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LPG Services CA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LPG Services GP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LPG Services, L.P.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Marketing Bondholder,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Marketing CA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Marketing Canada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Plains Marketing, L.P.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20" w:type="dxa"/>
            <w:vAlign w:val="bottom"/>
          </w:tcPr>
          <w:p>
            <w:pPr>
              <w:spacing w:after="0"/>
              <w:rPr>
                <w:sz w:val="19"/>
                <w:szCs w:val="19"/>
                <w:color w:val="auto"/>
              </w:rPr>
            </w:pPr>
          </w:p>
        </w:tc>
      </w:tr>
    </w:tbl>
    <w:p>
      <w:pPr>
        <w:sectPr>
          <w:pgSz w:w="11900" w:h="16838" w:orient="portrait"/>
          <w:cols w:equalWidth="0" w:num="1">
            <w:col w:w="11200"/>
          </w:cols>
          <w:pgMar w:left="360" w:top="887" w:right="33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79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Plains Midstream Luxembourg S.a.r.l.</w:t>
            </w: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230"/>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Midstream Superior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Oryx Permian Basin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Pipeline, L.P.</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Pipeline MidCon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Pipeline Montana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Products Terminals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Rail Holdings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South Texas Gathering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PMC (Nova Scotia) Company</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Nova Scotia</w:t>
            </w:r>
          </w:p>
        </w:tc>
      </w:tr>
      <w:tr>
        <w:trPr>
          <w:trHeight w:val="22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PNGS GP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POPB NM Crude II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POPBP DE Crude Holdings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Rancho LPG Holdings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 River Pipeline Company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Rocky Mountain Pipeline Montana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James Rail Terminal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Sunrise Pipeline LLC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Corridor Pipeline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180"/>
          </w:cols>
          <w:pgMar w:left="360" w:top="925" w:right="35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333-200596, 333-210067, 333-218463, 333-267726, 333-268841, 333-268843 and 333-274400) and on Form S-8 (No. 333-193141) of Plains GP Holdings, L.P. of our report dated February 27, 2025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88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left="1380" w:right="40" w:hanging="724"/>
        <w:spacing w:after="0" w:line="266" w:lineRule="auto"/>
        <w:tabs>
          <w:tab w:leader="none" w:pos="137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80" w:right="40" w:hanging="724"/>
        <w:spacing w:after="0" w:line="266" w:lineRule="auto"/>
        <w:tabs>
          <w:tab w:leader="none" w:pos="137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80" w:right="140" w:hanging="724"/>
        <w:spacing w:after="0" w:line="312" w:lineRule="auto"/>
        <w:tabs>
          <w:tab w:leader="none" w:pos="1377"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80" w:right="140" w:hanging="724"/>
        <w:spacing w:after="0" w:line="266" w:lineRule="auto"/>
        <w:tabs>
          <w:tab w:leader="none" w:pos="137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sz w:val="20"/>
          <w:szCs w:val="20"/>
          <w:color w:val="auto"/>
        </w:rPr>
      </w:pPr>
    </w:p>
    <w:p>
      <w:pPr>
        <w:ind w:right="40" w:firstLine="656"/>
        <w:spacing w:after="0" w:line="282" w:lineRule="auto"/>
        <w:tabs>
          <w:tab w:leader="none" w:pos="87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380" w:right="380" w:hanging="724"/>
        <w:spacing w:after="0" w:line="282" w:lineRule="auto"/>
        <w:tabs>
          <w:tab w:leader="none" w:pos="137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80" w:right="60" w:hanging="724"/>
        <w:spacing w:after="0" w:line="282" w:lineRule="auto"/>
        <w:tabs>
          <w:tab w:leader="none" w:pos="137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left="1380" w:right="40" w:hanging="724"/>
        <w:spacing w:after="0" w:line="266" w:lineRule="auto"/>
        <w:tabs>
          <w:tab w:leader="none" w:pos="137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80" w:right="40" w:hanging="724"/>
        <w:spacing w:after="0" w:line="266" w:lineRule="auto"/>
        <w:tabs>
          <w:tab w:leader="none" w:pos="137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80" w:right="140" w:hanging="724"/>
        <w:spacing w:after="0" w:line="312" w:lineRule="auto"/>
        <w:tabs>
          <w:tab w:leader="none" w:pos="1377"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80" w:right="140" w:hanging="724"/>
        <w:spacing w:after="0" w:line="266" w:lineRule="auto"/>
        <w:tabs>
          <w:tab w:leader="none" w:pos="137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sz w:val="20"/>
          <w:szCs w:val="20"/>
          <w:color w:val="auto"/>
        </w:rPr>
      </w:pPr>
    </w:p>
    <w:p>
      <w:pPr>
        <w:ind w:right="40" w:firstLine="656"/>
        <w:spacing w:after="0" w:line="282" w:lineRule="auto"/>
        <w:tabs>
          <w:tab w:leader="none" w:pos="8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380" w:right="380" w:hanging="724"/>
        <w:spacing w:after="0" w:line="282" w:lineRule="auto"/>
        <w:tabs>
          <w:tab w:leader="none" w:pos="137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80" w:right="60" w:hanging="724"/>
        <w:spacing w:after="0" w:line="282" w:lineRule="auto"/>
        <w:tabs>
          <w:tab w:leader="none" w:pos="137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GP Holdings, L.P. (the “Company”), hereby certify that:</w:t>
      </w:r>
    </w:p>
    <w:p>
      <w:pPr>
        <w:spacing w:after="0" w:line="252" w:lineRule="exact"/>
        <w:rPr>
          <w:sz w:val="20"/>
          <w:szCs w:val="20"/>
          <w:color w:val="auto"/>
        </w:rPr>
      </w:pPr>
    </w:p>
    <w:p>
      <w:pPr>
        <w:ind w:right="180" w:firstLine="656"/>
        <w:spacing w:after="0" w:line="266" w:lineRule="auto"/>
        <w:tabs>
          <w:tab w:leader="none" w:pos="133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10-K for the period ended December 31, 2024 and filed with the Securities and Exchange Commission on the date hereof (the “Report”) by the Company fully complies with the requirements of Section 13(a) or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February 27, 2025</w:t>
      </w:r>
    </w:p>
    <w:p>
      <w:pPr>
        <w:sectPr>
          <w:pgSz w:w="11900" w:h="16838" w:orient="portrait"/>
          <w:cols w:equalWidth="0" w:num="1">
            <w:col w:w="11240"/>
          </w:cols>
          <w:pgMar w:left="320" w:top="88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GP Holdings, L.P. (the “Company”), hereby certify that:</w:t>
      </w:r>
    </w:p>
    <w:p>
      <w:pPr>
        <w:spacing w:after="0" w:line="225" w:lineRule="exact"/>
        <w:rPr>
          <w:sz w:val="20"/>
          <w:szCs w:val="20"/>
          <w:color w:val="auto"/>
        </w:rPr>
      </w:pPr>
    </w:p>
    <w:p>
      <w:pPr>
        <w:ind w:right="180" w:firstLine="656"/>
        <w:spacing w:after="0" w:line="266" w:lineRule="auto"/>
        <w:tabs>
          <w:tab w:leader="none" w:pos="13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10-K for the period ended December 31, 2024 and filed with the Securities and Exchange Commission on the date hereof (the “Report”) by the Company fully complies with the requirements of Section 13(a) or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February 27,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1)"/>
      <w:numFmt w:val="decimal"/>
      <w:start w:val="3"/>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1)"/>
      <w:numFmt w:val="lowerRoman"/>
      <w:start w:val="3"/>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1)"/>
      <w:numFmt w:val="lowerRoman"/>
      <w:start w:val="3"/>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lvl w:ilvl="1">
      <w:lvlJc w:val="left"/>
      <w:lvlText w:val="◦"/>
      <w:numFmt w:val="bullet"/>
      <w:start w:val="1"/>
    </w:lvl>
  </w:abstractNum>
  <w:abstractNum w:abstractNumId="30">
    <w:nsid w:val="42963E5A"/>
    <w:multiLevelType w:val="hybridMultilevel"/>
    <w:lvl w:ilvl="0">
      <w:lvlJc w:val="left"/>
      <w:lvlText w:val="(%1)"/>
      <w:numFmt w:val="lowerRoman"/>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1)"/>
      <w:numFmt w:val="decimal"/>
      <w:start w:val="1"/>
    </w:lvl>
  </w:abstractNum>
  <w:abstractNum w:abstractNumId="39">
    <w:nsid w:val="14330624"/>
    <w:multiLevelType w:val="hybridMultilevel"/>
    <w:lvl w:ilvl="0">
      <w:lvlJc w:val="left"/>
      <w:lvlText w:val="(%1)"/>
      <w:numFmt w:val="decimal"/>
      <w:start w:val="6"/>
    </w:lvl>
  </w:abstractNum>
  <w:abstractNum w:abstractNumId="40">
    <w:nsid w:val="7FFFCA11"/>
    <w:multiLevelType w:val="hybridMultilevel"/>
    <w:lvl w:ilvl="0">
      <w:lvlJc w:val="left"/>
      <w:lvlText w:val="(%1)"/>
      <w:numFmt w:val="lowerRoman"/>
      <w:start w:val="1"/>
    </w:lvl>
  </w:abstractNum>
  <w:abstractNum w:abstractNumId="41">
    <w:nsid w:val="1A27709E"/>
    <w:multiLevelType w:val="hybridMultilevel"/>
    <w:lvl w:ilvl="0">
      <w:lvlJc w:val="left"/>
      <w:lvlText w:val="(%1)"/>
      <w:numFmt w:val="decimal"/>
      <w:start w:val="4"/>
    </w:lvl>
  </w:abstractNum>
  <w:abstractNum w:abstractNumId="42">
    <w:nsid w:val="71EA1109"/>
    <w:multiLevelType w:val="hybridMultilevel"/>
    <w:lvl w:ilvl="0">
      <w:lvlJc w:val="left"/>
      <w:lvlText w:val="(%1)"/>
      <w:numFmt w:val="lowerRoman"/>
      <w:start w:val="4"/>
    </w:lvl>
  </w:abstractNum>
  <w:abstractNum w:abstractNumId="43">
    <w:nsid w:val="100F59DC"/>
    <w:multiLevelType w:val="hybridMultilevel"/>
    <w:lvl w:ilvl="0">
      <w:lvlJc w:val="left"/>
      <w:lvlText w:val="(%1)"/>
      <w:numFmt w:val="lowerRoman"/>
      <w:start w:val="5"/>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1)"/>
      <w:numFmt w:val="decimal"/>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1)"/>
      <w:numFmt w:val="lowerRoman"/>
      <w:start w:val="3"/>
    </w:lvl>
  </w:abstractNum>
  <w:abstractNum w:abstractNumId="48">
    <w:nsid w:val="885E1B"/>
    <w:multiLevelType w:val="hybridMultilevel"/>
    <w:lvl w:ilvl="0">
      <w:lvlJc w:val="left"/>
      <w:lvlText w:val="(%1)"/>
      <w:numFmt w:val="decimal"/>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1)"/>
      <w:numFmt w:val="decimal"/>
      <w:start w:val="1"/>
    </w:lvl>
  </w:abstractNum>
  <w:abstractNum w:abstractNumId="53">
    <w:nsid w:val="3222E7CD"/>
    <w:multiLevelType w:val="hybridMultilevel"/>
    <w:lvl w:ilvl="0">
      <w:lvlJc w:val="left"/>
      <w:lvlText w:val="(%1)"/>
      <w:numFmt w:val="lowerLetter"/>
      <w:start w:val="1"/>
    </w:lvl>
  </w:abstractNum>
  <w:abstractNum w:abstractNumId="54">
    <w:nsid w:val="74DE0EE3"/>
    <w:multiLevelType w:val="hybridMultilevel"/>
    <w:lvl w:ilvl="0">
      <w:lvlJc w:val="left"/>
      <w:lvlText w:val="(%1)"/>
      <w:numFmt w:val="decimal"/>
      <w:start w:val="2"/>
    </w:lvl>
  </w:abstractNum>
  <w:abstractNum w:abstractNumId="55">
    <w:nsid w:val="68EBC550"/>
    <w:multiLevelType w:val="hybridMultilevel"/>
    <w:lvl w:ilvl="0">
      <w:lvlJc w:val="left"/>
      <w:lvlText w:val="(%1)"/>
      <w:numFmt w:val="decimal"/>
      <w:start w:val="3"/>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1)"/>
      <w:numFmt w:val="decimal"/>
      <w:start w:val="1"/>
    </w:lvl>
  </w:abstractNum>
  <w:abstractNum w:abstractNumId="61">
    <w:nsid w:val="CC1016F"/>
    <w:multiLevelType w:val="hybridMultilevel"/>
    <w:lvl w:ilvl="0">
      <w:lvlJc w:val="left"/>
      <w:lvlText w:val="(%1)"/>
      <w:numFmt w:val="lowerRoman"/>
      <w:start w:val="3"/>
    </w:lvl>
  </w:abstractNum>
  <w:abstractNum w:abstractNumId="62">
    <w:nsid w:val="43F18422"/>
    <w:multiLevelType w:val="hybridMultilevel"/>
    <w:lvl w:ilvl="0">
      <w:lvlJc w:val="left"/>
      <w:lvlText w:val="(%1)"/>
      <w:numFmt w:val="decimal"/>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1)"/>
      <w:numFmt w:val="decimal"/>
      <w:start w:val="1"/>
    </w:lvl>
  </w:abstractNum>
  <w:abstractNum w:abstractNumId="66">
    <w:nsid w:val="49DA307D"/>
    <w:multiLevelType w:val="hybridMultilevel"/>
    <w:lvl w:ilvl="0">
      <w:lvlJc w:val="left"/>
      <w:lvlText w:val="(%1)"/>
      <w:numFmt w:val="decimal"/>
      <w:start w:val="1"/>
    </w:lvl>
  </w:abstractNum>
  <w:abstractNum w:abstractNumId="67">
    <w:nsid w:val="7055A5F5"/>
    <w:multiLevelType w:val="hybridMultilevel"/>
    <w:lvl w:ilvl="0">
      <w:lvlJc w:val="left"/>
      <w:lvlText w:val="(%1)"/>
      <w:numFmt w:val="decimal"/>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1)"/>
      <w:numFmt w:val="decimal"/>
      <w:start w:val="1"/>
    </w:lvl>
  </w:abstractNum>
  <w:abstractNum w:abstractNumId="73">
    <w:nsid w:val="7672BD23"/>
    <w:multiLevelType w:val="hybridMultilevel"/>
    <w:lvl w:ilvl="0">
      <w:lvlJc w:val="left"/>
      <w:lvlText w:val="(%1)"/>
      <w:numFmt w:val="decimal"/>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1)"/>
      <w:numFmt w:val="decimal"/>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1)"/>
      <w:numFmt w:val="decimal"/>
      <w:start w:val="1"/>
    </w:lvl>
  </w:abstractNum>
  <w:abstractNum w:abstractNumId="78">
    <w:nsid w:val="73A1821B"/>
    <w:multiLevelType w:val="hybridMultilevel"/>
    <w:lvl w:ilvl="0">
      <w:lvlJc w:val="left"/>
      <w:lvlText w:val="(%1)"/>
      <w:numFmt w:val="decimal"/>
      <w:start w:val="1"/>
    </w:lvl>
  </w:abstractNum>
  <w:abstractNum w:abstractNumId="79">
    <w:nsid w:val="7DE67713"/>
    <w:multiLevelType w:val="hybridMultilevel"/>
    <w:lvl w:ilvl="0">
      <w:lvlJc w:val="left"/>
      <w:lvlText w:val="(%1)"/>
      <w:numFmt w:val="decimal"/>
      <w:start w:val="1"/>
    </w:lvl>
  </w:abstractNum>
  <w:abstractNum w:abstractNumId="80">
    <w:nsid w:val="555C55B5"/>
    <w:multiLevelType w:val="hybridMultilevel"/>
    <w:lvl w:ilvl="0">
      <w:lvlJc w:val="left"/>
      <w:lvlText w:val="(%1)"/>
      <w:numFmt w:val="decimal"/>
      <w:start w:val="1"/>
    </w:lvl>
  </w:abstractNum>
  <w:abstractNum w:abstractNumId="81">
    <w:nsid w:val="3FA62ACA"/>
    <w:multiLevelType w:val="hybridMultilevel"/>
    <w:lvl w:ilvl="0">
      <w:lvlJc w:val="left"/>
      <w:lvlText w:val="(%1)"/>
      <w:numFmt w:val="decimal"/>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1)"/>
      <w:numFmt w:val="decimal"/>
      <w:start w:val="1"/>
    </w:lvl>
  </w:abstractNum>
  <w:abstractNum w:abstractNumId="84">
    <w:nsid w:val="71C91298"/>
    <w:multiLevelType w:val="hybridMultilevel"/>
    <w:lvl w:ilvl="0">
      <w:lvlJc w:val="left"/>
      <w:lvlText w:val="(%1)"/>
      <w:numFmt w:val="decimal"/>
      <w:start w:val="1"/>
    </w:lvl>
  </w:abstractNum>
  <w:abstractNum w:abstractNumId="85">
    <w:nsid w:val="9DAF632"/>
    <w:multiLevelType w:val="hybridMultilevel"/>
    <w:lvl w:ilvl="0">
      <w:lvlJc w:val="left"/>
      <w:lvlText w:val="(%1)"/>
      <w:numFmt w:val="decimal"/>
      <w:start w:val="1"/>
    </w:lvl>
  </w:abstractNum>
  <w:abstractNum w:abstractNumId="86">
    <w:nsid w:val="53299938"/>
    <w:multiLevelType w:val="hybridMultilevel"/>
    <w:lvl w:ilvl="0">
      <w:lvlJc w:val="left"/>
      <w:lvlText w:val="(%1)"/>
      <w:numFmt w:val="lowerRoman"/>
      <w:start w:val="3"/>
    </w:lvl>
  </w:abstractNum>
  <w:abstractNum w:abstractNumId="87">
    <w:nsid w:val="1FBFE8E0"/>
    <w:multiLevelType w:val="hybridMultilevel"/>
    <w:lvl w:ilvl="0">
      <w:lvlJc w:val="left"/>
      <w:lvlText w:val="(%1)"/>
      <w:numFmt w:val="decimal"/>
      <w:start w:val="7"/>
    </w:lvl>
  </w:abstractNum>
  <w:abstractNum w:abstractNumId="88">
    <w:nsid w:val="5092CA79"/>
    <w:multiLevelType w:val="hybridMultilevel"/>
    <w:lvl w:ilvl="0">
      <w:lvlJc w:val="left"/>
      <w:lvlText w:val="(%1)"/>
      <w:numFmt w:val="decimal"/>
      <w:start w:val="13"/>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1)"/>
      <w:numFmt w:val="decimal"/>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1"/>
    </w:lvl>
  </w:abstractNum>
  <w:abstractNum w:abstractNumId="99">
    <w:nsid w:val="7C58FD05"/>
    <w:multiLevelType w:val="hybridMultilevel"/>
    <w:lvl w:ilvl="0">
      <w:lvlJc w:val="left"/>
      <w:lvlText w:val="(%1)"/>
      <w:numFmt w:val="decimal"/>
      <w:start w:val="10"/>
    </w:lvl>
  </w:abstractNum>
  <w:abstractNum w:abstractNumId="100">
    <w:nsid w:val="23D86AAC"/>
    <w:multiLevelType w:val="hybridMultilevel"/>
    <w:lvl w:ilvl="0">
      <w:lvlJc w:val="left"/>
      <w:lvlText w:val="(%1)"/>
      <w:numFmt w:val="decimal"/>
      <w:start w:val="1"/>
    </w:lvl>
  </w:abstractNum>
  <w:abstractNum w:abstractNumId="101">
    <w:nsid w:val="45E6D486"/>
    <w:multiLevelType w:val="hybridMultilevel"/>
    <w:lvl w:ilvl="0">
      <w:lvlJc w:val="left"/>
      <w:lvlText w:val="(%1)"/>
      <w:numFmt w:val="decimal"/>
      <w:start w:val="1"/>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1)"/>
      <w:numFmt w:val="lowerRoman"/>
      <w:start w:val="2"/>
    </w:lvl>
  </w:abstractNum>
  <w:abstractNum w:abstractNumId="104">
    <w:nsid w:val="3C5991AA"/>
    <w:multiLevelType w:val="hybridMultilevel"/>
    <w:lvl w:ilvl="0">
      <w:lvlJc w:val="left"/>
      <w:lvlText w:val="•"/>
      <w:numFmt w:val="bullet"/>
      <w:start w:val="1"/>
    </w:lvl>
  </w:abstractNum>
  <w:abstractNum w:abstractNumId="105">
    <w:nsid w:val="4BD8591A"/>
    <w:multiLevelType w:val="hybridMultilevel"/>
    <w:lvl w:ilvl="0">
      <w:lvlJc w:val="left"/>
      <w:lvlText w:val="1"/>
      <w:numFmt w:val="bullet"/>
      <w:start w:val="1"/>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1."/>
      <w:numFmt w:val="decimal"/>
      <w:start w:val="1"/>
    </w:lvl>
  </w:abstractNum>
  <w:abstractNum w:abstractNumId="108">
    <w:nsid w:val="2B0D8DBE"/>
    <w:multiLevelType w:val="hybridMultilevel"/>
    <w:lvl w:ilvl="0">
      <w:lvlJc w:val="left"/>
      <w:lvlText w:val="2"/>
      <w:numFmt w:val="bullet"/>
      <w:start w:val="1"/>
    </w:lvl>
  </w:abstractNum>
  <w:abstractNum w:abstractNumId="109">
    <w:nsid w:val="6C80EC70"/>
    <w:multiLevelType w:val="hybridMultilevel"/>
    <w:lvl w:ilvl="0">
      <w:lvlJc w:val="left"/>
      <w:lvlText w:val="%1."/>
      <w:numFmt w:val="decimal"/>
      <w:start w:val="1"/>
    </w:lvl>
    <w:lvl w:ilvl="1">
      <w:lvlJc w:val="left"/>
      <w:lvlText w:val="%2"/>
      <w:numFmt w:val="upperLetter"/>
      <w:start w:val="1"/>
    </w:lvl>
  </w:abstractNum>
  <w:abstractNum w:abstractNumId="110">
    <w:nsid w:val="379E21B5"/>
    <w:multiLevelType w:val="hybridMultilevel"/>
    <w:lvl w:ilvl="0">
      <w:lvlJc w:val="left"/>
      <w:lvlText w:val="1"/>
      <w:numFmt w:val="bullet"/>
      <w:start w:val="1"/>
    </w:lvl>
  </w:abstractNum>
  <w:abstractNum w:abstractNumId="111">
    <w:nsid w:val="69E373"/>
    <w:multiLevelType w:val="hybridMultilevel"/>
    <w:lvl w:ilvl="0">
      <w:lvlJc w:val="left"/>
      <w:lvlText w:val="%1"/>
      <w:numFmt w:val="decimal"/>
      <w:start w:val="1"/>
    </w:lvl>
    <w:lvl w:ilvl="1">
      <w:lvlJc w:val="left"/>
      <w:lvlText w:val="%2."/>
      <w:numFmt w:val="upperLetter"/>
      <w:start w:val="2"/>
    </w:lvl>
  </w:abstractNum>
  <w:abstractNum w:abstractNumId="112">
    <w:nsid w:val="2C27173B"/>
    <w:multiLevelType w:val="hybridMultilevel"/>
    <w:lvl w:ilvl="0">
      <w:lvlJc w:val="left"/>
      <w:lvlText w:val="%1."/>
      <w:numFmt w:val="decimal"/>
      <w:start w:val="2"/>
    </w:lvl>
    <w:lvl w:ilvl="1">
      <w:lvlJc w:val="left"/>
      <w:lvlText w:val="%2"/>
      <w:numFmt w:val="upperLetter"/>
      <w:start w:val="1"/>
    </w:lvl>
  </w:abstractNum>
  <w:abstractNum w:abstractNumId="113">
    <w:nsid w:val="4C9B0904"/>
    <w:multiLevelType w:val="hybridMultilevel"/>
    <w:lvl w:ilvl="0">
      <w:lvlJc w:val="left"/>
      <w:lvlText w:val="%1."/>
      <w:numFmt w:val="upperLetter"/>
      <w:start w:val="1"/>
    </w:lvl>
  </w:abstractNum>
  <w:abstractNum w:abstractNumId="114">
    <w:nsid w:val="6AA7B75C"/>
    <w:multiLevelType w:val="hybridMultilevel"/>
    <w:lvl w:ilvl="0">
      <w:lvlJc w:val="left"/>
      <w:lvlText w:val="%1."/>
      <w:numFmt w:val="decimal"/>
      <w:start w:val="1"/>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decimal"/>
      <w:start w:val="5"/>
    </w:lvl>
  </w:abstractNum>
  <w:abstractNum w:abstractNumId="117">
    <w:nsid w:val="3DD15094"/>
    <w:multiLevelType w:val="hybridMultilevel"/>
    <w:lvl w:ilvl="0">
      <w:lvlJc w:val="left"/>
      <w:lvlText w:val="(%1)"/>
      <w:numFmt w:val="lowerLetter"/>
      <w:start w:val="1"/>
    </w:lvl>
  </w:abstractNum>
  <w:abstractNum w:abstractNumId="118">
    <w:nsid w:val="3DB012B3"/>
    <w:multiLevelType w:val="hybridMultilevel"/>
    <w:lvl w:ilvl="0">
      <w:lvlJc w:val="left"/>
      <w:lvlText w:val="%1."/>
      <w:numFmt w:val="decimal"/>
      <w:start w:val="1"/>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decimal"/>
      <w:start w:val="5"/>
    </w:lvl>
  </w:abstractNum>
  <w:abstractNum w:abstractNumId="121">
    <w:nsid w:val="175DFCF0"/>
    <w:multiLevelType w:val="hybridMultilevel"/>
    <w:lvl w:ilvl="0">
      <w:lvlJc w:val="left"/>
      <w:lvlText w:val="(%1)"/>
      <w:numFmt w:val="lowerLetter"/>
      <w:start w:val="1"/>
    </w:lvl>
  </w:abstractNum>
  <w:abstractNum w:abstractNumId="122">
    <w:nsid w:val="4F97E3E4"/>
    <w:multiLevelType w:val="hybridMultilevel"/>
    <w:lvl w:ilvl="0">
      <w:lvlJc w:val="left"/>
      <w:lvlText w:val="(%1)"/>
      <w:numFmt w:val="lowerRoman"/>
      <w:start w:val="1"/>
    </w:lvl>
  </w:abstractNum>
  <w:abstractNum w:abstractNumId="123">
    <w:nsid w:val="53B0A9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7" Type="http://schemas.openxmlformats.org/officeDocument/2006/relationships/image" Target="media/image118.png"/><Relationship Id="rId153" Type="http://schemas.openxmlformats.org/officeDocument/2006/relationships/image" Target="media/image119.png"/><Relationship Id="rId165" Type="http://schemas.openxmlformats.org/officeDocument/2006/relationships/image" Target="media/image120.png"/><Relationship Id="rId183" Type="http://schemas.openxmlformats.org/officeDocument/2006/relationships/image" Target="media/image121.png"/><Relationship Id="rId199" Type="http://schemas.openxmlformats.org/officeDocument/2006/relationships/image" Target="media/image122.png"/><Relationship Id="rId200" Type="http://schemas.openxmlformats.org/officeDocument/2006/relationships/image" Target="media/image123.png"/><Relationship Id="rId201" Type="http://schemas.openxmlformats.org/officeDocument/2006/relationships/image" Target="media/image124.png"/><Relationship Id="rId202" Type="http://schemas.openxmlformats.org/officeDocument/2006/relationships/image" Target="media/image125.png"/><Relationship Id="rId203" Type="http://schemas.openxmlformats.org/officeDocument/2006/relationships/image" Target="media/image126.png"/><Relationship Id="rId204" Type="http://schemas.openxmlformats.org/officeDocument/2006/relationships/image" Target="media/image127.png"/><Relationship Id="rId205" Type="http://schemas.openxmlformats.org/officeDocument/2006/relationships/image" Target="media/image128.png"/><Relationship Id="rId206" Type="http://schemas.openxmlformats.org/officeDocument/2006/relationships/image" Target="media/image129.png"/><Relationship Id="rId207" Type="http://schemas.openxmlformats.org/officeDocument/2006/relationships/image" Target="media/image130.png"/><Relationship Id="rId208" Type="http://schemas.openxmlformats.org/officeDocument/2006/relationships/image" Target="media/image131.png"/><Relationship Id="rId209" Type="http://schemas.openxmlformats.org/officeDocument/2006/relationships/image" Target="media/image132.png"/><Relationship Id="rId210" Type="http://schemas.openxmlformats.org/officeDocument/2006/relationships/image" Target="media/image133.png"/><Relationship Id="rId211" Type="http://schemas.openxmlformats.org/officeDocument/2006/relationships/image" Target="media/image134.png"/><Relationship Id="rId212" Type="http://schemas.openxmlformats.org/officeDocument/2006/relationships/image" Target="media/image135.png"/><Relationship Id="rId213" Type="http://schemas.openxmlformats.org/officeDocument/2006/relationships/image" Target="media/image136.png"/><Relationship Id="rId214" Type="http://schemas.openxmlformats.org/officeDocument/2006/relationships/image" Target="media/image137.png"/><Relationship Id="rId215" Type="http://schemas.openxmlformats.org/officeDocument/2006/relationships/image" Target="media/image138.png"/><Relationship Id="rId216" Type="http://schemas.openxmlformats.org/officeDocument/2006/relationships/image" Target="media/image139.png"/><Relationship Id="rId217" Type="http://schemas.openxmlformats.org/officeDocument/2006/relationships/image" Target="media/image140.png"/><Relationship Id="rId218" Type="http://schemas.openxmlformats.org/officeDocument/2006/relationships/image" Target="media/image141.png"/><Relationship Id="rId219" Type="http://schemas.openxmlformats.org/officeDocument/2006/relationships/image" Target="media/image142.png"/><Relationship Id="rId220" Type="http://schemas.openxmlformats.org/officeDocument/2006/relationships/image" Target="media/image143.png"/><Relationship Id="rId221" Type="http://schemas.openxmlformats.org/officeDocument/2006/relationships/image" Target="media/image144.png"/><Relationship Id="rId222" Type="http://schemas.openxmlformats.org/officeDocument/2006/relationships/image" Target="media/image145.png"/><Relationship Id="rId223" Type="http://schemas.openxmlformats.org/officeDocument/2006/relationships/image" Target="media/image146.png"/><Relationship Id="rId224" Type="http://schemas.openxmlformats.org/officeDocument/2006/relationships/image" Target="media/image147.png"/><Relationship Id="rId225" Type="http://schemas.openxmlformats.org/officeDocument/2006/relationships/image" Target="media/image148.png"/><Relationship Id="rId226" Type="http://schemas.openxmlformats.org/officeDocument/2006/relationships/image" Target="media/image149.png"/><Relationship Id="rId227" Type="http://schemas.openxmlformats.org/officeDocument/2006/relationships/image" Target="media/image150.png"/><Relationship Id="rId228" Type="http://schemas.openxmlformats.org/officeDocument/2006/relationships/image" Target="media/image151.png"/><Relationship Id="rId229" Type="http://schemas.openxmlformats.org/officeDocument/2006/relationships/image" Target="media/image152.png"/><Relationship Id="rId230" Type="http://schemas.openxmlformats.org/officeDocument/2006/relationships/image" Target="media/image153.png"/><Relationship Id="rId231" Type="http://schemas.openxmlformats.org/officeDocument/2006/relationships/image" Target="media/image154.png"/><Relationship Id="rId232" Type="http://schemas.openxmlformats.org/officeDocument/2006/relationships/image" Target="media/image155.png"/><Relationship Id="rId233" Type="http://schemas.openxmlformats.org/officeDocument/2006/relationships/image" Target="media/image156.png"/><Relationship Id="rId234" Type="http://schemas.openxmlformats.org/officeDocument/2006/relationships/image" Target="media/image157.png"/><Relationship Id="rId235" Type="http://schemas.openxmlformats.org/officeDocument/2006/relationships/image" Target="media/image158.png"/><Relationship Id="rId236" Type="http://schemas.openxmlformats.org/officeDocument/2006/relationships/image" Target="media/image159.png"/><Relationship Id="rId237" Type="http://schemas.openxmlformats.org/officeDocument/2006/relationships/image" Target="media/image160.png"/><Relationship Id="rId238" Type="http://schemas.openxmlformats.org/officeDocument/2006/relationships/image" Target="media/image161.png"/><Relationship Id="rId239" Type="http://schemas.openxmlformats.org/officeDocument/2006/relationships/image" Target="media/image162.png"/><Relationship Id="rId240" Type="http://schemas.openxmlformats.org/officeDocument/2006/relationships/image" Target="media/image163.png"/><Relationship Id="rId241" Type="http://schemas.openxmlformats.org/officeDocument/2006/relationships/image" Target="media/image164.png"/><Relationship Id="rId242" Type="http://schemas.openxmlformats.org/officeDocument/2006/relationships/image" Target="media/image165.png"/><Relationship Id="rId243" Type="http://schemas.openxmlformats.org/officeDocument/2006/relationships/image" Target="media/image166.png"/><Relationship Id="rId244" Type="http://schemas.openxmlformats.org/officeDocument/2006/relationships/image" Target="media/image167.png"/><Relationship Id="rId245" Type="http://schemas.openxmlformats.org/officeDocument/2006/relationships/image" Target="media/image168.png"/><Relationship Id="rId246" Type="http://schemas.openxmlformats.org/officeDocument/2006/relationships/image" Target="media/image169.png"/><Relationship Id="rId247" Type="http://schemas.openxmlformats.org/officeDocument/2006/relationships/image" Target="media/image170.png"/><Relationship Id="rId248" Type="http://schemas.openxmlformats.org/officeDocument/2006/relationships/image" Target="media/image171.png"/><Relationship Id="rId249" Type="http://schemas.openxmlformats.org/officeDocument/2006/relationships/image" Target="media/image172.png"/><Relationship Id="rId250" Type="http://schemas.openxmlformats.org/officeDocument/2006/relationships/image" Target="media/image173.png"/><Relationship Id="rId251" Type="http://schemas.openxmlformats.org/officeDocument/2006/relationships/image" Target="media/image174.png"/><Relationship Id="rId252" Type="http://schemas.openxmlformats.org/officeDocument/2006/relationships/image" Target="media/image175.png"/><Relationship Id="rId253" Type="http://schemas.openxmlformats.org/officeDocument/2006/relationships/image" Target="media/image176.png"/><Relationship Id="rId254" Type="http://schemas.openxmlformats.org/officeDocument/2006/relationships/image" Target="media/image177.png"/><Relationship Id="rId255" Type="http://schemas.openxmlformats.org/officeDocument/2006/relationships/image" Target="media/image178.png"/><Relationship Id="rId256" Type="http://schemas.openxmlformats.org/officeDocument/2006/relationships/image" Target="media/image179.png"/><Relationship Id="rId257" Type="http://schemas.openxmlformats.org/officeDocument/2006/relationships/image" Target="media/image180.png"/><Relationship Id="rId258" Type="http://schemas.openxmlformats.org/officeDocument/2006/relationships/image" Target="media/image181.png"/><Relationship Id="rId259" Type="http://schemas.openxmlformats.org/officeDocument/2006/relationships/image" Target="media/image182.png"/><Relationship Id="rId260" Type="http://schemas.openxmlformats.org/officeDocument/2006/relationships/image" Target="media/image183.png"/><Relationship Id="rId261" Type="http://schemas.openxmlformats.org/officeDocument/2006/relationships/image" Target="media/image184.png"/><Relationship Id="rId262" Type="http://schemas.openxmlformats.org/officeDocument/2006/relationships/image" Target="media/image185.png"/><Relationship Id="rId263" Type="http://schemas.openxmlformats.org/officeDocument/2006/relationships/image" Target="media/image186.png"/><Relationship Id="rId264" Type="http://schemas.openxmlformats.org/officeDocument/2006/relationships/image" Target="media/image187.png"/><Relationship Id="rId265" Type="http://schemas.openxmlformats.org/officeDocument/2006/relationships/image" Target="media/image188.png"/><Relationship Id="rId266" Type="http://schemas.openxmlformats.org/officeDocument/2006/relationships/image" Target="media/image189.png"/><Relationship Id="rId267" Type="http://schemas.openxmlformats.org/officeDocument/2006/relationships/image" Target="media/image190.png"/><Relationship Id="rId268" Type="http://schemas.openxmlformats.org/officeDocument/2006/relationships/image" Target="media/image191.png"/><Relationship Id="rId269" Type="http://schemas.openxmlformats.org/officeDocument/2006/relationships/image" Target="media/image192.png"/><Relationship Id="rId270" Type="http://schemas.openxmlformats.org/officeDocument/2006/relationships/image" Target="media/image193.png"/><Relationship Id="rId271" Type="http://schemas.openxmlformats.org/officeDocument/2006/relationships/image" Target="media/image194.png"/><Relationship Id="rId272" Type="http://schemas.openxmlformats.org/officeDocument/2006/relationships/image" Target="media/image195.png"/><Relationship Id="rId273" Type="http://schemas.openxmlformats.org/officeDocument/2006/relationships/image" Target="media/image196.png"/><Relationship Id="rId274" Type="http://schemas.openxmlformats.org/officeDocument/2006/relationships/image" Target="media/image197.png"/><Relationship Id="rId275" Type="http://schemas.openxmlformats.org/officeDocument/2006/relationships/image" Target="media/image198.png"/><Relationship Id="rId276" Type="http://schemas.openxmlformats.org/officeDocument/2006/relationships/image" Target="media/image199.png"/><Relationship Id="rId277" Type="http://schemas.openxmlformats.org/officeDocument/2006/relationships/image" Target="media/image200.png"/><Relationship Id="rId278" Type="http://schemas.openxmlformats.org/officeDocument/2006/relationships/image" Target="media/image201.png"/><Relationship Id="rId279" Type="http://schemas.openxmlformats.org/officeDocument/2006/relationships/image" Target="media/image202.png"/><Relationship Id="rId280" Type="http://schemas.openxmlformats.org/officeDocument/2006/relationships/image" Target="media/image203.png"/><Relationship Id="rId281" Type="http://schemas.openxmlformats.org/officeDocument/2006/relationships/image" Target="media/image204.png"/><Relationship Id="rId282" Type="http://schemas.openxmlformats.org/officeDocument/2006/relationships/image" Target="media/image205.png"/><Relationship Id="rId283" Type="http://schemas.openxmlformats.org/officeDocument/2006/relationships/image" Target="media/image206.png"/><Relationship Id="rId284" Type="http://schemas.openxmlformats.org/officeDocument/2006/relationships/image" Target="media/image207.png"/><Relationship Id="rId285" Type="http://schemas.openxmlformats.org/officeDocument/2006/relationships/image" Target="media/image208.png"/><Relationship Id="rId286" Type="http://schemas.openxmlformats.org/officeDocument/2006/relationships/image" Target="media/image209.png"/><Relationship Id="rId287" Type="http://schemas.openxmlformats.org/officeDocument/2006/relationships/image" Target="media/image210.png"/><Relationship Id="rId288" Type="http://schemas.openxmlformats.org/officeDocument/2006/relationships/image" Target="media/image211.png"/><Relationship Id="rId289" Type="http://schemas.openxmlformats.org/officeDocument/2006/relationships/image" Target="media/image212.png"/><Relationship Id="rId290" Type="http://schemas.openxmlformats.org/officeDocument/2006/relationships/image" Target="media/image213.png"/><Relationship Id="rId291" Type="http://schemas.openxmlformats.org/officeDocument/2006/relationships/image" Target="media/image214.png"/><Relationship Id="rId292" Type="http://schemas.openxmlformats.org/officeDocument/2006/relationships/image" Target="media/image215.png"/><Relationship Id="rId293" Type="http://schemas.openxmlformats.org/officeDocument/2006/relationships/image" Target="media/image216.png"/><Relationship Id="rId294" Type="http://schemas.openxmlformats.org/officeDocument/2006/relationships/image" Target="media/image217.png"/><Relationship Id="rId295" Type="http://schemas.openxmlformats.org/officeDocument/2006/relationships/image" Target="media/image218.png"/><Relationship Id="rId296" Type="http://schemas.openxmlformats.org/officeDocument/2006/relationships/image" Target="media/image219.png"/><Relationship Id="rId297" Type="http://schemas.openxmlformats.org/officeDocument/2006/relationships/image" Target="media/image220.png"/><Relationship Id="rId298" Type="http://schemas.openxmlformats.org/officeDocument/2006/relationships/image" Target="media/image221.png"/><Relationship Id="rId299" Type="http://schemas.openxmlformats.org/officeDocument/2006/relationships/image" Target="media/image222.png"/><Relationship Id="rId300" Type="http://schemas.openxmlformats.org/officeDocument/2006/relationships/image" Target="media/image223.png"/><Relationship Id="rId125" Type="http://schemas.openxmlformats.org/officeDocument/2006/relationships/hyperlink" Target="https://www.sec.gov/Archives/edgar/data/1070423/000110465916132668/a16-14925_1ex2d1.htm" TargetMode="External"/><Relationship Id="rId126" Type="http://schemas.openxmlformats.org/officeDocument/2006/relationships/hyperlink" Target="https://www.sec.gov/Archives/edgar/data/1581990/000110465921091445/tm2121936d1_ex2-1.htm" TargetMode="External"/><Relationship Id="rId127" Type="http://schemas.openxmlformats.org/officeDocument/2006/relationships/hyperlink" Target="https://www.sec.gov/Archives/edgar/data/1070423/000110465917061889/a17-22685_5ex3d1.htm" TargetMode="External"/><Relationship Id="rId128" Type="http://schemas.openxmlformats.org/officeDocument/2006/relationships/hyperlink" Target="https://www.sec.gov/Archives/edgar/data/1070423/000110465916158355/a16-21841_1ex3d3.htm" TargetMode="External"/><Relationship Id="rId129" Type="http://schemas.openxmlformats.org/officeDocument/2006/relationships/hyperlink" Target="https://www.sec.gov/Archives/edgar/data/1070423/000110465916158355/a16-21841_1ex3d4.htm" TargetMode="External"/><Relationship Id="rId130" Type="http://schemas.openxmlformats.org/officeDocument/2006/relationships/hyperlink" Target="https://www.sec.gov/Archives/edgar/data/1581990/000110465918060012/a18-36197_1ex3d1.htm" TargetMode="External"/><Relationship Id="rId131" Type="http://schemas.openxmlformats.org/officeDocument/2006/relationships/hyperlink" Target="https://www.sec.gov/Archives/edgar/data/1581990/000110465919032813/a19-10857_1ex3d1.htm" TargetMode="External"/><Relationship Id="rId132" Type="http://schemas.openxmlformats.org/officeDocument/2006/relationships/hyperlink" Target="https://www.sec.gov/Archives/edgar/data/1581990/000110465923093996/tm2324102d2_ex3-1.htm" TargetMode="External"/><Relationship Id="rId133" Type="http://schemas.openxmlformats.org/officeDocument/2006/relationships/hyperlink" Target="https://www.sec.gov/Archives/edgar/data/1070423/000095012908000071/h52770exv3w3.htm" TargetMode="External"/><Relationship Id="rId134" Type="http://schemas.openxmlformats.org/officeDocument/2006/relationships/hyperlink" Target="https://www.sec.gov/Archives/edgar/data/1581990/000104746913007875/a2216069zex-3_1.htm" TargetMode="External"/><Relationship Id="rId135" Type="http://schemas.openxmlformats.org/officeDocument/2006/relationships/hyperlink" Target="https://www.sec.gov/Archives/edgar/data/1581990/000110465916158356/a16-21845_1ex3d2.htm" TargetMode="External"/><Relationship Id="rId136" Type="http://schemas.openxmlformats.org/officeDocument/2006/relationships/hyperlink" Target="https://www.sec.gov/Archives/edgar/data/1581990/000158199020000012/exhibit31.htm" TargetMode="External"/><Relationship Id="rId138" Type="http://schemas.openxmlformats.org/officeDocument/2006/relationships/hyperlink" Target="https://www.sec.gov/Archives/edgar/data/1581990/000104746913007875/a2216069zex-3_3.htm" TargetMode="External"/><Relationship Id="rId139" Type="http://schemas.openxmlformats.org/officeDocument/2006/relationships/hyperlink" Target="https://www.sec.gov/Archives/edgar/data/1581990/000158199022000006/pagp202110-kexhibit311a.htm" TargetMode="External"/><Relationship Id="rId140" Type="http://schemas.openxmlformats.org/officeDocument/2006/relationships/hyperlink" Target="https://www.sec.gov/Archives/edgar/data/1070423/000089924302002834/dex41.txt" TargetMode="External"/><Relationship Id="rId141" Type="http://schemas.openxmlformats.org/officeDocument/2006/relationships/hyperlink" Target="https://www.sec.gov/Archives/edgar/data/1070423/000110465906034368/a06-11663_1ex4d1.htm" TargetMode="External"/><Relationship Id="rId142" Type="http://schemas.openxmlformats.org/officeDocument/2006/relationships/hyperlink" Target="https://www.sec.gov/Archives/edgar/data/1070423/000095012906009235/h40667exv4w2.htm" TargetMode="External"/><Relationship Id="rId143" Type="http://schemas.openxmlformats.org/officeDocument/2006/relationships/hyperlink" Target="https://www.sec.gov/Archives/edgar/data/1070423/000119312512132295/d321017dex43.htm" TargetMode="External"/><Relationship Id="rId144" Type="http://schemas.openxmlformats.org/officeDocument/2006/relationships/hyperlink" Target="https://www.sec.gov/Archives/edgar/data/1070423/000119312512499932/d453762dex43.htm" TargetMode="External"/><Relationship Id="rId145" Type="http://schemas.openxmlformats.org/officeDocument/2006/relationships/hyperlink" Target="https://www.sec.gov/Archives/edgar/data/1070423/000119312514164183/d713938dex41.htm" TargetMode="External"/><Relationship Id="rId146" Type="http://schemas.openxmlformats.org/officeDocument/2006/relationships/hyperlink" Target="https://www.sec.gov/Archives/edgar/data/1070423/000119312514440007/d833885dex43.htm" TargetMode="External"/><Relationship Id="rId147" Type="http://schemas.openxmlformats.org/officeDocument/2006/relationships/hyperlink" Target="https://www.sec.gov/Archives/edgar/data/1070423/000119312515302829/d45393dex41.htm" TargetMode="External"/><Relationship Id="rId148" Type="http://schemas.openxmlformats.org/officeDocument/2006/relationships/hyperlink" Target="https://www.sec.gov/Archives/edgar/data/1070423/000110465916159593/a16-22232_1ex4d1.htm" TargetMode="External"/><Relationship Id="rId149" Type="http://schemas.openxmlformats.org/officeDocument/2006/relationships/hyperlink" Target="https://www.sec.gov/Archives/edgar/data/1070423/000141057819001281/tv529555_ex4-1.htm" TargetMode="External"/><Relationship Id="rId150" Type="http://schemas.openxmlformats.org/officeDocument/2006/relationships/hyperlink" Target="https://www.sec.gov/Archives/edgar/data/1070423/000110465920072270/tm2022235d1_ex4-1.htm" TargetMode="External"/><Relationship Id="rId151" Type="http://schemas.openxmlformats.org/officeDocument/2006/relationships/hyperlink" Target="https://www.sec.gov/Archives/edgar/data/1070423/000110465924075672/tm2418387d1_ex4-1.htm" TargetMode="External"/><Relationship Id="rId152" Type="http://schemas.openxmlformats.org/officeDocument/2006/relationships/hyperlink" Target="https://www.sec.gov/Archives/edgar/data/1070423/000110465925003785/tm253436d1_ex4-1.htm" TargetMode="External"/><Relationship Id="rId154" Type="http://schemas.openxmlformats.org/officeDocument/2006/relationships/hyperlink" Target="https://www.sec.gov/Archives/edgar/data/1581990/000110465913078057/a13-22338_2ex4d1.htm" TargetMode="External"/><Relationship Id="rId155" Type="http://schemas.openxmlformats.org/officeDocument/2006/relationships/hyperlink" Target="https://www.sec.gov/Archives/edgar/data/1070423/000110465921109829/tm2125729d3_ex10-1.htm" TargetMode="External"/><Relationship Id="rId156" Type="http://schemas.openxmlformats.org/officeDocument/2006/relationships/hyperlink" Target="https://www.sec.gov/Archives/edgar/data/1070423/000110465922094478/tm2224524d1_ex10-1.htm" TargetMode="External"/><Relationship Id="rId157" Type="http://schemas.openxmlformats.org/officeDocument/2006/relationships/hyperlink" Target="https://www.sec.gov/Archives/edgar/data/1070423/000110465924092056/tm2422213d1_ex10-1.htm" TargetMode="External"/><Relationship Id="rId158" Type="http://schemas.openxmlformats.org/officeDocument/2006/relationships/hyperlink" Target="https://www.sec.gov/Archives/edgar/data/1581990/000110465921109833/tm2125730d3_ex10-2.htm" TargetMode="External"/><Relationship Id="rId159" Type="http://schemas.openxmlformats.org/officeDocument/2006/relationships/hyperlink" Target="https://www.sec.gov/Archives/edgar/data/1070423/000110465922094478/tm2224524d1_ex10-2.htm" TargetMode="External"/><Relationship Id="rId160" Type="http://schemas.openxmlformats.org/officeDocument/2006/relationships/hyperlink" Target="https://www.sec.gov/Archives/edgar/data/1070423/000110465924092056/tm2422213d1_ex10-2.htm" TargetMode="External"/><Relationship Id="rId161" Type="http://schemas.openxmlformats.org/officeDocument/2006/relationships/hyperlink" Target="https://www.sec.gov/Archives/edgar/data/1070423/000095012908000071/h52770exv10w2.htm" TargetMode="External"/><Relationship Id="rId162" Type="http://schemas.openxmlformats.org/officeDocument/2006/relationships/hyperlink" Target="https://www.sec.gov/Archives/edgar/data/1070423/000110465916158355/a16-21841_1ex10d1.htm" TargetMode="External"/><Relationship Id="rId163" Type="http://schemas.openxmlformats.org/officeDocument/2006/relationships/hyperlink" Target="https://www.sec.gov/Archives/edgar/data/1070423/000110465916158355/a16-21841_1ex10d2.htm" TargetMode="External"/><Relationship Id="rId164" Type="http://schemas.openxmlformats.org/officeDocument/2006/relationships/hyperlink" Target="https://www.sec.gov/Archives/edgar/data/1070423/000089924301501783/dex101.txt" TargetMode="External"/><Relationship Id="rId166" Type="http://schemas.openxmlformats.org/officeDocument/2006/relationships/hyperlink" Target="https://www.sec.gov/Archives/edgar/data/1070423/000104746909001897/a2190434zex-10_49.htm" TargetMode="External"/><Relationship Id="rId167" Type="http://schemas.openxmlformats.org/officeDocument/2006/relationships/hyperlink" Target="https://www.sec.gov/Archives/edgar/data/1070423/000110465911010359/a11-2319_1ex10d31.htm" TargetMode="External"/><Relationship Id="rId168" Type="http://schemas.openxmlformats.org/officeDocument/2006/relationships/hyperlink" Target="https://www.sec.gov/Archives/edgar/data/1581990/000110465913078057/a13-22338_2ex10d4.htm" TargetMode="External"/><Relationship Id="rId169" Type="http://schemas.openxmlformats.org/officeDocument/2006/relationships/hyperlink" Target="https://www.sec.gov/Archives/edgar/data/1581990/000158199018000014/pagpq32018exhibit106.htm" TargetMode="External"/><Relationship Id="rId170" Type="http://schemas.openxmlformats.org/officeDocument/2006/relationships/hyperlink" Target="https://www.sec.gov/Archives/edgar/data/1581990/000158199020000005/pagp201910-kexhibit1031.htm" TargetMode="External"/><Relationship Id="rId171" Type="http://schemas.openxmlformats.org/officeDocument/2006/relationships/hyperlink" Target="https://www.sec.gov/Archives/edgar/data/1581990/000158199022000006/pagp202110-kexhibit1012.htm" TargetMode="External"/><Relationship Id="rId172" Type="http://schemas.openxmlformats.org/officeDocument/2006/relationships/hyperlink" Target="https://www.sec.gov/Archives/edgar/data/1070423/000089924301501783/dex102.txt" TargetMode="External"/><Relationship Id="rId173" Type="http://schemas.openxmlformats.org/officeDocument/2006/relationships/hyperlink" Target="https://www.sec.gov/Archives/edgar/data/1070423/000104746909001897/a2190434zex-10_50.htm" TargetMode="External"/><Relationship Id="rId174" Type="http://schemas.openxmlformats.org/officeDocument/2006/relationships/hyperlink" Target="https://www.sec.gov/Archives/edgar/data/1581990/000158199019000013/pagpq32019exhibit101.htm" TargetMode="External"/><Relationship Id="rId175" Type="http://schemas.openxmlformats.org/officeDocument/2006/relationships/hyperlink" Target="https://www.sec.gov/Archives/edgar/data/1070423/000110465911010359/a11-2319_1ex10d32.htm" TargetMode="External"/><Relationship Id="rId176" Type="http://schemas.openxmlformats.org/officeDocument/2006/relationships/hyperlink" Target="https://www.sec.gov/Archives/edgar/data/1581990/000110465913078057/a13-22338_2ex10d5.htm" TargetMode="External"/><Relationship Id="rId177" Type="http://schemas.openxmlformats.org/officeDocument/2006/relationships/hyperlink" Target="https://www.sec.gov/Archives/edgar/data/1070423/000110465916100030/a15-24557_1ex10d53.htm" TargetMode="External"/><Relationship Id="rId178" Type="http://schemas.openxmlformats.org/officeDocument/2006/relationships/hyperlink" Target="https://www.sec.gov/Archives/edgar/data/1581990/000158199018000014/pagpq32018exhibit107.htm" TargetMode="External"/><Relationship Id="rId179" Type="http://schemas.openxmlformats.org/officeDocument/2006/relationships/hyperlink" Target="https://www.sec.gov/Archives/edgar/data/1581990/000158199018000014/pagpq32018exhibit108.htm" TargetMode="External"/><Relationship Id="rId180" Type="http://schemas.openxmlformats.org/officeDocument/2006/relationships/hyperlink" Target="https://www.sec.gov/Archives/edgar/data/0001070423/000110465921049049/tm212450-1_def14a.htm#tAPPA" TargetMode="External"/><Relationship Id="rId181" Type="http://schemas.openxmlformats.org/officeDocument/2006/relationships/hyperlink" Target="https://www.sec.gov/Archives/edgar/data/1070423/000119312513390367/d597666ddef14a.htm#rom597666_10" TargetMode="External"/><Relationship Id="rId182" Type="http://schemas.openxmlformats.org/officeDocument/2006/relationships/hyperlink" Target="https://www.sec.gov/Archives/edgar/data/1070423/000110465913093006/a13-26950_1ex4d4.htm" TargetMode="External"/><Relationship Id="rId184" Type="http://schemas.openxmlformats.org/officeDocument/2006/relationships/hyperlink" Target="https://www.sec.gov/Archives/edgar/data/1481506/000095012310047963/h72950exv10w2.htm" TargetMode="External"/><Relationship Id="rId185" Type="http://schemas.openxmlformats.org/officeDocument/2006/relationships/hyperlink" Target="https://www.sec.gov/Archives/edgar/data/1581990/000110465913078057/a13-22338_2ex10d3.htm" TargetMode="External"/><Relationship Id="rId186" Type="http://schemas.openxmlformats.org/officeDocument/2006/relationships/hyperlink" Target="https://www.sec.gov/Archives/edgar/data/1581990/000158199019000013/pagpq32019exhibit102.htm" TargetMode="External"/><Relationship Id="rId187" Type="http://schemas.openxmlformats.org/officeDocument/2006/relationships/hyperlink" Target="https://www.sec.gov/Archives/edgar/data/1581990/000158199020000034/pagpq3202010-qexhibit102.htm" TargetMode="External"/><Relationship Id="rId188" Type="http://schemas.openxmlformats.org/officeDocument/2006/relationships/hyperlink" Target="https://www.sec.gov/Archives/edgar/data/1581990/000110465913078057/a13-22338_2ex10d2.htm" TargetMode="External"/><Relationship Id="rId189" Type="http://schemas.openxmlformats.org/officeDocument/2006/relationships/hyperlink" Target="https://www.sec.gov/Archives/edgar/data/1581990/000158199021000007/pagp202010-kexhibit1054.htm" TargetMode="External"/><Relationship Id="rId190" Type="http://schemas.openxmlformats.org/officeDocument/2006/relationships/hyperlink" Target="https://www.sec.gov/Archives/edgar/data/1070423/000107042322000012/paaq12022exhibit101.htm" TargetMode="External"/><Relationship Id="rId191" Type="http://schemas.openxmlformats.org/officeDocument/2006/relationships/hyperlink" Target="https://www.sec.gov/Archives/edgar/data/1581990/000158199021000027/pagpq3202110-qexhibit103.htm" TargetMode="External"/><Relationship Id="rId192" Type="http://schemas.openxmlformats.org/officeDocument/2006/relationships/hyperlink" Target="https://www.sec.gov/Archives/edgar/data/1581990/000158199021000027/pagpq3202110-qexhibit104.htm" TargetMode="External"/><Relationship Id="rId193" Type="http://schemas.openxmlformats.org/officeDocument/2006/relationships/hyperlink" Target="https://www.sec.gov/Archives/edgar/data/1070423/000107042322000026/paaq3202210-qexhibit104.htm" TargetMode="External"/><Relationship Id="rId194" Type="http://schemas.openxmlformats.org/officeDocument/2006/relationships/hyperlink" Target="https://www.sec.gov/Archives/edgar/data/1581990/000158199023000022/pagpq32023exhibit101.htm" TargetMode="External"/><Relationship Id="rId195" Type="http://schemas.openxmlformats.org/officeDocument/2006/relationships/hyperlink" Target="https://www.sec.gov/Archives/edgar/data/1581990/000158199023000022/pagpq32023exhibit102.htm" TargetMode="External"/><Relationship Id="rId196" Type="http://schemas.openxmlformats.org/officeDocument/2006/relationships/hyperlink" Target="https://www.sec.gov/Archives/edgar/data/1070423/000107042324000027/paaq32024exhibit103.htm" TargetMode="External"/><Relationship Id="rId197" Type="http://schemas.openxmlformats.org/officeDocument/2006/relationships/hyperlink" Target="https://www.sec.gov/Archives/edgar/data/1070423/000107042324000027/paaq32024exhibit104.htm" TargetMode="External"/><Relationship Id="rId198" Type="http://schemas.openxmlformats.org/officeDocument/2006/relationships/hyperlink" Target="https://www.sec.gov/Archives/edgar/data/1581990/000158199024000008/pagp202310-k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2025-02-28T05:43:29Z</dcterms:created>
  <dcterms:modified xsi:type="dcterms:W3CDTF">2025-02-28T05:43:29Z</dcterms:modified>
</cp:coreProperties>
</file>