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349250</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306070</wp:posOffset>
            </wp:positionV>
            <wp:extent cx="67722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27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47" w:lineRule="exact"/>
        <w:rPr>
          <w:sz w:val="24"/>
          <w:szCs w:val="24"/>
          <w:color w:val="auto"/>
        </w:rPr>
      </w:pPr>
    </w:p>
    <w:p>
      <w:pPr>
        <w:ind w:left="3660" w:right="1560" w:hanging="3652"/>
        <w:spacing w:after="0" w:line="402" w:lineRule="auto"/>
        <w:tabs>
          <w:tab w:leader="none" w:pos="472"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2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233" w:right="399" w:bottom="1440" w:gutter="0" w:footer="0" w:header="0"/>
        </w:sectPr>
      </w:pPr>
    </w:p>
    <w:p>
      <w:pPr>
        <w:spacing w:after="0" w:line="30"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4" w:lineRule="exact"/>
        <w:rPr>
          <w:sz w:val="24"/>
          <w:szCs w:val="24"/>
          <w:color w:val="auto"/>
        </w:rPr>
      </w:pPr>
    </w:p>
    <w:p>
      <w:pPr>
        <w:sectPr>
          <w:pgSz w:w="11900" w:h="16838" w:orient="portrait"/>
          <w:cols w:equalWidth="0" w:num="2">
            <w:col w:w="7240" w:space="720"/>
            <w:col w:w="3220"/>
          </w:cols>
          <w:pgMar w:left="320" w:top="233" w:right="39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480" w:space="720"/>
            <w:col w:w="3980"/>
          </w:cols>
          <w:pgMar w:left="320" w:top="233" w:right="399" w:bottom="1440" w:gutter="0" w:footer="0" w:header="0"/>
          <w:type w:val="continuous"/>
        </w:sectPr>
      </w:pPr>
    </w:p>
    <w:p>
      <w:pPr>
        <w:spacing w:after="0" w:line="14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47"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310" w:type="dxa"/>
        <w:tblCellMar>
          <w:top w:w="0" w:type="dxa"/>
          <w:left w:w="0" w:type="dxa"/>
          <w:bottom w:w="0" w:type="dxa"/>
          <w:right w:w="0" w:type="dxa"/>
        </w:tblCellMar>
      </w:tblPr>
      <w:tr>
        <w:trPr>
          <w:trHeight w:val="243"/>
        </w:trPr>
        <w:tc>
          <w:tcPr>
            <w:tcW w:w="3580" w:type="dxa"/>
            <w:vAlign w:val="bottom"/>
            <w:tcBorders>
              <w:top w:val="single" w:sz="8" w:color="auto"/>
              <w:left w:val="single" w:sz="8" w:color="auto"/>
              <w:bottom w:val="single" w:sz="8" w:color="auto"/>
              <w:right w:val="single" w:sz="8" w:color="auto"/>
            </w:tcBorders>
          </w:tcPr>
          <w:p>
            <w:pPr>
              <w:jc w:val="center"/>
              <w:ind w:left="230"/>
              <w:spacing w:after="0"/>
              <w:rPr>
                <w:sz w:val="20"/>
                <w:szCs w:val="20"/>
                <w:color w:val="auto"/>
              </w:rPr>
            </w:pPr>
            <w:r>
              <w:rPr>
                <w:rFonts w:ascii="Arial" w:cs="Arial" w:eastAsia="Arial" w:hAnsi="Arial"/>
                <w:sz w:val="18"/>
                <w:szCs w:val="18"/>
                <w:color w:val="auto"/>
                <w:w w:val="90"/>
              </w:rPr>
              <w:t>Title of each class</w:t>
            </w:r>
          </w:p>
        </w:tc>
        <w:tc>
          <w:tcPr>
            <w:tcW w:w="2720" w:type="dxa"/>
            <w:vAlign w:val="bottom"/>
            <w:tcBorders>
              <w:top w:val="single" w:sz="8" w:color="auto"/>
              <w:bottom w:val="single" w:sz="8" w:color="auto"/>
              <w:right w:val="single" w:sz="8" w:color="auto"/>
            </w:tcBorders>
          </w:tcPr>
          <w:p>
            <w:pPr>
              <w:jc w:val="center"/>
              <w:ind w:left="190"/>
              <w:spacing w:after="0"/>
              <w:rPr>
                <w:sz w:val="20"/>
                <w:szCs w:val="20"/>
                <w:color w:val="auto"/>
              </w:rPr>
            </w:pPr>
            <w:r>
              <w:rPr>
                <w:rFonts w:ascii="Arial" w:cs="Arial" w:eastAsia="Arial" w:hAnsi="Arial"/>
                <w:sz w:val="18"/>
                <w:szCs w:val="18"/>
                <w:color w:val="auto"/>
                <w:w w:val="92"/>
              </w:rPr>
              <w:t>Trading Symbol(s)</w:t>
            </w:r>
          </w:p>
        </w:tc>
        <w:tc>
          <w:tcPr>
            <w:tcW w:w="4380" w:type="dxa"/>
            <w:vAlign w:val="bottom"/>
            <w:tcBorders>
              <w:top w:val="single" w:sz="8" w:color="auto"/>
              <w:bottom w:val="single" w:sz="8" w:color="auto"/>
              <w:right w:val="single" w:sz="8" w:color="auto"/>
            </w:tcBorders>
          </w:tcPr>
          <w:p>
            <w:pPr>
              <w:jc w:val="center"/>
              <w:ind w:left="190"/>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580" w:type="dxa"/>
            <w:vAlign w:val="bottom"/>
            <w:tcBorders>
              <w:left w:val="single" w:sz="8" w:color="auto"/>
              <w:bottom w:val="single" w:sz="8" w:color="auto"/>
              <w:right w:val="single" w:sz="8" w:color="auto"/>
            </w:tcBorders>
          </w:tcPr>
          <w:p>
            <w:pPr>
              <w:jc w:val="center"/>
              <w:ind w:left="210"/>
              <w:spacing w:after="0"/>
              <w:rPr>
                <w:sz w:val="20"/>
                <w:szCs w:val="20"/>
                <w:color w:val="auto"/>
              </w:rPr>
            </w:pPr>
            <w:r>
              <w:rPr>
                <w:rFonts w:ascii="Arial" w:cs="Arial" w:eastAsia="Arial" w:hAnsi="Arial"/>
                <w:sz w:val="18"/>
                <w:szCs w:val="18"/>
                <w:color w:val="auto"/>
                <w:w w:val="87"/>
              </w:rPr>
              <w:t>Class A Shares</w:t>
            </w:r>
          </w:p>
        </w:tc>
        <w:tc>
          <w:tcPr>
            <w:tcW w:w="2720" w:type="dxa"/>
            <w:vAlign w:val="bottom"/>
            <w:tcBorders>
              <w:bottom w:val="single" w:sz="8" w:color="auto"/>
              <w:right w:val="single" w:sz="8" w:color="auto"/>
            </w:tcBorders>
          </w:tcPr>
          <w:p>
            <w:pPr>
              <w:jc w:val="center"/>
              <w:ind w:left="190"/>
              <w:spacing w:after="0"/>
              <w:rPr>
                <w:sz w:val="20"/>
                <w:szCs w:val="20"/>
                <w:color w:val="auto"/>
              </w:rPr>
            </w:pPr>
            <w:r>
              <w:rPr>
                <w:rFonts w:ascii="Arial" w:cs="Arial" w:eastAsia="Arial" w:hAnsi="Arial"/>
                <w:sz w:val="18"/>
                <w:szCs w:val="18"/>
                <w:color w:val="auto"/>
                <w:w w:val="87"/>
              </w:rPr>
              <w:t>PAGP</w:t>
            </w:r>
          </w:p>
        </w:tc>
        <w:tc>
          <w:tcPr>
            <w:tcW w:w="4380" w:type="dxa"/>
            <w:vAlign w:val="bottom"/>
            <w:tcBorders>
              <w:bottom w:val="single" w:sz="8" w:color="auto"/>
              <w:right w:val="single" w:sz="8" w:color="auto"/>
            </w:tcBorders>
          </w:tcPr>
          <w:p>
            <w:pPr>
              <w:jc w:val="center"/>
              <w:ind w:left="190"/>
              <w:spacing w:after="0"/>
              <w:rPr>
                <w:sz w:val="20"/>
                <w:szCs w:val="20"/>
                <w:color w:val="auto"/>
              </w:rPr>
            </w:pPr>
            <w:r>
              <w:rPr>
                <w:rFonts w:ascii="Arial" w:cs="Arial" w:eastAsia="Arial" w:hAnsi="Arial"/>
                <w:sz w:val="18"/>
                <w:szCs w:val="18"/>
                <w:color w:val="auto"/>
                <w:w w:val="86"/>
              </w:rPr>
              <w:t>Nasdaq</w:t>
            </w:r>
          </w:p>
        </w:tc>
      </w:tr>
    </w:tbl>
    <w:p>
      <w:pPr>
        <w:spacing w:after="0" w:line="323" w:lineRule="exact"/>
        <w:rPr>
          <w:sz w:val="24"/>
          <w:szCs w:val="24"/>
          <w:color w:val="auto"/>
        </w:rPr>
      </w:pPr>
    </w:p>
    <w:p>
      <w:pPr>
        <w:ind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ind w:right="120" w:firstLine="369"/>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9"/>
          <w:szCs w:val="19"/>
          <w:color w:val="auto"/>
        </w:rPr>
        <w:t>☑</w:t>
      </w:r>
      <w:r>
        <w:rPr>
          <w:rFonts w:ascii="Arial" w:cs="Arial" w:eastAsia="Arial" w:hAnsi="Arial"/>
          <w:sz w:val="16"/>
          <w:szCs w:val="16"/>
          <w:color w:val="auto"/>
        </w:rPr>
        <w:t xml:space="preserve"> Yes </w:t>
      </w: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pacing w:after="0" w:line="61" w:lineRule="exact"/>
        <w:rPr>
          <w:sz w:val="24"/>
          <w:szCs w:val="24"/>
          <w:color w:val="auto"/>
        </w:rPr>
      </w:pPr>
    </w:p>
    <w:p>
      <w:pPr>
        <w:ind w:right="140" w:firstLine="324"/>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760" w:type="dxa"/>
        <w:tblCellMar>
          <w:top w:w="0" w:type="dxa"/>
          <w:left w:w="0" w:type="dxa"/>
          <w:bottom w:w="0" w:type="dxa"/>
          <w:right w:w="0" w:type="dxa"/>
        </w:tblCellMar>
      </w:tblPr>
      <w:tr>
        <w:trPr>
          <w:trHeight w:val="249"/>
        </w:trPr>
        <w:tc>
          <w:tcPr>
            <w:tcW w:w="1780" w:type="dxa"/>
            <w:vAlign w:val="bottom"/>
          </w:tcPr>
          <w:p>
            <w:pPr>
              <w:jc w:val="right"/>
              <w:ind w:right="90"/>
              <w:spacing w:after="0"/>
              <w:rPr>
                <w:sz w:val="20"/>
                <w:szCs w:val="20"/>
                <w:color w:val="auto"/>
              </w:rPr>
            </w:pPr>
            <w:r>
              <w:rPr>
                <w:rFonts w:ascii="Arial" w:cs="Arial" w:eastAsia="Arial" w:hAnsi="Arial"/>
                <w:sz w:val="18"/>
                <w:szCs w:val="18"/>
                <w:color w:val="auto"/>
                <w:w w:val="88"/>
              </w:rPr>
              <w:t>Large accelerated filer</w:t>
            </w:r>
          </w:p>
        </w:tc>
        <w:tc>
          <w:tcPr>
            <w:tcW w:w="208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3860" w:type="dxa"/>
            <w:vAlign w:val="bottom"/>
          </w:tcPr>
          <w:p>
            <w:pPr>
              <w:jc w:val="right"/>
              <w:ind w:right="9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70"/>
        </w:trPr>
        <w:tc>
          <w:tcPr>
            <w:tcW w:w="1780" w:type="dxa"/>
            <w:vAlign w:val="bottom"/>
          </w:tcPr>
          <w:p>
            <w:pPr>
              <w:jc w:val="right"/>
              <w:ind w:right="90"/>
              <w:spacing w:after="0"/>
              <w:rPr>
                <w:sz w:val="20"/>
                <w:szCs w:val="20"/>
                <w:color w:val="auto"/>
              </w:rPr>
            </w:pPr>
            <w:r>
              <w:rPr>
                <w:rFonts w:ascii="Arial" w:cs="Arial" w:eastAsia="Arial" w:hAnsi="Arial"/>
                <w:sz w:val="18"/>
                <w:szCs w:val="18"/>
                <w:color w:val="auto"/>
                <w:w w:val="95"/>
              </w:rPr>
              <w:t>Non-accelerated filer</w:t>
            </w:r>
          </w:p>
        </w:tc>
        <w:tc>
          <w:tcPr>
            <w:tcW w:w="208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3860" w:type="dxa"/>
            <w:vAlign w:val="bottom"/>
          </w:tcPr>
          <w:p>
            <w:pPr>
              <w:jc w:val="right"/>
              <w:ind w:right="9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8"/>
        </w:trPr>
        <w:tc>
          <w:tcPr>
            <w:tcW w:w="1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860" w:type="dxa"/>
            <w:vAlign w:val="bottom"/>
          </w:tcPr>
          <w:p>
            <w:pPr>
              <w:jc w:val="right"/>
              <w:ind w:right="9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68" w:lineRule="exact"/>
        <w:rPr>
          <w:sz w:val="24"/>
          <w:szCs w:val="24"/>
          <w:color w:val="auto"/>
        </w:rPr>
      </w:pPr>
    </w:p>
    <w:p>
      <w:pPr>
        <w:ind w:right="100" w:firstLine="351"/>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7" w:lineRule="exact"/>
        <w:rPr>
          <w:sz w:val="24"/>
          <w:szCs w:val="24"/>
          <w:color w:val="auto"/>
        </w:rPr>
      </w:pPr>
    </w:p>
    <w:p>
      <w:pPr>
        <w:ind w:left="340" w:right="156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October 29, 2021, there were 194,142,415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67722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67722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10200" w:type="dxa"/>
            <w:vAlign w:val="bottom"/>
            <w:gridSpan w:val="30"/>
          </w:tcPr>
          <w:p>
            <w:pPr>
              <w:spacing w:after="0" w:line="176"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0000FF"/>
            </w:tcBorders>
            <w:gridSpan w:val="20"/>
          </w:tcPr>
          <w:p>
            <w:pPr>
              <w:spacing w:after="0"/>
              <w:rPr>
                <w:rFonts w:ascii="Arial" w:cs="Arial" w:eastAsia="Arial" w:hAnsi="Arial"/>
                <w:sz w:val="18"/>
                <w:szCs w:val="18"/>
                <w:color w:val="0000FF"/>
                <w:w w:val="96"/>
              </w:rPr>
            </w:pPr>
            <w:hyperlink w:anchor="page3">
              <w:r>
                <w:rPr>
                  <w:rFonts w:ascii="Arial" w:cs="Arial" w:eastAsia="Arial" w:hAnsi="Arial"/>
                  <w:sz w:val="18"/>
                  <w:szCs w:val="18"/>
                  <w:color w:val="0000FF"/>
                  <w:w w:val="96"/>
                </w:rPr>
                <w:t>Item 1. UNAUDITED CONDENSED CONSOLIDATED FINANCIAL STATEMENTS:</w:t>
              </w:r>
            </w:hyperlink>
          </w:p>
        </w:tc>
        <w:tc>
          <w:tcPr>
            <w:tcW w:w="3780" w:type="dxa"/>
            <w:vAlign w:val="bottom"/>
            <w:gridSpan w:val="10"/>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September 30, 2021 and December 31, 2020</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For the three and nine months ended September 30, 2021 and 2020</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9"/>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Comprehensive Income/(Loss): For the three and nine months ended September 30, 2021 and 2020</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00" w:type="dxa"/>
            <w:vAlign w:val="bottom"/>
            <w:gridSpan w:val="28"/>
          </w:tcPr>
          <w:p>
            <w:pPr>
              <w:spacing w:after="0"/>
              <w:rPr>
                <w:rFonts w:ascii="Arial" w:cs="Arial" w:eastAsia="Arial" w:hAnsi="Arial"/>
                <w:sz w:val="18"/>
                <w:szCs w:val="18"/>
                <w:color w:val="0000FF"/>
                <w:w w:val="95"/>
              </w:rPr>
            </w:pPr>
            <w:hyperlink w:anchor="page5">
              <w:r>
                <w:rPr>
                  <w:rFonts w:ascii="Arial" w:cs="Arial" w:eastAsia="Arial" w:hAnsi="Arial"/>
                  <w:sz w:val="18"/>
                  <w:szCs w:val="18"/>
                  <w:color w:val="0000FF"/>
                  <w:w w:val="95"/>
                </w:rPr>
                <w:t>Condensed Consolidated Statements of Changes in Accumulated Other Comprehensive Income/(Loss): For the nine months ended</w:t>
              </w:r>
            </w:hyperlink>
          </w:p>
        </w:tc>
        <w:tc>
          <w:tcPr>
            <w:tcW w:w="60" w:type="dxa"/>
            <w:vAlign w:val="bottom"/>
          </w:tcPr>
          <w:p>
            <w:pPr>
              <w:spacing w:after="0"/>
              <w:rPr>
                <w:sz w:val="18"/>
                <w:szCs w:val="18"/>
                <w:color w:val="auto"/>
              </w:rPr>
            </w:pPr>
          </w:p>
        </w:tc>
        <w:tc>
          <w:tcPr>
            <w:tcW w:w="102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92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September 30, 2021 and 2020</w:t>
              </w:r>
            </w:hyperlink>
          </w:p>
        </w:tc>
        <w:tc>
          <w:tcPr>
            <w:tcW w:w="44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7920" w:type="dxa"/>
            <w:vAlign w:val="bottom"/>
            <w:gridSpan w:val="23"/>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Cash Flows: For the nine months ended September 30, 2021 and 2020</w:t>
              </w:r>
            </w:hyperlink>
          </w:p>
        </w:tc>
        <w:tc>
          <w:tcPr>
            <w:tcW w:w="2140" w:type="dxa"/>
            <w:vAlign w:val="bottom"/>
            <w:gridSpan w:val="6"/>
          </w:tcPr>
          <w:p>
            <w:pPr>
              <w:spacing w:after="0"/>
              <w:rPr>
                <w:sz w:val="18"/>
                <w:szCs w:val="18"/>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29"/>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Condensed Consolidated Statements of Changes in Partners’ Capital: For the three and nine months ended September 30, 2021 and 2020</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9840" w:type="dxa"/>
            <w:vAlign w:val="bottom"/>
            <w:tcBorders>
              <w:top w:val="single" w:sz="8" w:color="0000FF"/>
            </w:tcBorders>
            <w:gridSpan w:val="2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the Condensed Consolidated Financial Statements:</w:t>
              </w:r>
            </w:hyperlink>
          </w:p>
        </w:tc>
        <w:tc>
          <w:tcPr>
            <w:tcW w:w="22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1.</w:t>
              </w:r>
            </w:hyperlink>
          </w:p>
        </w:tc>
        <w:tc>
          <w:tcPr>
            <w:tcW w:w="4200" w:type="dxa"/>
            <w:vAlign w:val="bottom"/>
            <w:gridSpan w:val="15"/>
          </w:tcPr>
          <w:p>
            <w:pPr>
              <w:ind w:left="20"/>
              <w:spacing w:after="0"/>
              <w:rPr>
                <w:rFonts w:ascii="Arial" w:cs="Arial" w:eastAsia="Arial" w:hAnsi="Arial"/>
                <w:sz w:val="18"/>
                <w:szCs w:val="18"/>
                <w:color w:val="0000FF"/>
                <w:w w:val="90"/>
              </w:rPr>
            </w:pPr>
            <w:hyperlink w:anchor="page9">
              <w:r>
                <w:rPr>
                  <w:rFonts w:ascii="Arial" w:cs="Arial" w:eastAsia="Arial" w:hAnsi="Arial"/>
                  <w:sz w:val="18"/>
                  <w:szCs w:val="18"/>
                  <w:color w:val="0000FF"/>
                  <w:w w:val="90"/>
                </w:rPr>
                <w:t>Organization and Basis of Consolidation and Presentation</w:t>
              </w:r>
            </w:hyperlink>
          </w:p>
        </w:tc>
        <w:tc>
          <w:tcPr>
            <w:tcW w:w="5520" w:type="dxa"/>
            <w:vAlign w:val="bottom"/>
            <w:gridSpan w:val="12"/>
          </w:tcPr>
          <w:p>
            <w:pPr>
              <w:spacing w:after="0"/>
              <w:rPr>
                <w:sz w:val="18"/>
                <w:szCs w:val="18"/>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2.</w:t>
              </w:r>
            </w:hyperlink>
          </w:p>
        </w:tc>
        <w:tc>
          <w:tcPr>
            <w:tcW w:w="3260" w:type="dxa"/>
            <w:vAlign w:val="bottom"/>
            <w:gridSpan w:val="11"/>
          </w:tcPr>
          <w:p>
            <w:pPr>
              <w:ind w:left="20"/>
              <w:spacing w:after="0"/>
              <w:rPr>
                <w:rFonts w:ascii="Arial" w:cs="Arial" w:eastAsia="Arial" w:hAnsi="Arial"/>
                <w:sz w:val="18"/>
                <w:szCs w:val="18"/>
                <w:color w:val="0000FF"/>
                <w:w w:val="93"/>
              </w:rPr>
            </w:pPr>
            <w:hyperlink w:anchor="page11">
              <w:r>
                <w:rPr>
                  <w:rFonts w:ascii="Arial" w:cs="Arial" w:eastAsia="Arial" w:hAnsi="Arial"/>
                  <w:sz w:val="18"/>
                  <w:szCs w:val="18"/>
                  <w:color w:val="0000FF"/>
                  <w:w w:val="93"/>
                </w:rPr>
                <w:t>Summary of Significant Accounting Policies</w:t>
              </w:r>
            </w:hyperlink>
          </w:p>
        </w:tc>
        <w:tc>
          <w:tcPr>
            <w:tcW w:w="940" w:type="dxa"/>
            <w:vAlign w:val="bottom"/>
            <w:gridSpan w:val="4"/>
          </w:tcPr>
          <w:p>
            <w:pPr>
              <w:spacing w:after="0"/>
              <w:rPr>
                <w:sz w:val="18"/>
                <w:szCs w:val="18"/>
                <w:color w:val="auto"/>
              </w:rPr>
            </w:pPr>
          </w:p>
        </w:tc>
        <w:tc>
          <w:tcPr>
            <w:tcW w:w="5520" w:type="dxa"/>
            <w:vAlign w:val="bottom"/>
            <w:gridSpan w:val="12"/>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11</w:t>
              </w:r>
            </w:hyperlink>
          </w:p>
        </w:tc>
        <w:tc>
          <w:tcPr>
            <w:tcW w:w="0" w:type="dxa"/>
            <w:vAlign w:val="bottom"/>
          </w:tcPr>
          <w:p>
            <w:pPr>
              <w:spacing w:after="0"/>
              <w:rPr>
                <w:sz w:val="1"/>
                <w:szCs w:val="1"/>
                <w:color w:val="auto"/>
              </w:rPr>
            </w:pPr>
          </w:p>
        </w:tc>
      </w:tr>
      <w:tr>
        <w:trPr>
          <w:trHeight w:val="210"/>
        </w:trPr>
        <w:tc>
          <w:tcPr>
            <w:tcW w:w="320" w:type="dxa"/>
            <w:vAlign w:val="bottom"/>
            <w:gridSpan w:val="2"/>
          </w:tcPr>
          <w:p>
            <w:pPr>
              <w:spacing w:after="0"/>
              <w:rPr>
                <w:sz w:val="18"/>
                <w:szCs w:val="18"/>
                <w:color w:val="auto"/>
              </w:rPr>
            </w:pPr>
          </w:p>
        </w:tc>
        <w:tc>
          <w:tcPr>
            <w:tcW w:w="160" w:type="dxa"/>
            <w:vAlign w:val="bottom"/>
            <w:tcBorders>
              <w:top w:val="single" w:sz="8" w:color="0000FF"/>
            </w:tcBorders>
          </w:tcPr>
          <w:p>
            <w:pPr>
              <w:ind w:left="20"/>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3.</w:t>
              </w:r>
            </w:hyperlink>
          </w:p>
        </w:tc>
        <w:tc>
          <w:tcPr>
            <w:tcW w:w="3260" w:type="dxa"/>
            <w:vAlign w:val="bottom"/>
            <w:tcBorders>
              <w:top w:val="single" w:sz="8" w:color="0000FF"/>
            </w:tcBorders>
            <w:gridSpan w:val="11"/>
          </w:tcPr>
          <w:p>
            <w:pPr>
              <w:ind w:left="20"/>
              <w:spacing w:after="0"/>
              <w:rPr>
                <w:rFonts w:ascii="Arial" w:cs="Arial" w:eastAsia="Arial" w:hAnsi="Arial"/>
                <w:sz w:val="18"/>
                <w:szCs w:val="18"/>
                <w:color w:val="0000FF"/>
              </w:rPr>
            </w:pPr>
            <w:hyperlink w:anchor="page12">
              <w:r>
                <w:rPr>
                  <w:rFonts w:ascii="Arial" w:cs="Arial" w:eastAsia="Arial" w:hAnsi="Arial"/>
                  <w:sz w:val="18"/>
                  <w:szCs w:val="18"/>
                  <w:color w:val="0000FF"/>
                </w:rPr>
                <w:t>Revenues and Accounts Receivable</w:t>
              </w:r>
            </w:hyperlink>
          </w:p>
        </w:tc>
        <w:tc>
          <w:tcPr>
            <w:tcW w:w="6460" w:type="dxa"/>
            <w:vAlign w:val="bottom"/>
            <w:gridSpan w:val="1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13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4.</w:t>
              </w:r>
            </w:hyperlink>
          </w:p>
        </w:tc>
        <w:tc>
          <w:tcPr>
            <w:tcW w:w="9720" w:type="dxa"/>
            <w:vAlign w:val="bottom"/>
            <w:gridSpan w:val="27"/>
          </w:tcPr>
          <w:p>
            <w:pPr>
              <w:ind w:left="20"/>
              <w:spacing w:after="0"/>
              <w:rPr>
                <w:rFonts w:ascii="Arial" w:cs="Arial" w:eastAsia="Arial" w:hAnsi="Arial"/>
                <w:sz w:val="18"/>
                <w:szCs w:val="18"/>
                <w:color w:val="0000FF"/>
              </w:rPr>
            </w:pPr>
            <w:hyperlink w:anchor="page17">
              <w:r>
                <w:rPr>
                  <w:rFonts w:ascii="Arial" w:cs="Arial" w:eastAsia="Arial" w:hAnsi="Arial"/>
                  <w:sz w:val="18"/>
                  <w:szCs w:val="18"/>
                  <w:color w:val="0000FF"/>
                </w:rPr>
                <w:t>Net Income/(Loss) Per Class A Share</w:t>
              </w:r>
            </w:hyperlink>
          </w:p>
        </w:tc>
        <w:tc>
          <w:tcPr>
            <w:tcW w:w="100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5.</w:t>
              </w:r>
            </w:hyperlink>
          </w:p>
        </w:tc>
        <w:tc>
          <w:tcPr>
            <w:tcW w:w="4240" w:type="dxa"/>
            <w:vAlign w:val="bottom"/>
            <w:tcBorders>
              <w:bottom w:val="single" w:sz="8" w:color="0000FF"/>
            </w:tcBorders>
            <w:gridSpan w:val="16"/>
          </w:tcPr>
          <w:p>
            <w:pPr>
              <w:ind w:left="20"/>
              <w:spacing w:after="0"/>
              <w:rPr>
                <w:rFonts w:ascii="Arial" w:cs="Arial" w:eastAsia="Arial" w:hAnsi="Arial"/>
                <w:sz w:val="18"/>
                <w:szCs w:val="18"/>
                <w:color w:val="0000FF"/>
                <w:w w:val="92"/>
              </w:rPr>
            </w:pPr>
            <w:hyperlink w:anchor="page18">
              <w:r>
                <w:rPr>
                  <w:rFonts w:ascii="Arial" w:cs="Arial" w:eastAsia="Arial" w:hAnsi="Arial"/>
                  <w:sz w:val="18"/>
                  <w:szCs w:val="18"/>
                  <w:color w:val="0000FF"/>
                  <w:w w:val="92"/>
                </w:rPr>
                <w:t>Inventory, Linefill and Base Gas and Long-term Inventory</w:t>
              </w:r>
            </w:hyperlink>
          </w:p>
        </w:tc>
        <w:tc>
          <w:tcPr>
            <w:tcW w:w="5480" w:type="dxa"/>
            <w:vAlign w:val="bottom"/>
            <w:gridSpan w:val="11"/>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6.</w:t>
              </w:r>
            </w:hyperlink>
          </w:p>
        </w:tc>
        <w:tc>
          <w:tcPr>
            <w:tcW w:w="380" w:type="dxa"/>
            <w:vAlign w:val="bottom"/>
            <w:tcBorders>
              <w:bottom w:val="single" w:sz="8" w:color="0000FF"/>
            </w:tcBorders>
          </w:tcPr>
          <w:p>
            <w:pPr>
              <w:ind w:left="20"/>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Debt</w:t>
              </w:r>
            </w:hyperlink>
          </w:p>
        </w:tc>
        <w:tc>
          <w:tcPr>
            <w:tcW w:w="9340" w:type="dxa"/>
            <w:vAlign w:val="bottom"/>
            <w:gridSpan w:val="2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7.</w:t>
              </w:r>
            </w:hyperlink>
          </w:p>
        </w:tc>
        <w:tc>
          <w:tcPr>
            <w:tcW w:w="2580" w:type="dxa"/>
            <w:vAlign w:val="bottom"/>
            <w:tcBorders>
              <w:bottom w:val="single" w:sz="8" w:color="0000FF"/>
            </w:tcBorders>
            <w:gridSpan w:val="9"/>
          </w:tcPr>
          <w:p>
            <w:pPr>
              <w:ind w:left="20"/>
              <w:spacing w:after="0"/>
              <w:rPr>
                <w:rFonts w:ascii="Arial" w:cs="Arial" w:eastAsia="Arial" w:hAnsi="Arial"/>
                <w:sz w:val="18"/>
                <w:szCs w:val="18"/>
                <w:color w:val="0000FF"/>
                <w:w w:val="92"/>
              </w:rPr>
            </w:pPr>
            <w:hyperlink w:anchor="page20">
              <w:r>
                <w:rPr>
                  <w:rFonts w:ascii="Arial" w:cs="Arial" w:eastAsia="Arial" w:hAnsi="Arial"/>
                  <w:sz w:val="18"/>
                  <w:szCs w:val="18"/>
                  <w:color w:val="0000FF"/>
                  <w:w w:val="92"/>
                </w:rPr>
                <w:t>Partners’ Capital and Distributions</w:t>
              </w:r>
            </w:hyperlink>
          </w:p>
        </w:tc>
        <w:tc>
          <w:tcPr>
            <w:tcW w:w="7140" w:type="dxa"/>
            <w:vAlign w:val="bottom"/>
            <w:gridSpan w:val="1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8.</w:t>
              </w:r>
            </w:hyperlink>
          </w:p>
        </w:tc>
        <w:tc>
          <w:tcPr>
            <w:tcW w:w="3280" w:type="dxa"/>
            <w:vAlign w:val="bottom"/>
            <w:tcBorders>
              <w:bottom w:val="single" w:sz="8" w:color="0000FF"/>
            </w:tcBorders>
            <w:gridSpan w:val="12"/>
          </w:tcPr>
          <w:p>
            <w:pPr>
              <w:ind w:left="20"/>
              <w:spacing w:after="0"/>
              <w:rPr>
                <w:rFonts w:ascii="Arial" w:cs="Arial" w:eastAsia="Arial" w:hAnsi="Arial"/>
                <w:sz w:val="18"/>
                <w:szCs w:val="18"/>
                <w:color w:val="0000FF"/>
                <w:w w:val="92"/>
              </w:rPr>
            </w:pPr>
            <w:hyperlink w:anchor="page23">
              <w:r>
                <w:rPr>
                  <w:rFonts w:ascii="Arial" w:cs="Arial" w:eastAsia="Arial" w:hAnsi="Arial"/>
                  <w:sz w:val="18"/>
                  <w:szCs w:val="18"/>
                  <w:color w:val="0000FF"/>
                  <w:w w:val="92"/>
                </w:rPr>
                <w:t>Derivatives and Risk Management Activities</w:t>
              </w:r>
            </w:hyperlink>
          </w:p>
        </w:tc>
        <w:tc>
          <w:tcPr>
            <w:tcW w:w="6440" w:type="dxa"/>
            <w:vAlign w:val="bottom"/>
            <w:gridSpan w:val="1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9.</w:t>
              </w:r>
            </w:hyperlink>
          </w:p>
        </w:tc>
        <w:tc>
          <w:tcPr>
            <w:tcW w:w="9720" w:type="dxa"/>
            <w:vAlign w:val="bottom"/>
            <w:gridSpan w:val="27"/>
          </w:tcPr>
          <w:p>
            <w:pPr>
              <w:ind w:left="20"/>
              <w:spacing w:after="0"/>
              <w:rPr>
                <w:rFonts w:ascii="Arial" w:cs="Arial" w:eastAsia="Arial" w:hAnsi="Arial"/>
                <w:sz w:val="18"/>
                <w:szCs w:val="18"/>
                <w:color w:val="0000FF"/>
              </w:rPr>
            </w:pPr>
            <w:hyperlink w:anchor="page29">
              <w:r>
                <w:rPr>
                  <w:rFonts w:ascii="Arial" w:cs="Arial" w:eastAsia="Arial" w:hAnsi="Arial"/>
                  <w:sz w:val="18"/>
                  <w:szCs w:val="18"/>
                  <w:color w:val="0000FF"/>
                </w:rPr>
                <w:t>Related Party Transactions</w:t>
              </w:r>
            </w:hyperlink>
          </w:p>
        </w:tc>
        <w:tc>
          <w:tcPr>
            <w:tcW w:w="100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tcBorders>
              <w:bottom w:val="single" w:sz="8" w:color="0000FF"/>
            </w:tcBorders>
            <w:gridSpan w:val="9"/>
          </w:tcPr>
          <w:p>
            <w:pPr>
              <w:ind w:left="20"/>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10. Commitments and Contingencies</w:t>
              </w:r>
            </w:hyperlink>
          </w:p>
        </w:tc>
        <w:tc>
          <w:tcPr>
            <w:tcW w:w="7200" w:type="dxa"/>
            <w:vAlign w:val="bottom"/>
            <w:gridSpan w:val="1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30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Borders>
              <w:bottom w:val="single" w:sz="8" w:color="0000FF"/>
            </w:tcBorders>
            <w:gridSpan w:val="6"/>
          </w:tcPr>
          <w:p>
            <w:pPr>
              <w:ind w:left="20"/>
              <w:spacing w:after="0"/>
              <w:rPr>
                <w:rFonts w:ascii="Arial" w:cs="Arial" w:eastAsia="Arial" w:hAnsi="Arial"/>
                <w:sz w:val="18"/>
                <w:szCs w:val="18"/>
                <w:color w:val="0000FF"/>
                <w:w w:val="87"/>
              </w:rPr>
            </w:pPr>
            <w:hyperlink w:anchor="page33">
              <w:r>
                <w:rPr>
                  <w:rFonts w:ascii="Arial" w:cs="Arial" w:eastAsia="Arial" w:hAnsi="Arial"/>
                  <w:sz w:val="18"/>
                  <w:szCs w:val="18"/>
                  <w:color w:val="0000FF"/>
                  <w:w w:val="87"/>
                </w:rPr>
                <w:t>11. Operating Segments</w:t>
              </w:r>
            </w:hyperlink>
          </w:p>
        </w:tc>
        <w:tc>
          <w:tcPr>
            <w:tcW w:w="8140" w:type="dxa"/>
            <w:vAlign w:val="bottom"/>
            <w:gridSpan w:val="22"/>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80" w:type="dxa"/>
            <w:vAlign w:val="bottom"/>
            <w:gridSpan w:val="28"/>
          </w:tcPr>
          <w:p>
            <w:pPr>
              <w:ind w:left="20"/>
              <w:spacing w:after="0"/>
              <w:rPr>
                <w:rFonts w:ascii="Arial" w:cs="Arial" w:eastAsia="Arial" w:hAnsi="Arial"/>
                <w:sz w:val="18"/>
                <w:szCs w:val="18"/>
                <w:color w:val="0000FF"/>
              </w:rPr>
            </w:pPr>
            <w:hyperlink w:anchor="page37">
              <w:r>
                <w:rPr>
                  <w:rFonts w:ascii="Arial" w:cs="Arial" w:eastAsia="Arial" w:hAnsi="Arial"/>
                  <w:sz w:val="18"/>
                  <w:szCs w:val="18"/>
                  <w:color w:val="0000FF"/>
                </w:rPr>
                <w:t>12. Acquisitions, Divestitures and Other Transactions</w:t>
              </w:r>
            </w:hyperlink>
          </w:p>
        </w:tc>
        <w:tc>
          <w:tcPr>
            <w:tcW w:w="1000" w:type="dxa"/>
            <w:vAlign w:val="bottom"/>
            <w:gridSpan w:val="3"/>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80" w:type="dxa"/>
            <w:vAlign w:val="bottom"/>
            <w:tcBorders>
              <w:bottom w:val="single" w:sz="8" w:color="0000FF"/>
            </w:tcBorders>
            <w:gridSpan w:val="26"/>
          </w:tcPr>
          <w:p>
            <w:pPr>
              <w:spacing w:after="0"/>
              <w:rPr>
                <w:rFonts w:ascii="Arial" w:cs="Arial" w:eastAsia="Arial" w:hAnsi="Arial"/>
                <w:sz w:val="18"/>
                <w:szCs w:val="18"/>
                <w:color w:val="0000FF"/>
                <w:w w:val="96"/>
              </w:rPr>
            </w:pPr>
            <w:hyperlink w:anchor="page38">
              <w:r>
                <w:rPr>
                  <w:rFonts w:ascii="Arial" w:cs="Arial" w:eastAsia="Arial" w:hAnsi="Arial"/>
                  <w:sz w:val="18"/>
                  <w:szCs w:val="18"/>
                  <w:color w:val="0000FF"/>
                  <w:w w:val="96"/>
                </w:rPr>
                <w:t>Item 2. MANAGEMENT’S DISCUSSION AND ANALYSIS OF FINANCIAL CONDITION AND RESULTS OF OPERATIONS</w:t>
              </w:r>
            </w:hyperlink>
          </w:p>
        </w:tc>
        <w:tc>
          <w:tcPr>
            <w:tcW w:w="720" w:type="dxa"/>
            <w:vAlign w:val="bottom"/>
            <w:gridSpan w:val="4"/>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0000FF"/>
            </w:tcBorders>
            <w:gridSpan w:val="22"/>
          </w:tcPr>
          <w:p>
            <w:pPr>
              <w:spacing w:after="0"/>
              <w:rPr>
                <w:rFonts w:ascii="Arial" w:cs="Arial" w:eastAsia="Arial" w:hAnsi="Arial"/>
                <w:sz w:val="18"/>
                <w:szCs w:val="18"/>
                <w:color w:val="0000FF"/>
                <w:w w:val="97"/>
              </w:rPr>
            </w:pPr>
            <w:hyperlink w:anchor="page60">
              <w:r>
                <w:rPr>
                  <w:rFonts w:ascii="Arial" w:cs="Arial" w:eastAsia="Arial" w:hAnsi="Arial"/>
                  <w:sz w:val="18"/>
                  <w:szCs w:val="18"/>
                  <w:color w:val="0000FF"/>
                  <w:w w:val="97"/>
                </w:rPr>
                <w:t>Item 3. QUANTITATIVE AND QUALITATIVE DISCLOSURES ABOUT MARKET RISK</w:t>
              </w:r>
            </w:hyperlink>
          </w:p>
        </w:tc>
        <w:tc>
          <w:tcPr>
            <w:tcW w:w="3500" w:type="dxa"/>
            <w:vAlign w:val="bottom"/>
            <w:gridSpan w:val="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61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0000FF"/>
            </w:tcBorders>
            <w:gridSpan w:val="13"/>
          </w:tcPr>
          <w:p>
            <w:pPr>
              <w:spacing w:after="0"/>
              <w:rPr>
                <w:rFonts w:ascii="Arial" w:cs="Arial" w:eastAsia="Arial" w:hAnsi="Arial"/>
                <w:sz w:val="18"/>
                <w:szCs w:val="18"/>
                <w:color w:val="0000FF"/>
                <w:w w:val="94"/>
              </w:rPr>
            </w:pPr>
            <w:hyperlink w:anchor="page62">
              <w:r>
                <w:rPr>
                  <w:rFonts w:ascii="Arial" w:cs="Arial" w:eastAsia="Arial" w:hAnsi="Arial"/>
                  <w:sz w:val="18"/>
                  <w:szCs w:val="18"/>
                  <w:color w:val="0000FF"/>
                  <w:w w:val="94"/>
                </w:rPr>
                <w:t>Item 4. CONTROLS AND PROCEDURES</w:t>
              </w:r>
            </w:hyperlink>
          </w:p>
        </w:tc>
        <w:tc>
          <w:tcPr>
            <w:tcW w:w="7000" w:type="dxa"/>
            <w:vAlign w:val="bottom"/>
            <w:gridSpan w:val="1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62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200" w:type="dxa"/>
            <w:vAlign w:val="bottom"/>
            <w:gridSpan w:val="30"/>
          </w:tcPr>
          <w:p>
            <w:pPr>
              <w:spacing w:after="0"/>
              <w:rPr>
                <w:rFonts w:ascii="Arial" w:cs="Arial" w:eastAsia="Arial" w:hAnsi="Arial"/>
                <w:sz w:val="18"/>
                <w:szCs w:val="18"/>
                <w:b w:val="1"/>
                <w:bCs w:val="1"/>
                <w:color w:val="0000FF"/>
              </w:rPr>
            </w:pPr>
            <w:hyperlink w:anchor="page63">
              <w:r>
                <w:rPr>
                  <w:rFonts w:ascii="Arial" w:cs="Arial" w:eastAsia="Arial" w:hAnsi="Arial"/>
                  <w:sz w:val="18"/>
                  <w:szCs w:val="18"/>
                  <w:b w:val="1"/>
                  <w:bCs w:val="1"/>
                  <w:color w:val="0000FF"/>
                </w:rPr>
                <w:t>PART II. OTHER INFORMATION</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4"/>
              </w:rPr>
            </w:pPr>
            <w:hyperlink w:anchor="page63">
              <w:r>
                <w:rPr>
                  <w:rFonts w:ascii="Arial" w:cs="Arial" w:eastAsia="Arial" w:hAnsi="Arial"/>
                  <w:sz w:val="18"/>
                  <w:szCs w:val="18"/>
                  <w:color w:val="0000FF"/>
                  <w:w w:val="94"/>
                </w:rPr>
                <w:t>Item 1. LEGAL PROCEEDINGS</w:t>
              </w:r>
            </w:hyperlink>
          </w:p>
        </w:tc>
        <w:tc>
          <w:tcPr>
            <w:tcW w:w="320" w:type="dxa"/>
            <w:vAlign w:val="bottom"/>
            <w:tcBorders>
              <w:top w:val="single" w:sz="8" w:color="0000FF"/>
            </w:tcBorders>
          </w:tcPr>
          <w:p>
            <w:pPr>
              <w:spacing w:after="0"/>
              <w:rPr>
                <w:sz w:val="18"/>
                <w:szCs w:val="18"/>
                <w:color w:val="auto"/>
              </w:rPr>
            </w:pPr>
          </w:p>
        </w:tc>
        <w:tc>
          <w:tcPr>
            <w:tcW w:w="7440" w:type="dxa"/>
            <w:vAlign w:val="bottom"/>
            <w:gridSpan w:val="20"/>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63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0000FF"/>
            </w:tcBorders>
            <w:gridSpan w:val="7"/>
          </w:tcPr>
          <w:p>
            <w:pPr>
              <w:spacing w:after="0"/>
              <w:rPr>
                <w:rFonts w:ascii="Arial" w:cs="Arial" w:eastAsia="Arial" w:hAnsi="Arial"/>
                <w:sz w:val="18"/>
                <w:szCs w:val="18"/>
                <w:color w:val="0000FF"/>
                <w:w w:val="93"/>
              </w:rPr>
            </w:pPr>
            <w:hyperlink w:anchor="page63">
              <w:r>
                <w:rPr>
                  <w:rFonts w:ascii="Arial" w:cs="Arial" w:eastAsia="Arial" w:hAnsi="Arial"/>
                  <w:sz w:val="18"/>
                  <w:szCs w:val="18"/>
                  <w:color w:val="0000FF"/>
                  <w:w w:val="93"/>
                </w:rPr>
                <w:t>Item 1A. RISK FACTORS</w:t>
              </w:r>
            </w:hyperlink>
          </w:p>
        </w:tc>
        <w:tc>
          <w:tcPr>
            <w:tcW w:w="8260" w:type="dxa"/>
            <w:vAlign w:val="bottom"/>
            <w:gridSpan w:val="2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63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0"/>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Item 2. UNREGISTERED SALES OF EQUITY SECURITIES AND USE OF PROCEEDS</w:t>
              </w:r>
            </w:hyperlink>
          </w:p>
        </w:tc>
        <w:tc>
          <w:tcPr>
            <w:tcW w:w="1000" w:type="dxa"/>
            <w:vAlign w:val="bottom"/>
            <w:gridSpan w:val="3"/>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0000FF"/>
            </w:tcBorders>
            <w:gridSpan w:val="21"/>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Item 3. DEFAULTS UPON SENIOR SECURITIES</w:t>
              </w:r>
            </w:hyperlink>
          </w:p>
        </w:tc>
        <w:tc>
          <w:tcPr>
            <w:tcW w:w="3580" w:type="dxa"/>
            <w:vAlign w:val="bottom"/>
            <w:gridSpan w:val="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63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4"/>
              </w:rPr>
            </w:pPr>
            <w:hyperlink w:anchor="page63">
              <w:r>
                <w:rPr>
                  <w:rFonts w:ascii="Arial" w:cs="Arial" w:eastAsia="Arial" w:hAnsi="Arial"/>
                  <w:sz w:val="18"/>
                  <w:szCs w:val="18"/>
                  <w:color w:val="0000FF"/>
                  <w:w w:val="94"/>
                </w:rPr>
                <w:t>Item 4. MINE SAFETY DISCLOSURES</w:t>
              </w:r>
            </w:hyperlink>
          </w:p>
        </w:tc>
        <w:tc>
          <w:tcPr>
            <w:tcW w:w="740" w:type="dxa"/>
            <w:vAlign w:val="bottom"/>
            <w:tcBorders>
              <w:top w:val="single" w:sz="8" w:color="0000FF"/>
            </w:tcBorders>
            <w:gridSpan w:val="3"/>
          </w:tcPr>
          <w:p>
            <w:pPr>
              <w:spacing w:after="0"/>
              <w:rPr>
                <w:sz w:val="18"/>
                <w:szCs w:val="18"/>
                <w:color w:val="auto"/>
              </w:rPr>
            </w:pPr>
          </w:p>
        </w:tc>
        <w:tc>
          <w:tcPr>
            <w:tcW w:w="6460" w:type="dxa"/>
            <w:vAlign w:val="bottom"/>
            <w:gridSpan w:val="1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63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0"/>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Item 5. OTHER INFORMATION</w:t>
              </w:r>
            </w:hyperlink>
          </w:p>
        </w:tc>
        <w:tc>
          <w:tcPr>
            <w:tcW w:w="1000" w:type="dxa"/>
            <w:vAlign w:val="bottom"/>
            <w:gridSpan w:val="3"/>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tcBorders>
            <w:gridSpan w:val="9"/>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Item 6. EXHIBITS</w:t>
              </w:r>
            </w:hyperlink>
          </w:p>
        </w:tc>
        <w:tc>
          <w:tcPr>
            <w:tcW w:w="7760" w:type="dxa"/>
            <w:vAlign w:val="bottom"/>
            <w:gridSpan w:val="21"/>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3">
              <w:r>
                <w:rPr>
                  <w:rFonts w:ascii="Arial" w:cs="Arial" w:eastAsia="Arial" w:hAnsi="Arial"/>
                  <w:sz w:val="18"/>
                  <w:szCs w:val="18"/>
                  <w:color w:val="0000FF"/>
                  <w:w w:val="79"/>
                </w:rPr>
                <w:t>64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80" w:type="dxa"/>
            <w:vAlign w:val="bottom"/>
            <w:tcBorders>
              <w:top w:val="single" w:sz="8" w:color="0000FF"/>
            </w:tcBorders>
            <w:gridSpan w:val="6"/>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SIGNATURES</w:t>
              </w:r>
            </w:hyperlink>
          </w:p>
        </w:tc>
        <w:tc>
          <w:tcPr>
            <w:tcW w:w="8820" w:type="dxa"/>
            <w:vAlign w:val="bottom"/>
            <w:gridSpan w:val="2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7">
              <w:r>
                <w:rPr>
                  <w:rFonts w:ascii="Arial" w:cs="Arial" w:eastAsia="Arial" w:hAnsi="Arial"/>
                  <w:sz w:val="18"/>
                  <w:szCs w:val="18"/>
                  <w:color w:val="0000FF"/>
                  <w:w w:val="79"/>
                </w:rPr>
                <w:t>68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data)</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191"/>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jc w:val="right"/>
              <w:ind w:right="1035"/>
              <w:spacing w:after="0"/>
              <w:rPr>
                <w:sz w:val="20"/>
                <w:szCs w:val="20"/>
                <w:color w:val="auto"/>
              </w:rPr>
            </w:pPr>
            <w:r>
              <w:rPr>
                <w:rFonts w:ascii="Arial" w:cs="Arial" w:eastAsia="Arial" w:hAnsi="Arial"/>
                <w:sz w:val="14"/>
                <w:szCs w:val="14"/>
                <w:b w:val="1"/>
                <w:bCs w:val="1"/>
                <w:color w:val="auto"/>
              </w:rPr>
              <w:t>(unaudited)</w:t>
            </w:r>
          </w:p>
        </w:tc>
      </w:tr>
      <w:tr>
        <w:trPr>
          <w:trHeight w:val="222"/>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08"/>
        </w:trPr>
        <w:tc>
          <w:tcPr>
            <w:tcW w:w="8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ASSETS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3,765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2,553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current assets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w:t>
            </w:r>
          </w:p>
        </w:tc>
      </w:tr>
      <w:tr>
        <w:trPr>
          <w:trHeight w:val="209"/>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3,668</w:t>
            </w:r>
          </w:p>
        </w:tc>
      </w:tr>
      <w:tr>
        <w:trPr>
          <w:trHeight w:val="88"/>
        </w:trPr>
        <w:tc>
          <w:tcPr>
            <w:tcW w:w="8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18,620</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depreciation</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w:t>
            </w:r>
          </w:p>
        </w:tc>
      </w:tr>
      <w:tr>
        <w:trPr>
          <w:trHeight w:val="209"/>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Property and equipment, net</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13,090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14,620</w:t>
            </w:r>
          </w:p>
        </w:tc>
      </w:tr>
      <w:tr>
        <w:trPr>
          <w:trHeight w:val="88"/>
        </w:trPr>
        <w:tc>
          <w:tcPr>
            <w:tcW w:w="8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ASSETS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3,764</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1,444</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Linefill and base gas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982</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right-of-use assets, net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Long-term inventory</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assets, net</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965</w:t>
            </w:r>
          </w:p>
        </w:tc>
      </w:tr>
      <w:tr>
        <w:trPr>
          <w:trHeight w:val="210"/>
        </w:trPr>
        <w:tc>
          <w:tcPr>
            <w:tcW w:w="8240" w:type="dxa"/>
            <w:vAlign w:val="bottom"/>
          </w:tcPr>
          <w:p>
            <w:pPr>
              <w:ind w:left="14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25,627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25,951</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5"/>
        </w:trPr>
        <w:tc>
          <w:tcPr>
            <w:tcW w:w="82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08"/>
        </w:trPr>
        <w:tc>
          <w:tcPr>
            <w:tcW w:w="8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2,425</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Short-term debt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831</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999</w:t>
            </w:r>
          </w:p>
        </w:tc>
      </w:tr>
      <w:tr>
        <w:trPr>
          <w:trHeight w:val="21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current liabilities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5,399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4,255</w:t>
            </w:r>
          </w:p>
        </w:tc>
      </w:tr>
      <w:tr>
        <w:trPr>
          <w:trHeight w:val="88"/>
        </w:trPr>
        <w:tc>
          <w:tcPr>
            <w:tcW w:w="8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LONG-TERM LIABILITIES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 net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9,071</w:t>
            </w:r>
          </w:p>
        </w:tc>
      </w:tr>
      <w:tr>
        <w:trPr>
          <w:trHeight w:val="230"/>
        </w:trPr>
        <w:tc>
          <w:tcPr>
            <w:tcW w:w="8240" w:type="dxa"/>
            <w:vAlign w:val="bottom"/>
          </w:tcPr>
          <w:p>
            <w:pPr>
              <w:ind w:left="20"/>
              <w:spacing w:after="0"/>
              <w:rPr>
                <w:sz w:val="20"/>
                <w:szCs w:val="20"/>
                <w:color w:val="auto"/>
              </w:rPr>
            </w:pPr>
            <w:r>
              <w:rPr>
                <w:rFonts w:ascii="Arial" w:cs="Arial" w:eastAsia="Arial" w:hAnsi="Arial"/>
                <w:sz w:val="17"/>
                <w:szCs w:val="17"/>
                <w:color w:val="auto"/>
              </w:rPr>
              <w:t>Other long-term debt,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807</w:t>
            </w:r>
          </w:p>
        </w:tc>
      </w:tr>
      <w:tr>
        <w:trPr>
          <w:trHeight w:val="210"/>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9,503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10,506</w:t>
            </w:r>
          </w:p>
        </w:tc>
      </w:tr>
      <w:tr>
        <w:trPr>
          <w:trHeight w:val="88"/>
        </w:trPr>
        <w:tc>
          <w:tcPr>
            <w:tcW w:w="8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COMMITMENTS AND CONTINGENCIES (NOTE 10)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08"/>
        </w:trPr>
        <w:tc>
          <w:tcPr>
            <w:tcW w:w="8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PARTNERS’ CAPITAL</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Class A shareholders (194,142,415 and 194,051,436 shares outstanding, respectively)</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1,464</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9,373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9,726</w:t>
            </w:r>
          </w:p>
        </w:tc>
      </w:tr>
      <w:tr>
        <w:trPr>
          <w:trHeight w:val="20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partners’ capital</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10,725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11,190</w:t>
            </w:r>
          </w:p>
        </w:tc>
      </w:tr>
      <w:tr>
        <w:trPr>
          <w:trHeight w:val="235"/>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liabilities and partners’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25,627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25,951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234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8"/>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5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3"/>
          </w:tcPr>
          <w:p>
            <w:pPr>
              <w:jc w:val="center"/>
              <w:ind w:left="433"/>
              <w:spacing w:after="0"/>
              <w:rPr>
                <w:sz w:val="20"/>
                <w:szCs w:val="20"/>
                <w:color w:val="auto"/>
              </w:rPr>
            </w:pPr>
            <w:r>
              <w:rPr>
                <w:rFonts w:ascii="Arial" w:cs="Arial" w:eastAsia="Arial" w:hAnsi="Arial"/>
                <w:sz w:val="14"/>
                <w:szCs w:val="14"/>
                <w:b w:val="1"/>
                <w:bCs w:val="1"/>
                <w:color w:val="auto"/>
                <w:w w:val="94"/>
              </w:rPr>
              <w:t>(unaudited)</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center"/>
              <w:ind w:left="453"/>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10,515</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5,537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28,221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16,370</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segment revenues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Facilities segment revenues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3"/>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17,327</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10,074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26,743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23"/>
        </w:trPr>
        <w:tc>
          <w:tcPr>
            <w:tcW w:w="5840" w:type="dxa"/>
            <w:vAlign w:val="bottom"/>
          </w:tcPr>
          <w:p>
            <w:pPr>
              <w:ind w:left="1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10,816</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5,582</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28,843</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19,644</w:t>
            </w: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Gain on/(impairment of) investments in unconsolidated entities, net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Interest expense (net of capitalized interest of $4, $6, $14 and $17, respectively)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income/(expense), net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6"/>
        </w:trPr>
        <w:tc>
          <w:tcPr>
            <w:tcW w:w="5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benefit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42"/>
        </w:trPr>
        <w:tc>
          <w:tcPr>
            <w:tcW w:w="5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INCOME/(LOSS) ATTRIBUTABLE TO PAGP</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8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BASIC AND DILUTED WEIGHTED AVERAGE CLASS A SHARES</w:t>
            </w: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9"/>
        </w:trPr>
        <w:tc>
          <w:tcPr>
            <w:tcW w:w="5840" w:type="dxa"/>
            <w:vAlign w:val="bottom"/>
          </w:tcPr>
          <w:p>
            <w:pPr>
              <w:ind w:left="180"/>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INCOME/(LOSS)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180" w:type="dxa"/>
            <w:vAlign w:val="bottom"/>
            <w:gridSpan w:val="4"/>
          </w:tcPr>
          <w:p>
            <w:pPr>
              <w:jc w:val="center"/>
              <w:ind w:left="359"/>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4"/>
              </w:rPr>
              <w:t>Nine Months Ended</w:t>
            </w:r>
          </w:p>
        </w:tc>
      </w:tr>
      <w:tr>
        <w:trPr>
          <w:trHeight w:val="188"/>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296"/>
              <w:spacing w:after="0"/>
              <w:rPr>
                <w:sz w:val="20"/>
                <w:szCs w:val="20"/>
                <w:color w:val="auto"/>
              </w:rPr>
            </w:pPr>
            <w:r>
              <w:rPr>
                <w:rFonts w:ascii="Arial" w:cs="Arial" w:eastAsia="Arial" w:hAnsi="Arial"/>
                <w:sz w:val="14"/>
                <w:szCs w:val="14"/>
                <w:b w:val="1"/>
                <w:bCs w:val="1"/>
                <w:color w:val="auto"/>
                <w:w w:val="89"/>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586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183"/>
        </w:trPr>
        <w:tc>
          <w:tcPr>
            <w:tcW w:w="5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3"/>
          </w:tcPr>
          <w:p>
            <w:pPr>
              <w:jc w:val="center"/>
              <w:ind w:right="296"/>
              <w:spacing w:after="0"/>
              <w:rPr>
                <w:sz w:val="20"/>
                <w:szCs w:val="20"/>
                <w:color w:val="auto"/>
              </w:rPr>
            </w:pPr>
            <w:r>
              <w:rPr>
                <w:rFonts w:ascii="Arial" w:cs="Arial" w:eastAsia="Arial" w:hAnsi="Arial"/>
                <w:sz w:val="14"/>
                <w:szCs w:val="14"/>
                <w:b w:val="1"/>
                <w:bCs w:val="1"/>
                <w:color w:val="auto"/>
                <w:w w:val="91"/>
              </w:rPr>
              <w:t>(unaudited)</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5"/>
                <w:szCs w:val="15"/>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(50)</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income/(loss)</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(44)</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income/(loss)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(94)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r>
      <w:tr>
        <w:trPr>
          <w:trHeight w:val="229"/>
        </w:trPr>
        <w:tc>
          <w:tcPr>
            <w:tcW w:w="5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Comprehensive (income)/loss attributable to noncontrolling interests</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ind w:left="35"/>
              <w:spacing w:after="0"/>
              <w:rPr>
                <w:sz w:val="20"/>
                <w:szCs w:val="20"/>
                <w:color w:val="auto"/>
              </w:rPr>
            </w:pPr>
            <w:r>
              <w:rPr>
                <w:rFonts w:ascii="Arial" w:cs="Arial" w:eastAsia="Arial" w:hAnsi="Arial"/>
                <w:sz w:val="18"/>
                <w:szCs w:val="18"/>
                <w:color w:val="auto"/>
                <w:w w:val="89"/>
              </w:rPr>
              <w:t>58</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 attributable to PAGP</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(36)</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Derivative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Translation</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Instruments</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5"/>
          </w:tcPr>
          <w:p>
            <w:pPr>
              <w:jc w:val="right"/>
              <w:ind w:right="602"/>
              <w:spacing w:after="0"/>
              <w:rPr>
                <w:sz w:val="20"/>
                <w:szCs w:val="20"/>
                <w:color w:val="auto"/>
              </w:rPr>
            </w:pPr>
            <w:r>
              <w:rPr>
                <w:rFonts w:ascii="Arial" w:cs="Arial" w:eastAsia="Arial" w:hAnsi="Arial"/>
                <w:sz w:val="14"/>
                <w:szCs w:val="14"/>
                <w:b w:val="1"/>
                <w:bCs w:val="1"/>
                <w:color w:val="auto"/>
              </w:rPr>
              <w:t>(unaudited)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5"/>
              </w:rPr>
              <w:t>(657)</w:t>
            </w:r>
          </w:p>
        </w:tc>
        <w:tc>
          <w:tcPr>
            <w:tcW w:w="1080" w:type="dxa"/>
            <w:vAlign w:val="bottom"/>
            <w:gridSpan w:val="3"/>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(3)</w:t>
            </w:r>
          </w:p>
        </w:tc>
        <w:tc>
          <w:tcPr>
            <w:tcW w:w="4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00" w:type="dxa"/>
            <w:vAlign w:val="bottom"/>
          </w:tcPr>
          <w:p>
            <w:pPr>
              <w:ind w:left="40"/>
              <w:spacing w:after="0"/>
              <w:rPr>
                <w:sz w:val="20"/>
                <w:szCs w:val="20"/>
                <w:color w:val="auto"/>
              </w:rPr>
            </w:pPr>
            <w:r>
              <w:rPr>
                <w:rFonts w:ascii="Arial" w:cs="Arial" w:eastAsia="Arial" w:hAnsi="Arial"/>
                <w:sz w:val="18"/>
                <w:szCs w:val="18"/>
                <w:color w:val="auto"/>
              </w:rPr>
              <w:t>Unrealized gain on hedges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9"/>
              </w:rPr>
              <w:t>(1)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period activity</w:t>
            </w: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00" w:type="dxa"/>
            <w:vAlign w:val="bottom"/>
          </w:tcPr>
          <w:p>
            <w:pPr>
              <w:ind w:left="40"/>
              <w:spacing w:after="0"/>
              <w:rPr>
                <w:sz w:val="20"/>
                <w:szCs w:val="20"/>
                <w:color w:val="auto"/>
              </w:rPr>
            </w:pPr>
            <w:r>
              <w:rPr>
                <w:rFonts w:ascii="Arial" w:cs="Arial" w:eastAsia="Arial" w:hAnsi="Arial"/>
                <w:sz w:val="18"/>
                <w:szCs w:val="18"/>
                <w:color w:val="auto"/>
              </w:rPr>
              <w:t>Balance at September 30, 2021</w:t>
            </w: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tcPr>
          <w:p>
            <w:pPr>
              <w:jc w:val="center"/>
              <w:ind w:left="695"/>
              <w:spacing w:after="0"/>
              <w:rPr>
                <w:sz w:val="20"/>
                <w:szCs w:val="20"/>
                <w:color w:val="auto"/>
              </w:rPr>
            </w:pPr>
            <w:r>
              <w:rPr>
                <w:rFonts w:ascii="Arial" w:cs="Arial" w:eastAsia="Arial" w:hAnsi="Arial"/>
                <w:sz w:val="18"/>
                <w:szCs w:val="18"/>
                <w:color w:val="auto"/>
                <w:w w:val="95"/>
              </w:rPr>
              <w:t>(656)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bottom w:val="single" w:sz="8" w:color="auto"/>
            </w:tcBorders>
          </w:tcPr>
          <w:p>
            <w:pPr>
              <w:jc w:val="right"/>
              <w:ind w:right="782"/>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Derivative</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Translation</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Instruments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Adjustments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gridSpan w:val="5"/>
          </w:tcPr>
          <w:p>
            <w:pPr>
              <w:jc w:val="right"/>
              <w:ind w:right="662"/>
              <w:spacing w:after="0"/>
              <w:rPr>
                <w:sz w:val="20"/>
                <w:szCs w:val="20"/>
                <w:color w:val="auto"/>
              </w:rPr>
            </w:pPr>
            <w:r>
              <w:rPr>
                <w:rFonts w:ascii="Arial" w:cs="Arial" w:eastAsia="Arial" w:hAnsi="Arial"/>
                <w:sz w:val="14"/>
                <w:szCs w:val="14"/>
                <w:b w:val="1"/>
                <w:bCs w:val="1"/>
                <w:color w:val="auto"/>
              </w:rPr>
              <w:t>(unaudited)</w:t>
            </w:r>
          </w:p>
        </w:tc>
        <w:tc>
          <w:tcPr>
            <w:tcW w:w="3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84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left="715"/>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Unrealized loss on hedges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left="715"/>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left="715"/>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top w:val="single" w:sz="8" w:color="CCEEFF"/>
            </w:tcBorders>
            <w:shd w:val="clear" w:color="auto" w:fill="CCEEFF"/>
          </w:tcPr>
          <w:p>
            <w:pPr>
              <w:spacing w:after="0"/>
              <w:rPr>
                <w:sz w:val="19"/>
                <w:szCs w:val="19"/>
                <w:color w:val="auto"/>
              </w:rPr>
            </w:pPr>
          </w:p>
        </w:tc>
        <w:tc>
          <w:tcPr>
            <w:tcW w:w="52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period activity</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2020</w:t>
            </w: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Borders>
              <w:bottom w:val="single" w:sz="8" w:color="auto"/>
            </w:tcBorders>
            <w:gridSpan w:val="2"/>
          </w:tcPr>
          <w:p>
            <w:pPr>
              <w:jc w:val="right"/>
              <w:ind w:right="842"/>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60"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Nine Months Ended</w:t>
      </w:r>
    </w:p>
    <w:p>
      <w:pPr>
        <w:jc w:val="center"/>
        <w:ind w:left="822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183"/>
        </w:trPr>
        <w:tc>
          <w:tcPr>
            <w:tcW w:w="8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5"/>
                <w:szCs w:val="15"/>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(2,417)</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Reconciliation of net income/(loss) to net cash provided by operating activities: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Goodwill impairment losses</w:t>
            </w: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2,515</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valuation adjustments</w:t>
            </w: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Deferred income tax benefit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of terminated interest rate hedging instruments</w:t>
            </w: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Change in fair value of Preferred Distribution Rate Reset Option (Note 8)</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Distributions on earnings from unconsolidated entities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on)/impairment of investments in unconsolidated entities, net</w:t>
            </w: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 net of acquisitions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3"/>
        </w:trPr>
        <w:tc>
          <w:tcPr>
            <w:tcW w:w="8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w:t>
            </w:r>
          </w:p>
        </w:tc>
      </w:tr>
      <w:tr>
        <w:trPr>
          <w:trHeight w:val="88"/>
        </w:trPr>
        <w:tc>
          <w:tcPr>
            <w:tcW w:w="82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in connection with acquisitions, net of cash acquired</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property, equipment and other</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sales of assets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provided by/(used in) investing activities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r>
      <w:tr>
        <w:trPr>
          <w:trHeight w:val="88"/>
        </w:trPr>
        <w:tc>
          <w:tcPr>
            <w:tcW w:w="82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borrowings/(repayments) under PAA commercial paper program (Note 6)</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repayments under PAA senior secured hedged inventory facility (Note 6)</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PAA GO Zone term loans (Note 6)</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the issuance of PAA senior notes</w:t>
            </w: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PAA senior notes</w:t>
            </w: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Repurchase of common units by a subsidiary (Note 7)</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paid to Class A shareholders (Note 7)</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Distributions paid to noncontrolling interests (Note 7)</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8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(1,704)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r>
      <w:tr>
        <w:trPr>
          <w:trHeight w:val="88"/>
        </w:trPr>
        <w:tc>
          <w:tcPr>
            <w:tcW w:w="82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Effect of translation adjustment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108"/>
        </w:trPr>
        <w:tc>
          <w:tcPr>
            <w:tcW w:w="82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increase/(decrease) in cash and cash equivalents and restricted cash</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end of period</w:t>
            </w:r>
          </w:p>
        </w:tc>
        <w:tc>
          <w:tcPr>
            <w:tcW w:w="86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5"/>
        </w:trPr>
        <w:tc>
          <w:tcPr>
            <w:tcW w:w="8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paid for:</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net of amounts capitalized</w:t>
            </w: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30"/>
        </w:trPr>
        <w:tc>
          <w:tcPr>
            <w:tcW w:w="8240" w:type="dxa"/>
            <w:vAlign w:val="bottom"/>
          </w:tcPr>
          <w:p>
            <w:pPr>
              <w:ind w:left="80"/>
              <w:spacing w:after="0"/>
              <w:rPr>
                <w:sz w:val="20"/>
                <w:szCs w:val="20"/>
                <w:color w:val="auto"/>
              </w:rPr>
            </w:pPr>
            <w:r>
              <w:rPr>
                <w:rFonts w:ascii="Arial" w:cs="Arial" w:eastAsia="Arial" w:hAnsi="Arial"/>
                <w:sz w:val="18"/>
                <w:szCs w:val="18"/>
                <w:color w:val="auto"/>
              </w:rPr>
              <w:t>Income taxes, net of amounts refunded</w:t>
            </w: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60" w:type="dxa"/>
            <w:vAlign w:val="bottom"/>
          </w:tcPr>
          <w:p>
            <w:pPr>
              <w:spacing w:after="0"/>
              <w:rPr>
                <w:sz w:val="14"/>
                <w:szCs w:val="14"/>
                <w:color w:val="auto"/>
              </w:rPr>
            </w:pPr>
          </w:p>
        </w:tc>
        <w:tc>
          <w:tcPr>
            <w:tcW w:w="1340" w:type="dxa"/>
            <w:vAlign w:val="bottom"/>
          </w:tcPr>
          <w:p>
            <w:pPr>
              <w:jc w:val="center"/>
              <w:ind w:right="11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5"/>
              </w:rPr>
              <w:t>Partners’ Capital</w:t>
            </w: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income/(loss)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154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(Note 7)</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6460" w:type="dxa"/>
            <w:vAlign w:val="bottom"/>
          </w:tcPr>
          <w:p>
            <w:pPr>
              <w:ind w:left="180"/>
              <w:spacing w:after="0"/>
              <w:rPr>
                <w:sz w:val="20"/>
                <w:szCs w:val="20"/>
                <w:color w:val="auto"/>
              </w:rPr>
            </w:pPr>
            <w:r>
              <w:rPr>
                <w:rFonts w:ascii="Arial" w:cs="Arial" w:eastAsia="Arial" w:hAnsi="Arial"/>
                <w:sz w:val="18"/>
                <w:szCs w:val="18"/>
                <w:color w:val="auto"/>
              </w:rPr>
              <w:t>Repurchase of common units by a subsidiary (Note 7)</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 from noncontrolling interests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10,725</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6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60" w:type="dxa"/>
            <w:vAlign w:val="bottom"/>
          </w:tcPr>
          <w:p>
            <w:pPr>
              <w:spacing w:after="0"/>
              <w:rPr>
                <w:sz w:val="24"/>
                <w:szCs w:val="24"/>
                <w:color w:val="auto"/>
              </w:rPr>
            </w:pPr>
          </w:p>
        </w:tc>
        <w:tc>
          <w:tcPr>
            <w:tcW w:w="1340" w:type="dxa"/>
            <w:vAlign w:val="bottom"/>
          </w:tcPr>
          <w:p>
            <w:pPr>
              <w:jc w:val="center"/>
              <w:ind w:right="11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5"/>
              </w:rPr>
              <w:t>Partners’ Capital</w:t>
            </w: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11,061</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(Note 7)</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646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6460" w:type="dxa"/>
            <w:vAlign w:val="bottom"/>
          </w:tcPr>
          <w:p>
            <w:pPr>
              <w:ind w:left="180"/>
              <w:spacing w:after="0"/>
              <w:rPr>
                <w:sz w:val="20"/>
                <w:szCs w:val="20"/>
                <w:color w:val="auto"/>
              </w:rPr>
            </w:pPr>
            <w:r>
              <w:rPr>
                <w:rFonts w:ascii="Arial" w:cs="Arial" w:eastAsia="Arial" w:hAnsi="Arial"/>
                <w:sz w:val="18"/>
                <w:szCs w:val="18"/>
                <w:color w:val="auto"/>
              </w:rPr>
              <w:t>Repurchase of common units by a subsidiary (Note 7)</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Balance at September 30, 2021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10,725</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PARTNERS’ CAPITAL</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6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Class A Shareholders</w:t>
            </w: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Partners’ Capital</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15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5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14,485</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loss</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(548)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(1,869)</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Contributions from noncontrolling interests</w:t>
            </w:r>
          </w:p>
        </w:tc>
        <w:tc>
          <w:tcPr>
            <w:tcW w:w="5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Balance at September 30, 2020</w:t>
            </w:r>
          </w:p>
        </w:tc>
        <w:tc>
          <w:tcPr>
            <w:tcW w:w="56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9,825</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11,297</w:t>
            </w:r>
          </w:p>
        </w:tc>
        <w:tc>
          <w:tcPr>
            <w:tcW w:w="0" w:type="dxa"/>
            <w:vAlign w:val="bottom"/>
          </w:tcPr>
          <w:p>
            <w:pPr>
              <w:spacing w:after="0"/>
              <w:rPr>
                <w:sz w:val="1"/>
                <w:szCs w:val="1"/>
                <w:color w:val="auto"/>
              </w:rPr>
            </w:pPr>
          </w:p>
        </w:tc>
      </w:tr>
      <w:tr>
        <w:trPr>
          <w:trHeight w:val="21"/>
        </w:trPr>
        <w:tc>
          <w:tcPr>
            <w:tcW w:w="6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6460" w:type="dxa"/>
            <w:vAlign w:val="bottom"/>
          </w:tcPr>
          <w:p>
            <w:pPr>
              <w:spacing w:after="0"/>
              <w:rPr>
                <w:sz w:val="24"/>
                <w:szCs w:val="24"/>
                <w:color w:val="auto"/>
              </w:rPr>
            </w:pPr>
          </w:p>
        </w:tc>
        <w:tc>
          <w:tcPr>
            <w:tcW w:w="16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Class A Shareholders</w:t>
            </w: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Partners’ Capital</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15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5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11,253</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122</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 from noncontrolling interests</w:t>
            </w:r>
          </w:p>
        </w:tc>
        <w:tc>
          <w:tcPr>
            <w:tcW w:w="5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5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300" w:firstLine="648"/>
        <w:spacing w:after="0" w:line="296" w:lineRule="auto"/>
        <w:rPr>
          <w:sz w:val="20"/>
          <w:szCs w:val="20"/>
          <w:color w:val="auto"/>
        </w:rPr>
      </w:pPr>
      <w:r>
        <w:rPr>
          <w:rFonts w:ascii="Arial" w:cs="Arial" w:eastAsia="Arial" w:hAnsi="Arial"/>
          <w:sz w:val="16"/>
          <w:szCs w:val="16"/>
          <w:color w:val="auto"/>
        </w:rPr>
        <w:t>Plains GP Holdings, L.P. (“PAGP”) is a Delaware limited partnership formed in 2013 that has elected to be taxed as a corporation for United States federal income tax purposes. PAGP does not directly own any operating assets; as of September 30, 2021, its principal sources of cash flow are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61"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As of September 30, 2021, PAGP owned (i) a 100% managing member interest in Plains All American GP LLC (“GP LLC”), an entity that has also elected to be taxed as a corporation for United States federal income tax purposes and (ii) an approximate 79% limited partner interest in Plains AAP, L.P. (“AAP”) through our direct ownership of approximately 193.1 million Class A units of AAP (“AAP units”) and indirect ownership of approximately</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1.0 million AAP units through GP LLC. GP LLC is a Delaware limited liability company that also holds the non-economic general partner interest in AAP. AAP is a Delaware limited partnership that, as of September 30, 2021, directly owned a limited partner interest in PAA through its ownership of approximately 245.0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spacing w:after="0" w:line="21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natural gas liquids (“NGL”) producing basins (including the Permian Basin) and transportation corridors and at major market hubs in the United States and Canada. PAA’s assets and the services it provides are primarily focused on crude oil and NGL. PAA’s business activities are conducted through three operating segments: Transportation, Facilities and Supply and Logistics. See Note 11 for further discussion of our operating segments.</w:t>
      </w:r>
    </w:p>
    <w:p>
      <w:pPr>
        <w:spacing w:after="0" w:line="191"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the “Plains Entities” include us, our general partner, GP LLC, AAP, PAA GP and PAA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ISDA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MMbls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Million barrels</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TWh</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Terawatt hour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2020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w:t>
      </w:r>
    </w:p>
    <w:p>
      <w:pPr>
        <w:spacing w:after="0" w:line="20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condensed consolidated balance sheet data as of December 31, 2020 was derived from audited financial statements, but does not include all disclosures required by GAAP. The results of operations for the three and nine months ended September 30, 2021 should not be taken as indicative of results to be expected for the entire year.</w:t>
      </w:r>
    </w:p>
    <w:p>
      <w:pPr>
        <w:spacing w:after="0" w:line="21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determined that our subsidiaries, PAA and AAP, are VIEs and should be consolidated by PAGP because:</w:t>
      </w:r>
    </w:p>
    <w:p>
      <w:pPr>
        <w:spacing w:after="0" w:line="252" w:lineRule="exact"/>
        <w:rPr>
          <w:sz w:val="20"/>
          <w:szCs w:val="20"/>
          <w:color w:val="auto"/>
        </w:rPr>
      </w:pPr>
    </w:p>
    <w:p>
      <w:pPr>
        <w:ind w:left="980" w:right="26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210"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97"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97"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With the exception of a deferred tax asset of $1.423 billion and $1.444 billion as of September 30, 2021 and December 31, 2020, respectively, substantially all assets and liabilities presented on PAGP’s Condensed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nine months ended September 30, 2021 or the year ended December 31, 2020. See Note 17 to our Consolidated Financial Statements included in Part IV of our 2020 Annual Report on Form 10-K for information regarding the Omnibus Agreement entered into by the Plains Entities on November 15, 2016.</w:t>
      </w:r>
    </w:p>
    <w:p>
      <w:pPr>
        <w:spacing w:after="0" w:line="20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our Condensed Consolidated Balance Sheets that sum to the total of the amounts shown on our Condensed Consolidated Statements of Cash Flows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0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cash and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During the first quarter of 2021, we modified the useful lives of certain of our Pipelines and related facilities and Storage, terminal and rail facilities to useful lives of 10 to 50 years from useful lives of 10 to 70 years to reflect current expectations given our future operating and commercial outlook. These depreciable life adjustments will prospectively increase depreciation expense. For the three and nine months ended September 30, 2021, these reductions in useful lives increased depreciation expense by approximately $18 million and $54 million, respectively, which resulted in a decrease in net income attributable to PAGP of $4 million and $11 million, respectively, from what these amounts would have been absent the change in useful lives. The impact to both basic and diluted net income per Class A share was approximately $0.02 for the three months ended September 30, 2021 and approximately $0.06 for the nine months ended September 30,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Except as discussed below and in our 2020 Annual Report on Form 10-K, there have been no new accounting pronouncements that have become effective or have been issued during the nine months ended September 30, 2021 that are of significance or potential significance to 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Adopted During the Period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adopted the following ASUs during the period:</w:t>
      </w:r>
    </w:p>
    <w:p>
      <w:pPr>
        <w:spacing w:after="0" w:line="252" w:lineRule="exact"/>
        <w:rPr>
          <w:sz w:val="20"/>
          <w:szCs w:val="20"/>
          <w:color w:val="auto"/>
        </w:rPr>
      </w:pPr>
    </w:p>
    <w:p>
      <w:pPr>
        <w:ind w:left="820" w:right="200" w:hanging="164"/>
        <w:spacing w:after="0" w:line="311" w:lineRule="auto"/>
        <w:tabs>
          <w:tab w:leader="none" w:pos="81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ASU 2019-12, Income Taxes (Topic 740):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See Note 2 to our Consolidated Financial Statements included in Part IV of our 2020 Annual Report on Form 10-K for additional information regarding this ASU. We adopted this ASU effective January 1, 2021 and our adoption did not have a material impact on our financial position, results of operations or cash flows.</w:t>
      </w:r>
    </w:p>
    <w:p>
      <w:pPr>
        <w:spacing w:after="0" w:line="54" w:lineRule="exact"/>
        <w:rPr>
          <w:rFonts w:ascii="Arial" w:cs="Arial" w:eastAsia="Arial" w:hAnsi="Arial"/>
          <w:sz w:val="16"/>
          <w:szCs w:val="16"/>
          <w:color w:val="auto"/>
        </w:rPr>
      </w:pPr>
    </w:p>
    <w:p>
      <w:pPr>
        <w:ind w:left="820" w:hanging="164"/>
        <w:spacing w:after="0" w:line="287" w:lineRule="auto"/>
        <w:tabs>
          <w:tab w:leader="none" w:pos="808" w:val="left"/>
        </w:tabs>
        <w:numPr>
          <w:ilvl w:val="0"/>
          <w:numId w:val="4"/>
        </w:numPr>
        <w:rPr>
          <w:rFonts w:ascii="Arial" w:cs="Arial" w:eastAsia="Arial" w:hAnsi="Arial"/>
          <w:sz w:val="18"/>
          <w:szCs w:val="18"/>
          <w:color w:val="auto"/>
        </w:rPr>
      </w:pPr>
      <w:r>
        <w:rPr>
          <w:rFonts w:ascii="Arial" w:cs="Arial" w:eastAsia="Arial" w:hAnsi="Arial"/>
          <w:sz w:val="16"/>
          <w:szCs w:val="16"/>
          <w:color w:val="auto"/>
        </w:rPr>
        <w:t xml:space="preserve">ASU 2021-05, Leases (Topic 842): </w:t>
      </w:r>
      <w:r>
        <w:rPr>
          <w:rFonts w:ascii="Arial" w:cs="Arial" w:eastAsia="Arial" w:hAnsi="Arial"/>
          <w:sz w:val="16"/>
          <w:szCs w:val="16"/>
          <w:i w:val="1"/>
          <w:iCs w:val="1"/>
          <w:color w:val="auto"/>
        </w:rPr>
        <w:t>Lessors - Certain Leases with Variable Lease Payments</w:t>
      </w:r>
      <w:r>
        <w:rPr>
          <w:rFonts w:ascii="Arial" w:cs="Arial" w:eastAsia="Arial" w:hAnsi="Arial"/>
          <w:sz w:val="16"/>
          <w:szCs w:val="16"/>
          <w:color w:val="auto"/>
        </w:rPr>
        <w:t>. Issued by the FASB in July 2021, ASU 2021-05 modifies the lease classification requirements for lessors in Topic 842, which we adopted on the effective date of January 1, 2019. The amendments require lessors to classify and account for a lease with variable lease payments that do not depend on a reference index or a rate as an operating lease at lease commencement if another classification (i.e., sales-type or direct financing) would result in the recognition of a day-one loss. For entities that have adopted Topic 842, the guidance is effective for fiscal years, and for interim periods within those fiscal years, beginning after December 15, 2021, with early adoption permitted. We have elected to early adopt the guidance on a prospective basis as of July 1, 2021. Our adoption did not have a material impact on our financial position, results of operations or cash flows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disaggregate our revenues by segment and type of activity. These categories depict how the nature, amount, timing and uncertainty of revenues and cash flows are affected by economic factors. See Note 3 to our Consolidated Financial Statements included in Part IV of our 2020 Annual Report on Form 10-K for additional information regarding our types of revenues and policies for revenue recognition.</w:t>
      </w:r>
    </w:p>
    <w:p>
      <w:pPr>
        <w:spacing w:after="0" w:line="192"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The following tables present our Supply and Logistics, Transportation and Facilities segment revenues from contracts with customers disaggregated by type of activity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23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r>
      <w:tr>
        <w:trPr>
          <w:trHeight w:val="188"/>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8"/>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jc w:val="center"/>
              <w:ind w:left="478"/>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58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r>
      <w:tr>
        <w:trPr>
          <w:trHeight w:val="211"/>
        </w:trPr>
        <w:tc>
          <w:tcPr>
            <w:tcW w:w="2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Supply and Logistics segment revenues from contracts with customers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820" w:type="dxa"/>
            <w:vAlign w:val="bottom"/>
          </w:tcPr>
          <w:p>
            <w:pPr>
              <w:ind w:left="120"/>
              <w:spacing w:after="0"/>
              <w:rPr>
                <w:sz w:val="20"/>
                <w:szCs w:val="20"/>
                <w:color w:val="auto"/>
              </w:rPr>
            </w:pPr>
            <w:r>
              <w:rPr>
                <w:rFonts w:ascii="Arial" w:cs="Arial" w:eastAsia="Arial" w:hAnsi="Arial"/>
                <w:sz w:val="18"/>
                <w:szCs w:val="18"/>
                <w:color w:val="auto"/>
              </w:rPr>
              <w:t>Crude oil transactions</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10,417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27,747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15,644</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NGL and other transactions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w w:val="95"/>
              </w:rPr>
              <w:t>Total Supply and Logistics segment revenues from contracts with customers</w:t>
            </w: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16,380</w:t>
            </w:r>
          </w:p>
        </w:tc>
        <w:tc>
          <w:tcPr>
            <w:tcW w:w="20" w:type="dxa"/>
            <w:vAlign w:val="bottom"/>
            <w:tcBorders>
              <w:bottom w:val="single" w:sz="8" w:color="auto"/>
            </w:tcBorders>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24"/>
                <w:szCs w:val="24"/>
                <w:color w:val="auto"/>
              </w:rPr>
            </w:pPr>
          </w:p>
        </w:tc>
        <w:tc>
          <w:tcPr>
            <w:tcW w:w="23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r>
      <w:tr>
        <w:trPr>
          <w:trHeight w:val="188"/>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89"/>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jc w:val="center"/>
              <w:ind w:left="478"/>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58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r>
      <w:tr>
        <w:trPr>
          <w:trHeight w:val="211"/>
        </w:trPr>
        <w:tc>
          <w:tcPr>
            <w:tcW w:w="2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Transportation segment revenues from contracts with customers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820" w:type="dxa"/>
            <w:vAlign w:val="bottom"/>
          </w:tcPr>
          <w:p>
            <w:pPr>
              <w:ind w:left="120"/>
              <w:spacing w:after="0"/>
              <w:rPr>
                <w:sz w:val="20"/>
                <w:szCs w:val="20"/>
                <w:color w:val="auto"/>
              </w:rPr>
            </w:pPr>
            <w:r>
              <w:rPr>
                <w:rFonts w:ascii="Arial" w:cs="Arial" w:eastAsia="Arial" w:hAnsi="Arial"/>
                <w:sz w:val="18"/>
                <w:szCs w:val="18"/>
                <w:color w:val="auto"/>
              </w:rPr>
              <w:t>Tariff activities: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Crude oil pipelines</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NGL pipelines</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tariff activities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Trucking</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Transportation segment revenues from contracts with customers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24"/>
                <w:szCs w:val="24"/>
                <w:color w:val="auto"/>
              </w:rPr>
            </w:pPr>
          </w:p>
        </w:tc>
        <w:tc>
          <w:tcPr>
            <w:tcW w:w="236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r>
      <w:tr>
        <w:trPr>
          <w:trHeight w:val="188"/>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8"/>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jc w:val="center"/>
              <w:ind w:left="438"/>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8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r>
      <w:tr>
        <w:trPr>
          <w:trHeight w:val="211"/>
        </w:trPr>
        <w:tc>
          <w:tcPr>
            <w:tcW w:w="20" w:type="dxa"/>
            <w:vAlign w:val="bottom"/>
          </w:tcPr>
          <w:p>
            <w:pPr>
              <w:spacing w:after="0"/>
              <w:rPr>
                <w:sz w:val="18"/>
                <w:szCs w:val="18"/>
                <w:color w:val="auto"/>
              </w:rPr>
            </w:pPr>
          </w:p>
        </w:tc>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8"/>
                <w:szCs w:val="18"/>
                <w:color w:val="auto"/>
              </w:rPr>
              <w:t>Crude oil, NGL and other terminalling and storage</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ind w:right="25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536</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NGL and natural gas processing and fractionation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Rail load / unload</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Facilities segment revenues from contracts with customers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Reconciliation to Total Revenues of Reportable Segments. </w:t>
      </w:r>
      <w:r>
        <w:rPr>
          <w:rFonts w:ascii="Arial" w:cs="Arial" w:eastAsia="Arial" w:hAnsi="Arial"/>
          <w:sz w:val="18"/>
          <w:szCs w:val="18"/>
          <w:color w:val="auto"/>
        </w:rPr>
        <w:t>The following disclosures only include information regarding revenues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entities; revenues from entities accounted for by the equity method are not included. The following tables present the reconciliation of our revenues from contracts with customers (as described above for each segment) to segment revenues and total revenues as disclosed in our Condensed Consolidated Statements of Operations (in millions):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2021</w:t>
            </w:r>
          </w:p>
        </w:tc>
        <w:tc>
          <w:tcPr>
            <w:tcW w:w="16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4"/>
                <w:szCs w:val="1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11,465</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11,270</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2020</w:t>
            </w:r>
          </w:p>
        </w:tc>
        <w:tc>
          <w:tcPr>
            <w:tcW w:w="160" w:type="dxa"/>
            <w:vAlign w:val="bottom"/>
          </w:tcPr>
          <w:p>
            <w:pPr>
              <w:spacing w:after="0"/>
              <w:rPr>
                <w:sz w:val="24"/>
                <w:szCs w:val="2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24"/>
                <w:szCs w:val="2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2021</w:t>
            </w:r>
          </w:p>
        </w:tc>
        <w:tc>
          <w:tcPr>
            <w:tcW w:w="160" w:type="dxa"/>
            <w:vAlign w:val="bottom"/>
          </w:tcPr>
          <w:p>
            <w:pPr>
              <w:spacing w:after="0"/>
              <w:rPr>
                <w:sz w:val="24"/>
                <w:szCs w:val="2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24"/>
                <w:szCs w:val="2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31,204</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30,531</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2020</w:t>
            </w:r>
          </w:p>
        </w:tc>
        <w:tc>
          <w:tcPr>
            <w:tcW w:w="160" w:type="dxa"/>
            <w:vAlign w:val="bottom"/>
          </w:tcPr>
          <w:p>
            <w:pPr>
              <w:spacing w:after="0"/>
              <w:rPr>
                <w:sz w:val="24"/>
                <w:szCs w:val="2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24"/>
                <w:szCs w:val="2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18,725</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18,761</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17,327</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Minimum Volume Commitments. </w:t>
      </w:r>
      <w:r>
        <w:rPr>
          <w:rFonts w:ascii="Arial" w:cs="Arial" w:eastAsia="Arial" w:hAnsi="Arial"/>
          <w:sz w:val="18"/>
          <w:szCs w:val="18"/>
          <w:color w:val="auto"/>
        </w:rPr>
        <w:t>We have certain agreements that require counterparties to transport or throughput a minimum volume over an</w:t>
      </w:r>
      <w:r>
        <w:rPr>
          <w:rFonts w:ascii="Arial" w:cs="Arial" w:eastAsia="Arial" w:hAnsi="Arial"/>
          <w:sz w:val="18"/>
          <w:szCs w:val="18"/>
          <w:i w:val="1"/>
          <w:iCs w:val="1"/>
          <w:color w:val="auto"/>
        </w:rPr>
        <w:t xml:space="preserve"> </w:t>
      </w:r>
      <w:r>
        <w:rPr>
          <w:rFonts w:ascii="Arial" w:cs="Arial" w:eastAsia="Arial" w:hAnsi="Arial"/>
          <w:sz w:val="18"/>
          <w:szCs w:val="18"/>
          <w:color w:val="auto"/>
        </w:rPr>
        <w:t>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Counterparty Deficiencies</w:t>
            </w:r>
          </w:p>
        </w:tc>
        <w:tc>
          <w:tcPr>
            <w:tcW w:w="3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Financial Statement Classification</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3780" w:type="dxa"/>
            <w:vAlign w:val="bottom"/>
            <w:gridSpan w:val="2"/>
            <w:vMerge w:val="continue"/>
          </w:tcPr>
          <w:p>
            <w:pPr>
              <w:spacing w:after="0"/>
              <w:rPr>
                <w:sz w:val="16"/>
                <w:szCs w:val="16"/>
                <w:color w:val="auto"/>
              </w:rPr>
            </w:pPr>
          </w:p>
        </w:tc>
        <w:tc>
          <w:tcPr>
            <w:tcW w:w="3780" w:type="dxa"/>
            <w:vAlign w:val="bottom"/>
            <w:gridSpan w:val="3"/>
            <w:vMerge w:val="continue"/>
          </w:tcPr>
          <w:p>
            <w:pPr>
              <w:spacing w:after="0"/>
              <w:rPr>
                <w:sz w:val="16"/>
                <w:szCs w:val="16"/>
                <w:color w:val="auto"/>
              </w:rPr>
            </w:pPr>
          </w:p>
        </w:tc>
        <w:tc>
          <w:tcPr>
            <w:tcW w:w="1380" w:type="dxa"/>
            <w:vAlign w:val="bottom"/>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ind w:right="65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Billed and collected</w:t>
            </w:r>
          </w:p>
        </w:tc>
        <w:tc>
          <w:tcPr>
            <w:tcW w:w="14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7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102</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Unbilled </w:t>
            </w:r>
            <w:r>
              <w:rPr>
                <w:rFonts w:ascii="Arial" w:cs="Arial" w:eastAsia="Arial" w:hAnsi="Arial"/>
                <w:sz w:val="23"/>
                <w:szCs w:val="23"/>
                <w:color w:val="auto"/>
                <w:vertAlign w:val="superscript"/>
              </w:rPr>
              <w:t>(1)</w:t>
            </w:r>
          </w:p>
        </w:tc>
        <w:tc>
          <w:tcPr>
            <w:tcW w:w="37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N/A</w:t>
            </w:r>
          </w:p>
        </w:tc>
        <w:tc>
          <w:tcPr>
            <w:tcW w:w="13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118</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left="660" w:right="240" w:hanging="652"/>
        <w:spacing w:after="0" w:line="227" w:lineRule="auto"/>
        <w:tabs>
          <w:tab w:leader="none" w:pos="64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Amounts were related to deficiencies for which the counterparties had not met their contractual minimum commitments and are not reflected in our Condensed Consolidated Financial Statements as we had not yet billed or collected such amounts.</w:t>
      </w:r>
    </w:p>
    <w:p>
      <w:pPr>
        <w:spacing w:after="0" w:line="22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i w:val="1"/>
          <w:iCs w:val="1"/>
          <w:color w:val="auto"/>
        </w:rPr>
        <w:t>Contract Balances</w:t>
      </w:r>
      <w:r>
        <w:rPr>
          <w:rFonts w:ascii="Arial" w:cs="Arial" w:eastAsia="Arial" w:hAnsi="Arial"/>
          <w:sz w:val="16"/>
          <w:szCs w:val="16"/>
          <w:color w:val="auto"/>
        </w:rPr>
        <w:t>. Our contract balances consist of amounts received associated with services or sales for which we have not yet completed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performance obligation. The following table presents the change in the liability balance associated with contracts with customers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620" w:type="dxa"/>
            <w:vAlign w:val="bottom"/>
            <w:tcBorders>
              <w:bottom w:val="single" w:sz="8" w:color="CCEEFF"/>
            </w:tcBorders>
          </w:tcPr>
          <w:p>
            <w:pPr>
              <w:spacing w:after="0"/>
              <w:rPr>
                <w:sz w:val="16"/>
                <w:szCs w:val="16"/>
                <w:color w:val="auto"/>
              </w:rPr>
            </w:pPr>
          </w:p>
        </w:tc>
        <w:tc>
          <w:tcPr>
            <w:tcW w:w="5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1"/>
                <w:szCs w:val="21"/>
                <w:color w:val="auto"/>
              </w:rPr>
            </w:pPr>
          </w:p>
        </w:tc>
        <w:tc>
          <w:tcPr>
            <w:tcW w:w="9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20" w:type="dxa"/>
            <w:vAlign w:val="bottom"/>
            <w:tcBorders>
              <w:top w:val="single" w:sz="8" w:color="CCEEFF"/>
              <w:bottom w:val="single" w:sz="8" w:color="CCEEFF"/>
            </w:tcBorders>
            <w:gridSpan w:val="2"/>
            <w:vMerge w:val="restart"/>
          </w:tcPr>
          <w:p>
            <w:pPr>
              <w:ind w:left="120"/>
              <w:spacing w:after="0" w:line="243" w:lineRule="exact"/>
              <w:rPr>
                <w:sz w:val="20"/>
                <w:szCs w:val="20"/>
                <w:color w:val="auto"/>
              </w:rPr>
            </w:pPr>
            <w:r>
              <w:rPr>
                <w:rFonts w:ascii="Arial" w:cs="Arial" w:eastAsia="Arial" w:hAnsi="Arial"/>
                <w:sz w:val="18"/>
                <w:szCs w:val="18"/>
                <w:color w:val="auto"/>
              </w:rPr>
              <w:t xml:space="preserve">Amounts recognized as revenue </w:t>
            </w:r>
            <w:r>
              <w:rPr>
                <w:rFonts w:ascii="Arial" w:cs="Arial" w:eastAsia="Arial" w:hAnsi="Arial"/>
                <w:sz w:val="23"/>
                <w:szCs w:val="23"/>
                <w:color w:val="auto"/>
                <w:vertAlign w:val="superscript"/>
              </w:rPr>
              <w:t>(1)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92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Additions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Balance at September 30, 2021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c>
          <w:tcPr>
            <w:tcW w:w="5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40" w:hanging="652"/>
        <w:spacing w:after="0" w:line="227" w:lineRule="auto"/>
        <w:tabs>
          <w:tab w:leader="none" w:pos="64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Includes approximately $361 million associated with crude oil sales agreements that were entered into in the fourth quarter of 2020 in conjunction with storage arrangements and inventory exchanges, which were settled in the first quarter of 2021.</w:t>
      </w:r>
    </w:p>
    <w:p>
      <w:pPr>
        <w:spacing w:after="0" w:line="28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The information below includes the amount of consideration allocated to partially and wholly unsatisfied</w:t>
      </w:r>
      <w:r>
        <w:rPr>
          <w:rFonts w:ascii="Arial" w:cs="Arial" w:eastAsia="Arial" w:hAnsi="Arial"/>
          <w:sz w:val="17"/>
          <w:szCs w:val="17"/>
          <w:i w:val="1"/>
          <w:iCs w:val="1"/>
          <w:color w:val="auto"/>
        </w:rPr>
        <w:t xml:space="preserve"> </w:t>
      </w:r>
      <w:r>
        <w:rPr>
          <w:rFonts w:ascii="Arial" w:cs="Arial" w:eastAsia="Arial" w:hAnsi="Arial"/>
          <w:sz w:val="17"/>
          <w:szCs w:val="17"/>
          <w:color w:val="auto"/>
        </w:rPr>
        <w:t>remaining performance obligations under contracts that exist as of the end of the periods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September 30, 2021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Remainder of</w:t>
            </w: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57"/>
              <w:spacing w:after="0"/>
              <w:rPr>
                <w:sz w:val="20"/>
                <w:szCs w:val="20"/>
                <w:color w:val="auto"/>
              </w:rPr>
            </w:pPr>
            <w:r>
              <w:rPr>
                <w:rFonts w:ascii="Arial" w:cs="Arial" w:eastAsia="Arial" w:hAnsi="Arial"/>
                <w:sz w:val="14"/>
                <w:szCs w:val="14"/>
                <w:b w:val="1"/>
                <w:bCs w:val="1"/>
                <w:color w:val="auto"/>
              </w:rPr>
              <w:t>2026 and</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42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color w:val="auto"/>
              </w:rPr>
              <w:t>Pipeline revenues supported by minimum volume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174</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2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3"/>
                <w:szCs w:val="23"/>
                <w:color w:val="auto"/>
                <w:vertAlign w:val="superscript"/>
              </w:rPr>
              <w:t>(1)</w:t>
            </w:r>
          </w:p>
        </w:tc>
        <w:tc>
          <w:tcPr>
            <w:tcW w:w="12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1"/>
              </w:rPr>
              <w:t>Storage, terminalling and throughput agreement revenues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Calculated as volumes committed under contracts multiplied by the current applicable tariff rate.</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319"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03" w:lineRule="exact"/>
        <w:rPr>
          <w:sz w:val="20"/>
          <w:szCs w:val="20"/>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Acreage dedications;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Supply and Logistics buy/sell arrangements with future committed volumes;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other Supply and Logistics contracts, due to the election of practical expedients related to variable consideration and short-term contracts;</w:t>
      </w:r>
    </w:p>
    <w:p>
      <w:pPr>
        <w:spacing w:after="0" w:line="140" w:lineRule="exact"/>
        <w:rPr>
          <w:rFonts w:ascii="Arial" w:cs="Arial" w:eastAsia="Arial" w:hAnsi="Arial"/>
          <w:sz w:val="16"/>
          <w:szCs w:val="16"/>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52"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supply and logistics activities that can generally be described as high volume and low margin activities, in many cases involving exchanges of crude oil volumes.</w:t>
      </w:r>
    </w:p>
    <w:p>
      <w:pPr>
        <w:spacing w:after="0" w:line="21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During 2020, macroeconomic and geopolitical conditions including the collapse of oil prices driven by both the decrease in demand caused by the COVID-19 pandemic and excess supply has caused liquidity issues impacting many energy companies, which in turn has increased the potential credit risks associated with certain counterparties with which we do business.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September 30, 2021 and December 31, 2020,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4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center"/>
              <w:ind w:left="616"/>
              <w:spacing w:after="0"/>
              <w:rPr>
                <w:sz w:val="20"/>
                <w:szCs w:val="20"/>
                <w:color w:val="auto"/>
              </w:rPr>
            </w:pPr>
            <w:r>
              <w:rPr>
                <w:rFonts w:ascii="Arial" w:cs="Arial" w:eastAsia="Arial" w:hAnsi="Arial"/>
                <w:sz w:val="18"/>
                <w:szCs w:val="18"/>
                <w:color w:val="auto"/>
                <w:w w:val="88"/>
              </w:rPr>
              <w:t>3,294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center"/>
              <w:ind w:left="654"/>
              <w:spacing w:after="0"/>
              <w:rPr>
                <w:sz w:val="20"/>
                <w:szCs w:val="20"/>
                <w:color w:val="auto"/>
              </w:rPr>
            </w:pPr>
            <w:r>
              <w:rPr>
                <w:rFonts w:ascii="Arial" w:cs="Arial" w:eastAsia="Arial" w:hAnsi="Arial"/>
                <w:sz w:val="18"/>
                <w:szCs w:val="18"/>
                <w:color w:val="auto"/>
                <w:w w:val="93"/>
              </w:rPr>
              <w:t>2,317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260" w:type="dxa"/>
            <w:vAlign w:val="bottom"/>
          </w:tcPr>
          <w:p>
            <w:pPr>
              <w:jc w:val="center"/>
              <w:ind w:left="616"/>
              <w:spacing w:after="0"/>
              <w:rPr>
                <w:sz w:val="20"/>
                <w:szCs w:val="20"/>
                <w:color w:val="auto"/>
              </w:rPr>
            </w:pPr>
            <w:r>
              <w:rPr>
                <w:rFonts w:ascii="Arial" w:cs="Arial" w:eastAsia="Arial" w:hAnsi="Arial"/>
                <w:sz w:val="18"/>
                <w:szCs w:val="18"/>
                <w:color w:val="auto"/>
                <w:w w:val="88"/>
              </w:rPr>
              <w:t>4,176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left="654"/>
              <w:spacing w:after="0"/>
              <w:rPr>
                <w:sz w:val="20"/>
                <w:szCs w:val="20"/>
                <w:color w:val="auto"/>
              </w:rPr>
            </w:pPr>
            <w:r>
              <w:rPr>
                <w:rFonts w:ascii="Arial" w:cs="Arial" w:eastAsia="Arial" w:hAnsi="Arial"/>
                <w:sz w:val="18"/>
                <w:szCs w:val="18"/>
                <w:color w:val="auto"/>
                <w:w w:val="93"/>
              </w:rPr>
              <w:t>2,818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576"/>
              <w:spacing w:after="0"/>
              <w:rPr>
                <w:sz w:val="20"/>
                <w:szCs w:val="20"/>
                <w:color w:val="auto"/>
              </w:rPr>
            </w:pPr>
            <w:r>
              <w:rPr>
                <w:rFonts w:ascii="Arial" w:cs="Arial" w:eastAsia="Arial" w:hAnsi="Arial"/>
                <w:sz w:val="18"/>
                <w:szCs w:val="18"/>
                <w:color w:val="auto"/>
                <w:w w:val="91"/>
              </w:rPr>
              <w:t>(3,705)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91"/>
              </w:rPr>
              <w:t>(2,582)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00" w:type="dxa"/>
            <w:vAlign w:val="bottom"/>
            <w:gridSpan w:val="2"/>
          </w:tcPr>
          <w:p>
            <w:pPr>
              <w:ind w:left="140"/>
              <w:spacing w:after="0"/>
              <w:rPr>
                <w:sz w:val="20"/>
                <w:szCs w:val="20"/>
                <w:color w:val="auto"/>
              </w:rPr>
            </w:pPr>
            <w:r>
              <w:rPr>
                <w:rFonts w:ascii="Arial" w:cs="Arial" w:eastAsia="Arial" w:hAnsi="Arial"/>
                <w:sz w:val="18"/>
                <w:szCs w:val="18"/>
                <w:color w:val="auto"/>
              </w:rPr>
              <w:t>Trade accounts receivable and other receivables,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center"/>
              <w:ind w:left="616"/>
              <w:spacing w:after="0"/>
              <w:rPr>
                <w:sz w:val="20"/>
                <w:szCs w:val="20"/>
                <w:color w:val="auto"/>
              </w:rPr>
            </w:pPr>
            <w:r>
              <w:rPr>
                <w:rFonts w:ascii="Arial" w:cs="Arial" w:eastAsia="Arial" w:hAnsi="Arial"/>
                <w:sz w:val="18"/>
                <w:szCs w:val="18"/>
                <w:color w:val="auto"/>
                <w:w w:val="88"/>
              </w:rPr>
              <w:t>3,765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center"/>
              <w:ind w:left="654"/>
              <w:spacing w:after="0"/>
              <w:rPr>
                <w:sz w:val="20"/>
                <w:szCs w:val="20"/>
                <w:color w:val="auto"/>
              </w:rPr>
            </w:pPr>
            <w:r>
              <w:rPr>
                <w:rFonts w:ascii="Arial" w:cs="Arial" w:eastAsia="Arial" w:hAnsi="Arial"/>
                <w:sz w:val="18"/>
                <w:szCs w:val="18"/>
                <w:color w:val="auto"/>
                <w:w w:val="93"/>
              </w:rPr>
              <w:t>2,553</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40" w:hanging="632"/>
        <w:spacing w:after="0"/>
        <w:tabs>
          <w:tab w:leader="none" w:pos="64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ASC 606.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Income/(Loss) Per Class A Share</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Basic net income/(loss) per Class A share is determined by dividing net income/(loss)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spacing w:after="0" w:line="18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Diluted net income/(loss) per Class A share is determined by dividing net income/(loss) attributable to PAGP by the diluted weighted average number of Class A shares outstanding during the period. For purposes of calculating diluted net income per Class A share, both the net income/(loss) attributable to PAGP and the diluted weighted average number of Class A shares outstanding consider the impact of possible future exchanges of (i) AAP units and the associated Class B shares into our Class A shares and (ii) Class B units of AAP (referred to herein as “AAP Management Units”)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12 to our Consolidated Financial Statements included in Part IV of our 2020 Annual Report on Form 10-K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 See Note 18 to our Consolidated Financial Statements included in Part IV of our 2020 Annual Report on Form 10-K for information regarding PAGP LTIP awards.</w:t>
      </w:r>
    </w:p>
    <w:p>
      <w:pPr>
        <w:spacing w:after="0" w:line="219"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On a weighted-average basis, for the three months ended September 30, 2021 and 2020, the possible exchange of 50 million and 60 million AAP units, respectively, and for the nine months ended September 30, 2021 and 2020, the possible exchange of 51 million and 63 million AAP units, respectively, would not have had a dilutive effect on basic net income/(loss) per Class A share. For each of the three and nine months ended September 30, 2021 and 2020, the possible exchange of 1 million AAP Management Units would not have had a dilutive effect on basic net income/(loss) per Class A share on a weighted-average basis. For each of the three and nine months ended September 30, 2021 and 2020, our PAGP LTIP awards were antidilutive.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sets forth the computation of basic and diluted net income/(loss) per Class A share (in millions, except per share data):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8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w w:val="98"/>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5840" w:type="dxa"/>
            <w:vAlign w:val="bottom"/>
          </w:tcPr>
          <w:p>
            <w:pPr>
              <w:ind w:left="100"/>
              <w:spacing w:after="0"/>
              <w:rPr>
                <w:sz w:val="20"/>
                <w:szCs w:val="20"/>
                <w:color w:val="auto"/>
              </w:rPr>
            </w:pPr>
            <w:r>
              <w:rPr>
                <w:rFonts w:ascii="Arial" w:cs="Arial" w:eastAsia="Arial" w:hAnsi="Arial"/>
                <w:sz w:val="18"/>
                <w:szCs w:val="18"/>
                <w:color w:val="auto"/>
              </w:rPr>
              <w:t>Net income/(loss) attributable to PAGP</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29"/>
        </w:trPr>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and diluted weighted average Class A shares outstanding</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57"/>
        </w:trPr>
        <w:tc>
          <w:tcPr>
            <w:tcW w:w="5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4"/>
        </w:trPr>
        <w:tc>
          <w:tcPr>
            <w:tcW w:w="5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Basic and diluted net income/(loss) per Class A share</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920" w:type="dxa"/>
            <w:vAlign w:val="bottom"/>
          </w:tcPr>
          <w:p>
            <w:pPr>
              <w:spacing w:after="0"/>
              <w:rPr>
                <w:sz w:val="11"/>
                <w:szCs w:val="11"/>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Volumes</w:t>
            </w:r>
          </w:p>
        </w:tc>
        <w:tc>
          <w:tcPr>
            <w:tcW w:w="1080" w:type="dxa"/>
            <w:vAlign w:val="bottom"/>
            <w:gridSpan w:val="2"/>
          </w:tcPr>
          <w:p>
            <w:pPr>
              <w:ind w:left="260"/>
              <w:spacing w:after="0" w:line="135" w:lineRule="exact"/>
              <w:rPr>
                <w:sz w:val="20"/>
                <w:szCs w:val="20"/>
                <w:color w:val="auto"/>
              </w:rPr>
            </w:pPr>
            <w:r>
              <w:rPr>
                <w:rFonts w:ascii="Arial" w:cs="Arial" w:eastAsia="Arial" w:hAnsi="Arial"/>
                <w:sz w:val="14"/>
                <w:szCs w:val="14"/>
                <w:b w:val="1"/>
                <w:bCs w:val="1"/>
                <w:color w:val="auto"/>
              </w:rPr>
              <w:t>Unit of</w:t>
            </w:r>
          </w:p>
        </w:tc>
        <w:tc>
          <w:tcPr>
            <w:tcW w:w="120" w:type="dxa"/>
            <w:vAlign w:val="bottom"/>
          </w:tcPr>
          <w:p>
            <w:pPr>
              <w:spacing w:after="0"/>
              <w:rPr>
                <w:sz w:val="11"/>
                <w:szCs w:val="11"/>
                <w:color w:val="auto"/>
              </w:rPr>
            </w:pPr>
          </w:p>
        </w:tc>
        <w:tc>
          <w:tcPr>
            <w:tcW w:w="740" w:type="dxa"/>
            <w:vAlign w:val="bottom"/>
          </w:tcPr>
          <w:p>
            <w:pPr>
              <w:jc w:val="right"/>
              <w:ind w:right="73"/>
              <w:spacing w:after="0" w:line="13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4"/>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Volumes</w:t>
            </w:r>
          </w:p>
        </w:tc>
        <w:tc>
          <w:tcPr>
            <w:tcW w:w="1080" w:type="dxa"/>
            <w:vAlign w:val="bottom"/>
            <w:gridSpan w:val="2"/>
          </w:tcPr>
          <w:p>
            <w:pPr>
              <w:ind w:left="280"/>
              <w:spacing w:after="0" w:line="135" w:lineRule="exact"/>
              <w:rPr>
                <w:sz w:val="20"/>
                <w:szCs w:val="20"/>
                <w:color w:val="auto"/>
              </w:rPr>
            </w:pPr>
            <w:r>
              <w:rPr>
                <w:rFonts w:ascii="Arial" w:cs="Arial" w:eastAsia="Arial" w:hAnsi="Arial"/>
                <w:sz w:val="14"/>
                <w:szCs w:val="14"/>
                <w:b w:val="1"/>
                <w:bCs w:val="1"/>
                <w:color w:val="auto"/>
              </w:rPr>
              <w:t>Unit of</w:t>
            </w:r>
          </w:p>
        </w:tc>
        <w:tc>
          <w:tcPr>
            <w:tcW w:w="120" w:type="dxa"/>
            <w:vAlign w:val="bottom"/>
          </w:tcPr>
          <w:p>
            <w:pPr>
              <w:spacing w:after="0"/>
              <w:rPr>
                <w:sz w:val="11"/>
                <w:szCs w:val="11"/>
                <w:color w:val="auto"/>
              </w:rPr>
            </w:pPr>
          </w:p>
        </w:tc>
        <w:tc>
          <w:tcPr>
            <w:tcW w:w="760" w:type="dxa"/>
            <w:vAlign w:val="bottom"/>
          </w:tcPr>
          <w:p>
            <w:pPr>
              <w:jc w:val="right"/>
              <w:ind w:right="73"/>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194"/>
              <w:spacing w:after="0" w:line="135"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6"/>
                <w:szCs w:val="16"/>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center"/>
              <w:ind w:right="300"/>
              <w:spacing w:after="0" w:line="189" w:lineRule="exact"/>
              <w:rPr>
                <w:sz w:val="20"/>
                <w:szCs w:val="20"/>
                <w:color w:val="auto"/>
              </w:rPr>
            </w:pPr>
            <w:r>
              <w:rPr>
                <w:rFonts w:ascii="Arial" w:cs="Arial" w:eastAsia="Arial" w:hAnsi="Arial"/>
                <w:sz w:val="14"/>
                <w:szCs w:val="14"/>
                <w:b w:val="1"/>
                <w:bCs w:val="1"/>
                <w:color w:val="auto"/>
                <w:w w:val="91"/>
              </w:rPr>
              <w:t xml:space="preserve">Unit </w:t>
            </w:r>
            <w:r>
              <w:rPr>
                <w:rFonts w:ascii="Arial" w:cs="Arial" w:eastAsia="Arial" w:hAnsi="Arial"/>
                <w:sz w:val="18"/>
                <w:szCs w:val="18"/>
                <w:b w:val="1"/>
                <w:bCs w:val="1"/>
                <w:color w:val="auto"/>
                <w:w w:val="91"/>
                <w:vertAlign w:val="superscript"/>
              </w:rPr>
              <w:t>(1)</w:t>
            </w:r>
          </w:p>
        </w:tc>
        <w:tc>
          <w:tcPr>
            <w:tcW w:w="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6"/>
                <w:szCs w:val="16"/>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74"/>
              <w:spacing w:after="0" w:line="189" w:lineRule="exact"/>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09"/>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Inventory</w:t>
            </w: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6,125</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61.39</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13,450</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10,681</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12,302</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right w:val="single" w:sz="8" w:color="auto"/>
            </w:tcBorders>
            <w:gridSpan w:val="2"/>
          </w:tcPr>
          <w:p>
            <w:pPr>
              <w:ind w:left="420"/>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Linefill and base gas</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15,150</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56.50</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14,669</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Natural gas </w:t>
            </w:r>
            <w:r>
              <w:rPr>
                <w:rFonts w:ascii="Arial" w:cs="Arial" w:eastAsia="Arial" w:hAnsi="Arial"/>
                <w:sz w:val="23"/>
                <w:szCs w:val="23"/>
                <w:color w:val="auto"/>
                <w:vertAlign w:val="superscript"/>
              </w:rPr>
              <w:t>(2)</w:t>
            </w:r>
          </w:p>
        </w:tc>
        <w:tc>
          <w:tcPr>
            <w:tcW w:w="10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Mcf</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25,576</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Mcf</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Linefill and base gas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inventory</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2,737</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68.69</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Long-term inventory subtotal</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ind w:right="360" w:hanging="11"/>
        <w:spacing w:after="0" w:line="277" w:lineRule="auto"/>
        <w:rPr>
          <w:sz w:val="20"/>
          <w:szCs w:val="20"/>
          <w:color w:val="auto"/>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62" w:lineRule="exact"/>
        <w:rPr>
          <w:sz w:val="20"/>
          <w:szCs w:val="20"/>
          <w:color w:val="auto"/>
        </w:rPr>
      </w:pPr>
    </w:p>
    <w:p>
      <w:pPr>
        <w:ind w:right="180" w:hanging="11"/>
        <w:spacing w:after="0" w:line="277" w:lineRule="auto"/>
        <w:rPr>
          <w:sz w:val="20"/>
          <w:szCs w:val="20"/>
          <w:color w:val="auto"/>
        </w:rPr>
      </w:pPr>
      <w:r>
        <w:rPr>
          <w:rFonts w:ascii="Arial" w:cs="Arial" w:eastAsia="Arial" w:hAnsi="Arial"/>
          <w:sz w:val="18"/>
          <w:szCs w:val="18"/>
          <w:color w:val="auto"/>
        </w:rPr>
        <w:t>Base gas with a carrying value of $110 million was included in the sale of our natural gas storage facilities, which closed on August 2, 2021. See Note 12 for additional information.</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60" w:type="dxa"/>
            <w:vAlign w:val="bottom"/>
          </w:tcPr>
          <w:p>
            <w:pPr>
              <w:jc w:val="right"/>
              <w:ind w:right="153"/>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3880" w:type="dxa"/>
            <w:vAlign w:val="bottom"/>
            <w:tcBorders>
              <w:bottom w:val="single" w:sz="8" w:color="CCEEFF"/>
            </w:tcBorders>
          </w:tcPr>
          <w:p>
            <w:pPr>
              <w:spacing w:after="0"/>
              <w:rPr>
                <w:sz w:val="16"/>
                <w:szCs w:val="16"/>
                <w:color w:val="auto"/>
              </w:rPr>
            </w:pPr>
          </w:p>
        </w:tc>
        <w:tc>
          <w:tcPr>
            <w:tcW w:w="45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11"/>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SHORT-TERM DEBT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83"/>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 xml:space="preserve">PAA commercial paper notes, bearing a weighted-average interest rate of 0.7% </w:t>
            </w:r>
            <w:r>
              <w:rPr>
                <w:rFonts w:ascii="Arial" w:cs="Arial" w:eastAsia="Arial" w:hAnsi="Arial"/>
                <w:sz w:val="23"/>
                <w:szCs w:val="23"/>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29"/>
        </w:trPr>
        <w:tc>
          <w:tcPr>
            <w:tcW w:w="84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PAA senior secured hedged inventory facility, bearing a weighted-average interest rate of 1.2%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PAA senior notes: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3.65% senior notes due June 2022</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23"/>
        </w:trPr>
        <w:tc>
          <w:tcPr>
            <w:tcW w:w="8420" w:type="dxa"/>
            <w:vAlign w:val="bottom"/>
            <w:gridSpan w:val="2"/>
            <w:shd w:val="clear" w:color="auto" w:fill="CCEEFF"/>
          </w:tcPr>
          <w:p>
            <w:pPr>
              <w:jc w:val="center"/>
              <w:ind w:right="6420"/>
              <w:spacing w:after="0"/>
              <w:rPr>
                <w:sz w:val="20"/>
                <w:szCs w:val="20"/>
                <w:color w:val="auto"/>
              </w:rPr>
            </w:pPr>
            <w:r>
              <w:rPr>
                <w:rFonts w:ascii="Arial" w:cs="Arial" w:eastAsia="Arial" w:hAnsi="Arial"/>
                <w:sz w:val="18"/>
                <w:szCs w:val="18"/>
                <w:color w:val="auto"/>
                <w:w w:val="90"/>
              </w:rPr>
              <w:t>Total short-term debt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r>
      <w:tr>
        <w:trPr>
          <w:trHeight w:val="257"/>
        </w:trPr>
        <w:tc>
          <w:tcPr>
            <w:tcW w:w="388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PAA senior notes, net of unamortized discounts and debt issuance costs of $55 and $62, respectively</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9,071</w:t>
            </w:r>
          </w:p>
        </w:tc>
      </w:tr>
      <w:tr>
        <w:trPr>
          <w:trHeight w:val="229"/>
        </w:trPr>
        <w:tc>
          <w:tcPr>
            <w:tcW w:w="84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w w:val="94"/>
              </w:rPr>
              <w:t xml:space="preserve">PAA GO Zone term loans, net of debt issuance costs of $1, bearing a weighted-average interest rate of 1.3% </w:t>
            </w:r>
            <w:r>
              <w:rPr>
                <w:rFonts w:ascii="Arial" w:cs="Arial" w:eastAsia="Arial" w:hAnsi="Arial"/>
                <w:sz w:val="23"/>
                <w:szCs w:val="23"/>
                <w:color w:val="auto"/>
                <w:w w:val="94"/>
                <w:vertAlign w:val="superscript"/>
              </w:rPr>
              <w:t>(2)</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29"/>
        </w:trPr>
        <w:tc>
          <w:tcPr>
            <w:tcW w:w="8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8420" w:type="dxa"/>
            <w:vAlign w:val="bottom"/>
            <w:gridSpan w:val="2"/>
            <w:shd w:val="clear" w:color="auto" w:fill="CCEEFF"/>
          </w:tcPr>
          <w:p>
            <w:pPr>
              <w:jc w:val="center"/>
              <w:ind w:right="6460"/>
              <w:spacing w:after="0"/>
              <w:rPr>
                <w:sz w:val="20"/>
                <w:szCs w:val="20"/>
                <w:color w:val="auto"/>
              </w:rPr>
            </w:pPr>
            <w:r>
              <w:rPr>
                <w:rFonts w:ascii="Arial" w:cs="Arial" w:eastAsia="Arial" w:hAnsi="Arial"/>
                <w:sz w:val="18"/>
                <w:szCs w:val="18"/>
                <w:color w:val="auto"/>
                <w:w w:val="91"/>
              </w:rPr>
              <w:t>Total long-term debt</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9,382</w:t>
            </w:r>
          </w:p>
        </w:tc>
      </w:tr>
      <w:tr>
        <w:trPr>
          <w:trHeight w:val="223"/>
        </w:trPr>
        <w:tc>
          <w:tcPr>
            <w:tcW w:w="8420" w:type="dxa"/>
            <w:vAlign w:val="bottom"/>
            <w:gridSpan w:val="2"/>
          </w:tcPr>
          <w:p>
            <w:pPr>
              <w:jc w:val="center"/>
              <w:ind w:right="6400"/>
              <w:spacing w:after="0" w:line="223" w:lineRule="exact"/>
              <w:rPr>
                <w:sz w:val="20"/>
                <w:szCs w:val="20"/>
                <w:color w:val="auto"/>
              </w:rPr>
            </w:pPr>
            <w:r>
              <w:rPr>
                <w:rFonts w:ascii="Arial" w:cs="Arial" w:eastAsia="Arial" w:hAnsi="Arial"/>
                <w:sz w:val="18"/>
                <w:szCs w:val="18"/>
                <w:color w:val="auto"/>
                <w:w w:val="86"/>
              </w:rPr>
              <w:t xml:space="preserve">Total debt </w:t>
            </w:r>
            <w:r>
              <w:rPr>
                <w:rFonts w:ascii="Arial" w:cs="Arial" w:eastAsia="Arial" w:hAnsi="Arial"/>
                <w:sz w:val="23"/>
                <w:szCs w:val="23"/>
                <w:color w:val="auto"/>
                <w:w w:val="86"/>
                <w:vertAlign w:val="superscript"/>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10,213</w:t>
            </w:r>
          </w:p>
        </w:tc>
      </w:tr>
      <w:tr>
        <w:trPr>
          <w:trHeight w:val="20"/>
        </w:trPr>
        <w:tc>
          <w:tcPr>
            <w:tcW w:w="38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67"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ind w:right="180" w:hanging="11"/>
        <w:spacing w:after="0" w:line="263" w:lineRule="auto"/>
        <w:rPr>
          <w:sz w:val="20"/>
          <w:szCs w:val="20"/>
          <w:color w:val="auto"/>
        </w:rPr>
      </w:pPr>
      <w:r>
        <w:rPr>
          <w:rFonts w:ascii="Arial" w:cs="Arial" w:eastAsia="Arial" w:hAnsi="Arial"/>
          <w:sz w:val="18"/>
          <w:szCs w:val="18"/>
          <w:color w:val="auto"/>
        </w:rPr>
        <w:t>We classified these commercial paper notes and credit facility borrowings as short-term as of December 31, 2020, as these notes and borrowings were primarily designated as working capital borrowings, were required to be repaid within one year and were primarily for hedged NGL and crude oil inventory and NYMEX and ICE margin deposits.</w:t>
      </w:r>
    </w:p>
    <w:p>
      <w:pPr>
        <w:spacing w:after="0" w:line="76" w:lineRule="exact"/>
        <w:rPr>
          <w:sz w:val="20"/>
          <w:szCs w:val="20"/>
          <w:color w:val="auto"/>
        </w:rPr>
      </w:pPr>
    </w:p>
    <w:p>
      <w:pPr>
        <w:ind w:right="100" w:hanging="11"/>
        <w:spacing w:after="0" w:line="342" w:lineRule="auto"/>
        <w:rPr>
          <w:sz w:val="20"/>
          <w:szCs w:val="20"/>
          <w:color w:val="auto"/>
        </w:rPr>
      </w:pPr>
      <w:r>
        <w:rPr>
          <w:rFonts w:ascii="Arial" w:cs="Arial" w:eastAsia="Arial" w:hAnsi="Arial"/>
          <w:sz w:val="16"/>
          <w:szCs w:val="16"/>
          <w:color w:val="auto"/>
        </w:rPr>
        <w:t>The PAA GO Zone term loans were initially assumed by a subsidiary of PAA in connection with the acquisition of the Southern Pines natural gas storage facility. The loans were repaid in August 2021 in connection with the sale of that facility. See Note 12 for additional information.</w:t>
      </w:r>
    </w:p>
    <w:p>
      <w:pPr>
        <w:spacing w:after="0" w:line="16" w:lineRule="exact"/>
        <w:rPr>
          <w:sz w:val="20"/>
          <w:szCs w:val="20"/>
          <w:color w:val="auto"/>
        </w:rPr>
      </w:pPr>
    </w:p>
    <w:p>
      <w:pPr>
        <w:ind w:hanging="11"/>
        <w:spacing w:after="0" w:line="272" w:lineRule="auto"/>
        <w:rPr>
          <w:sz w:val="20"/>
          <w:szCs w:val="20"/>
          <w:color w:val="auto"/>
        </w:rPr>
      </w:pPr>
      <w:r>
        <w:rPr>
          <w:rFonts w:ascii="Arial" w:cs="Arial" w:eastAsia="Arial" w:hAnsi="Arial"/>
          <w:sz w:val="17"/>
          <w:szCs w:val="17"/>
          <w:color w:val="auto"/>
        </w:rPr>
        <w:t>PAA’s fixed-rate senior notes had a face value of approximately $9.1 billion at both September 30, 2021 and December 31, 2020. We estimated the aggregate fair value of these notes as of September 30, 2021 and December 31, 2020 to be approximately $10.0 billion and $9.9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credit facilities, commercial paper program and GO Zone term loans approximates fair value as interest rates reflect current market rates. The fair value estimates for PAA’s senior notes, credit facilities, commercial paper program and GO Zone term loans are based upon observable market data and are classified in Level 2 of the fair value hierarchy.</w:t>
      </w:r>
    </w:p>
    <w:p>
      <w:pPr>
        <w:spacing w:after="0" w:line="200" w:lineRule="exact"/>
        <w:rPr>
          <w:sz w:val="20"/>
          <w:szCs w:val="20"/>
          <w:color w:val="auto"/>
        </w:rPr>
      </w:pPr>
    </w:p>
    <w:p>
      <w:pPr>
        <w:sectPr>
          <w:pgSz w:w="11900" w:h="16838" w:orient="portrait"/>
          <w:cols w:equalWidth="0" w:num="2">
            <w:col w:w="140" w:space="520"/>
            <w:col w:w="10560"/>
          </w:cols>
          <w:pgMar w:left="320" w:top="125" w:right="35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August 2021, PAA renewed and extended its credit facilities by entering into new and amended credit agreements, as discussed further below.</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covenants and events of default under the new and amended credit agreements remain substantially unchanged from the previous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Senior secured hedged inventory facility</w:t>
      </w:r>
      <w:r>
        <w:rPr>
          <w:rFonts w:ascii="Arial" w:cs="Arial" w:eastAsia="Arial" w:hAnsi="Arial"/>
          <w:sz w:val="17"/>
          <w:szCs w:val="17"/>
          <w:color w:val="auto"/>
        </w:rPr>
        <w:t>. In August 2021, PAA entered into an amended credit agreement which replaced its $1.4 billion senior</w:t>
      </w:r>
      <w:r>
        <w:rPr>
          <w:rFonts w:ascii="Arial" w:cs="Arial" w:eastAsia="Arial" w:hAnsi="Arial"/>
          <w:sz w:val="17"/>
          <w:szCs w:val="17"/>
          <w:i w:val="1"/>
          <w:iCs w:val="1"/>
          <w:color w:val="auto"/>
        </w:rPr>
        <w:t xml:space="preserve"> </w:t>
      </w:r>
      <w:r>
        <w:rPr>
          <w:rFonts w:ascii="Arial" w:cs="Arial" w:eastAsia="Arial" w:hAnsi="Arial"/>
          <w:sz w:val="17"/>
          <w:szCs w:val="17"/>
          <w:color w:val="auto"/>
        </w:rPr>
        <w:t>secured hedged inventory facility scheduled to mature in August 2022 with a $1.35 billion senior secured hedged inventory facility with an initial maturity date of August 2024. Subject to obtaining additional or increased lender commitments and other terms and conditions, the committed capacity of the facility may be increased to $1.9 billion. The amended credit agreement provides for the issuance of letters of credit of up to $400 million.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PAA’s election, on certain floating rate indices as defined in the credit agreement, in each case plus a margin based on PAA’s credit rating at the applicable time. The amended credit agreement also provides for one or more one-year extensions, subject to applicable approval and other terms and conditions.</w:t>
      </w:r>
    </w:p>
    <w:p>
      <w:pPr>
        <w:spacing w:after="0" w:line="20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i w:val="1"/>
          <w:iCs w:val="1"/>
          <w:color w:val="auto"/>
        </w:rPr>
        <w:t xml:space="preserve">Senior unsecured revolving credit facility. </w:t>
      </w:r>
      <w:r>
        <w:rPr>
          <w:rFonts w:ascii="Arial" w:cs="Arial" w:eastAsia="Arial" w:hAnsi="Arial"/>
          <w:sz w:val="16"/>
          <w:szCs w:val="16"/>
          <w:color w:val="auto"/>
        </w:rPr>
        <w:t>In August 2021, PAA entered into a new unsecured credit agreement that provides for a senior</w:t>
      </w:r>
      <w:r>
        <w:rPr>
          <w:rFonts w:ascii="Arial" w:cs="Arial" w:eastAsia="Arial" w:hAnsi="Arial"/>
          <w:sz w:val="16"/>
          <w:szCs w:val="16"/>
          <w:i w:val="1"/>
          <w:iCs w:val="1"/>
          <w:color w:val="auto"/>
        </w:rPr>
        <w:t xml:space="preserve"> </w:t>
      </w:r>
      <w:r>
        <w:rPr>
          <w:rFonts w:ascii="Arial" w:cs="Arial" w:eastAsia="Arial" w:hAnsi="Arial"/>
          <w:sz w:val="16"/>
          <w:szCs w:val="16"/>
          <w:color w:val="auto"/>
        </w:rPr>
        <w:t>unsecured revolving credit facility with a committed borrowing capacity of $1.35 billion, of which $400 million is available for the issuance of letters of credit. The new credit agreement replaced PAA’s previous credit agreement that provided for a $1.6 billion senior unsecured revolving credit facility and was scheduled to mature in August 2024. Subject to obtaining additional or increased lender commitments and other terms and conditions, the committed capacity may be increased to $2.1 billion. Borrowings accrue interest based, at PAA’s election, on certain floating rate indices as defined in the credit agreement, in each case plus a margin based on PAA’s credit rating at the applicable time. The new credit agreement has an initial maturity date of August 2026 and provides for one or more one-year extensions, subject to applicable approval and other terms and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Total borrowings under the PAA credit facilities and commercial paper program for the nine months ended September 30, 2021 and 2020 were approximately $31.2 billion and $20.2 billion, respectively. Total repayments under the PAA credit facilities and commercial paper program were approximately $31.9 billion and $20.5 billion for the nine months ended September 30, 2021 and 2020,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including hedging-related margin obligations, and construction activities. At September 30, 2021 and December 31, 2020, we had outstanding letters of credit of $64 million and $129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Class A shares, Class B shares and Class C shares: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 Shares</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B Shares</w:t>
            </w:r>
          </w:p>
        </w:tc>
        <w:tc>
          <w:tcPr>
            <w:tcW w:w="1440" w:type="dxa"/>
            <w:vAlign w:val="bottom"/>
          </w:tcPr>
          <w:p>
            <w:pPr>
              <w:jc w:val="right"/>
              <w:ind w:right="171"/>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54"/>
        </w:trPr>
        <w:tc>
          <w:tcPr>
            <w:tcW w:w="6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194,051,436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50,640,192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547,717,762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gridSpan w:val="2"/>
            <w:vMerge w:val="restart"/>
          </w:tcPr>
          <w:p>
            <w:pPr>
              <w:ind w:left="100"/>
              <w:spacing w:after="0" w:line="243" w:lineRule="exact"/>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w:t>
            </w:r>
          </w:p>
        </w:tc>
        <w:tc>
          <w:tcPr>
            <w:tcW w:w="154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00" w:type="dxa"/>
            <w:vAlign w:val="bottom"/>
            <w:tcBorders>
              <w:top w:val="single" w:sz="8" w:color="CCEEFF"/>
            </w:tcBorders>
            <w:gridSpan w:val="2"/>
            <w:vMerge w:val="continue"/>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414,608</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0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(229,931)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229,931</w:t>
            </w:r>
          </w:p>
        </w:tc>
        <w:tc>
          <w:tcPr>
            <w:tcW w:w="0" w:type="dxa"/>
            <w:vAlign w:val="bottom"/>
          </w:tcPr>
          <w:p>
            <w:pPr>
              <w:spacing w:after="0"/>
              <w:rPr>
                <w:sz w:val="1"/>
                <w:szCs w:val="1"/>
                <w:color w:val="auto"/>
              </w:rPr>
            </w:pPr>
          </w:p>
        </w:tc>
      </w:tr>
      <w:tr>
        <w:trPr>
          <w:trHeight w:val="176"/>
        </w:trPr>
        <w:tc>
          <w:tcPr>
            <w:tcW w:w="67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Repurchase of common units by a subsidiary under Common Equity Repurchase Program</w:t>
            </w:r>
          </w:p>
        </w:tc>
        <w:tc>
          <w:tcPr>
            <w:tcW w:w="1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162"/>
        </w:trPr>
        <w:tc>
          <w:tcPr>
            <w:tcW w:w="38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(2)</w:t>
            </w:r>
          </w:p>
        </w:tc>
        <w:tc>
          <w:tcPr>
            <w:tcW w:w="2820" w:type="dxa"/>
            <w:vAlign w:val="bottom"/>
            <w:shd w:val="clear" w:color="auto" w:fill="CCEEFF"/>
          </w:tcPr>
          <w:p>
            <w:pPr>
              <w:spacing w:after="0"/>
              <w:rPr>
                <w:sz w:val="14"/>
                <w:szCs w:val="14"/>
                <w:color w:val="auto"/>
              </w:rPr>
            </w:pPr>
          </w:p>
        </w:tc>
        <w:tc>
          <w:tcPr>
            <w:tcW w:w="1540" w:type="dxa"/>
            <w:vAlign w:val="bottom"/>
            <w:gridSpan w:val="2"/>
            <w:vMerge w:val="continue"/>
            <w:shd w:val="clear" w:color="auto" w:fill="CCEEFF"/>
          </w:tcPr>
          <w:p>
            <w:pPr>
              <w:spacing w:after="0"/>
              <w:rPr>
                <w:sz w:val="14"/>
                <w:szCs w:val="14"/>
                <w:color w:val="auto"/>
              </w:rPr>
            </w:pPr>
          </w:p>
        </w:tc>
        <w:tc>
          <w:tcPr>
            <w:tcW w:w="1540" w:type="dxa"/>
            <w:vAlign w:val="bottom"/>
            <w:gridSpan w:val="2"/>
            <w:vMerge w:val="continue"/>
            <w:shd w:val="clear" w:color="auto" w:fill="CCEEFF"/>
          </w:tcPr>
          <w:p>
            <w:pPr>
              <w:spacing w:after="0"/>
              <w:rPr>
                <w:sz w:val="14"/>
                <w:szCs w:val="14"/>
                <w:color w:val="auto"/>
              </w:rPr>
            </w:pPr>
          </w:p>
        </w:tc>
        <w:tc>
          <w:tcPr>
            <w:tcW w:w="14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ind w:left="100"/>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25,431</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March 31, 2021</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194,098,315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50,777,990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547,623,124</w:t>
            </w:r>
          </w:p>
        </w:tc>
        <w:tc>
          <w:tcPr>
            <w:tcW w:w="0" w:type="dxa"/>
            <w:vAlign w:val="bottom"/>
          </w:tcPr>
          <w:p>
            <w:pPr>
              <w:spacing w:after="0"/>
              <w:rPr>
                <w:sz w:val="1"/>
                <w:szCs w:val="1"/>
                <w:color w:val="auto"/>
              </w:rPr>
            </w:pPr>
          </w:p>
        </w:tc>
      </w:tr>
      <w:tr>
        <w:trPr>
          <w:trHeight w:val="230"/>
        </w:trPr>
        <w:tc>
          <w:tcPr>
            <w:tcW w:w="6700" w:type="dxa"/>
            <w:vAlign w:val="bottom"/>
            <w:gridSpan w:val="2"/>
          </w:tcPr>
          <w:p>
            <w:pPr>
              <w:ind w:left="100"/>
              <w:spacing w:after="0" w:line="23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40" w:type="dxa"/>
            <w:vAlign w:val="bottom"/>
          </w:tcPr>
          <w:p>
            <w:pPr>
              <w:jc w:val="right"/>
              <w:spacing w:after="0"/>
              <w:rPr>
                <w:sz w:val="20"/>
                <w:szCs w:val="20"/>
                <w:color w:val="auto"/>
              </w:rPr>
            </w:pPr>
            <w:r>
              <w:rPr>
                <w:rFonts w:ascii="Arial" w:cs="Arial" w:eastAsia="Arial" w:hAnsi="Arial"/>
                <w:sz w:val="18"/>
                <w:szCs w:val="18"/>
                <w:color w:val="auto"/>
              </w:rPr>
              <w:t>25,554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(25,554)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(535,009)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535,009</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00"/>
              <w:spacing w:after="0"/>
              <w:rPr>
                <w:sz w:val="20"/>
                <w:szCs w:val="20"/>
                <w:color w:val="auto"/>
              </w:rPr>
            </w:pPr>
            <w:r>
              <w:rPr>
                <w:rFonts w:ascii="Arial" w:cs="Arial" w:eastAsia="Arial" w:hAnsi="Arial"/>
                <w:sz w:val="18"/>
                <w:szCs w:val="18"/>
                <w:color w:val="auto"/>
                <w:w w:val="91"/>
              </w:rPr>
              <w:t>Repurchase of common units by a subsidiary under Common Equity Repurchase Program</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(4,940,592)</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256,321</w:t>
            </w:r>
          </w:p>
        </w:tc>
        <w:tc>
          <w:tcPr>
            <w:tcW w:w="0" w:type="dxa"/>
            <w:vAlign w:val="bottom"/>
          </w:tcPr>
          <w:p>
            <w:pPr>
              <w:spacing w:after="0"/>
              <w:rPr>
                <w:sz w:val="1"/>
                <w:szCs w:val="1"/>
                <w:color w:val="auto"/>
              </w:rPr>
            </w:pPr>
          </w:p>
        </w:tc>
      </w:tr>
      <w:tr>
        <w:trPr>
          <w:trHeight w:val="196"/>
        </w:trPr>
        <w:tc>
          <w:tcPr>
            <w:tcW w:w="67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Outstanding at June 30, 2021</w:t>
            </w: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194,123,869</w:t>
            </w:r>
          </w:p>
        </w:tc>
        <w:tc>
          <w:tcPr>
            <w:tcW w:w="10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50,217,427</w:t>
            </w:r>
          </w:p>
        </w:tc>
        <w:tc>
          <w:tcPr>
            <w:tcW w:w="10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543,473,862</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1"/>
              </w:rPr>
              <w:t>Repurchase of common units by a subsidiary under Common Equity Repurchase Program</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(6,626,711)</w:t>
            </w:r>
          </w:p>
        </w:tc>
        <w:tc>
          <w:tcPr>
            <w:tcW w:w="0" w:type="dxa"/>
            <w:vAlign w:val="bottom"/>
          </w:tcPr>
          <w:p>
            <w:pPr>
              <w:spacing w:after="0"/>
              <w:rPr>
                <w:sz w:val="1"/>
                <w:szCs w:val="1"/>
                <w:color w:val="auto"/>
              </w:rPr>
            </w:pPr>
          </w:p>
        </w:tc>
      </w:tr>
      <w:tr>
        <w:trPr>
          <w:trHeight w:val="230"/>
        </w:trPr>
        <w:tc>
          <w:tcPr>
            <w:tcW w:w="670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1440" w:type="dxa"/>
            <w:vAlign w:val="bottom"/>
          </w:tcPr>
          <w:p>
            <w:pPr>
              <w:jc w:val="right"/>
              <w:spacing w:after="0"/>
              <w:rPr>
                <w:sz w:val="20"/>
                <w:szCs w:val="20"/>
                <w:color w:val="auto"/>
              </w:rPr>
            </w:pPr>
            <w:r>
              <w:rPr>
                <w:rFonts w:ascii="Arial" w:cs="Arial" w:eastAsia="Arial" w:hAnsi="Arial"/>
                <w:sz w:val="18"/>
                <w:szCs w:val="18"/>
                <w:color w:val="auto"/>
              </w:rPr>
              <w:t>18,546</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358,471</w:t>
            </w: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2021</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194,142,415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50,217,427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537,205,622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38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 Shares</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B Shares</w:t>
            </w:r>
          </w:p>
        </w:tc>
        <w:tc>
          <w:tcPr>
            <w:tcW w:w="1440" w:type="dxa"/>
            <w:vAlign w:val="bottom"/>
          </w:tcPr>
          <w:p>
            <w:pPr>
              <w:jc w:val="right"/>
              <w:ind w:right="171"/>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54"/>
        </w:trPr>
        <w:tc>
          <w:tcPr>
            <w:tcW w:w="6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182,138,592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65,785,702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549,538,139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gridSpan w:val="2"/>
            <w:vMerge w:val="restart"/>
          </w:tcPr>
          <w:p>
            <w:pPr>
              <w:ind w:left="100"/>
              <w:spacing w:after="0" w:line="243" w:lineRule="exact"/>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w:t>
            </w:r>
          </w:p>
        </w:tc>
        <w:tc>
          <w:tcPr>
            <w:tcW w:w="154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00" w:type="dxa"/>
            <w:vAlign w:val="bottom"/>
            <w:tcBorders>
              <w:top w:val="single" w:sz="8" w:color="CCEEFF"/>
            </w:tcBorders>
            <w:gridSpan w:val="2"/>
            <w:vMerge w:val="continue"/>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559,768</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2,101,487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(2,101,487)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0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(1,206,599)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1,206,599</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24,431</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Outstanding at March 31, 2020</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184,240,079</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63,037,384</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550,769,169</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(40,679)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40,679</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20,099</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27,292</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Outstanding at June 30, 2020</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184,260,178</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63,032,054</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550,837,140</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gridSpan w:val="2"/>
            <w:shd w:val="clear" w:color="auto" w:fill="CCEEFF"/>
          </w:tcPr>
          <w:p>
            <w:pPr>
              <w:ind w:left="140"/>
              <w:spacing w:after="0" w:line="223"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(2,613,326)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2,613,326</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26,215</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349,978</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Outstanding at September 30, 2020</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187,286,393</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57,418,728</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553,800,444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880" w:type="dxa"/>
            <w:vAlign w:val="bottom"/>
            <w:tcBorders>
              <w:bottom w:val="single" w:sz="8" w:color="auto"/>
            </w:tcBorders>
          </w:tcPr>
          <w:p>
            <w:pPr>
              <w:spacing w:after="0"/>
              <w:rPr>
                <w:sz w:val="13"/>
                <w:szCs w:val="13"/>
                <w:color w:val="auto"/>
              </w:rPr>
            </w:pPr>
          </w:p>
        </w:tc>
        <w:tc>
          <w:tcPr>
            <w:tcW w:w="2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ind w:left="20" w:right="320" w:hanging="11"/>
        <w:spacing w:after="0" w:line="277" w:lineRule="auto"/>
        <w:rPr>
          <w:sz w:val="20"/>
          <w:szCs w:val="20"/>
          <w:color w:val="auto"/>
        </w:rPr>
      </w:pPr>
      <w:r>
        <w:rPr>
          <w:rFonts w:ascii="Arial" w:cs="Arial" w:eastAsia="Arial" w:hAnsi="Arial"/>
          <w:sz w:val="18"/>
          <w:szCs w:val="18"/>
          <w:color w:val="auto"/>
        </w:rPr>
        <w:t>See Note 12 to our Consolidated Financial Statements included in Part IV of our 2020 Annual Report on Form 10-K for information regarding conversions of AAP Management Units, Exchange Rights and Redemption Rights.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Trades for these units were executed in late December 2020, but settled in early January 2021.</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1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details distributions to our Class A shareholders paid during or pertaining to the first nine months of 2021 (in millions,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2060" w:type="dxa"/>
            <w:vAlign w:val="bottom"/>
          </w:tcPr>
          <w:p>
            <w:pPr>
              <w:jc w:val="right"/>
              <w:ind w:right="256"/>
              <w:spacing w:after="0"/>
              <w:rPr>
                <w:sz w:val="20"/>
                <w:szCs w:val="20"/>
                <w:color w:val="auto"/>
              </w:rPr>
            </w:pPr>
            <w:r>
              <w:rPr>
                <w:rFonts w:ascii="Arial" w:cs="Arial" w:eastAsia="Arial" w:hAnsi="Arial"/>
                <w:sz w:val="14"/>
                <w:szCs w:val="14"/>
                <w:b w:val="1"/>
                <w:bCs w:val="1"/>
                <w:color w:val="auto"/>
              </w:rPr>
              <w:t>Distributions to</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tcPr>
          <w:p>
            <w:pPr>
              <w:jc w:val="right"/>
              <w:ind w:right="636"/>
              <w:spacing w:after="0"/>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188"/>
        </w:trPr>
        <w:tc>
          <w:tcPr>
            <w:tcW w:w="5960" w:type="dxa"/>
            <w:vAlign w:val="bottom"/>
            <w:gridSpan w:val="2"/>
            <w:vMerge w:val="continue"/>
          </w:tcPr>
          <w:p>
            <w:pPr>
              <w:spacing w:after="0"/>
              <w:rPr>
                <w:sz w:val="16"/>
                <w:szCs w:val="16"/>
                <w:color w:val="auto"/>
              </w:rPr>
            </w:pPr>
          </w:p>
        </w:tc>
        <w:tc>
          <w:tcPr>
            <w:tcW w:w="2060" w:type="dxa"/>
            <w:vAlign w:val="bottom"/>
          </w:tcPr>
          <w:p>
            <w:pPr>
              <w:jc w:val="right"/>
              <w:ind w:right="76"/>
              <w:spacing w:after="0"/>
              <w:rPr>
                <w:sz w:val="20"/>
                <w:szCs w:val="20"/>
                <w:color w:val="auto"/>
              </w:rPr>
            </w:pPr>
            <w:r>
              <w:rPr>
                <w:rFonts w:ascii="Arial" w:cs="Arial" w:eastAsia="Arial" w:hAnsi="Arial"/>
                <w:sz w:val="14"/>
                <w:szCs w:val="14"/>
                <w:b w:val="1"/>
                <w:bCs w:val="1"/>
                <w:color w:val="auto"/>
              </w:rPr>
              <w:t>Class A Shareholders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tcPr>
          <w:p>
            <w:pPr>
              <w:jc w:val="right"/>
              <w:ind w:right="736"/>
              <w:spacing w:after="0"/>
              <w:rPr>
                <w:sz w:val="20"/>
                <w:szCs w:val="20"/>
                <w:color w:val="auto"/>
              </w:rPr>
            </w:pPr>
            <w:r>
              <w:rPr>
                <w:rFonts w:ascii="Arial" w:cs="Arial" w:eastAsia="Arial" w:hAnsi="Arial"/>
                <w:sz w:val="14"/>
                <w:szCs w:val="14"/>
                <w:b w:val="1"/>
                <w:bCs w:val="1"/>
                <w:color w:val="auto"/>
              </w:rPr>
              <w:t>Class A Share</w:t>
            </w:r>
          </w:p>
        </w:tc>
        <w:tc>
          <w:tcPr>
            <w:tcW w:w="0" w:type="dxa"/>
            <w:vAlign w:val="bottom"/>
          </w:tcPr>
          <w:p>
            <w:pPr>
              <w:spacing w:after="0"/>
              <w:rPr>
                <w:sz w:val="1"/>
                <w:szCs w:val="1"/>
                <w:color w:val="auto"/>
              </w:rPr>
            </w:pPr>
          </w:p>
        </w:tc>
      </w:tr>
      <w:tr>
        <w:trPr>
          <w:trHeight w:val="224"/>
        </w:trPr>
        <w:tc>
          <w:tcPr>
            <w:tcW w:w="586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November 12, 2021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ind w:right="18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29"/>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August 13, 2021</w:t>
            </w:r>
          </w:p>
        </w:tc>
        <w:tc>
          <w:tcPr>
            <w:tcW w:w="2060" w:type="dxa"/>
            <w:vAlign w:val="bottom"/>
          </w:tcPr>
          <w:p>
            <w:pPr>
              <w:jc w:val="right"/>
              <w:ind w:right="187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14, 2021</w:t>
            </w:r>
          </w:p>
        </w:tc>
        <w:tc>
          <w:tcPr>
            <w:tcW w:w="2060" w:type="dxa"/>
            <w:vAlign w:val="bottom"/>
            <w:shd w:val="clear" w:color="auto" w:fill="CCEEFF"/>
          </w:tcPr>
          <w:p>
            <w:pPr>
              <w:jc w:val="right"/>
              <w:ind w:right="187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February 12, 2021</w:t>
            </w:r>
          </w:p>
        </w:tc>
        <w:tc>
          <w:tcPr>
            <w:tcW w:w="2060" w:type="dxa"/>
            <w:vAlign w:val="bottom"/>
          </w:tcPr>
          <w:p>
            <w:pPr>
              <w:jc w:val="right"/>
              <w:ind w:right="187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78"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Payable to shareholders of record at the close of business on October 29, 2021 for the period from July 1, 2021 through September 30,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As of September 30, 2021, noncontrolling interests in our subsidiaries consisted of (i) limited partner interests in PAA including a 69% interest in PAA’s common units and PAA’s Series A preferred units combined and 100% of PAA’s Series B preferred units, (ii) an approximate 21% limited partner interest in AAP and (iii) a 33% interest in Red River Pipeline Company LLC (“Red River LLC”).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Equity Repurchase Program</w:t>
      </w:r>
    </w:p>
    <w:p>
      <w:pPr>
        <w:spacing w:after="0" w:line="23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PAA repurchased 11,917,303 common units under the Common Equity Repurchase Program (the “Program”) through open market purchases that settled during the nine months ended September 30, 2021. The total purchase price of these repurchases was $117 million, including commissions and fees. The repurchased common units were canceled immediately upon acquisition, as were the Class C shares held by PAA associated with the repurchased common units. At September 30, 2021, the remaining available capacity under the Program was $333 million. See Note 12 to our Consolidated Financial Statements included in Part IV of our 2020 Annual Report on Form 10-K for additional information regarding the Program.</w:t>
      </w:r>
    </w:p>
    <w:p>
      <w:pPr>
        <w:spacing w:after="0" w:line="18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PAA’s capital attributable to AAP was adjusted, in accordance with ASC 810, to reflect the accretion of its interest in PAA as a result of the repurchase of common units from public unitholders. Such adjustment is recognized by PAGP in proportion to its ownership interest in AAP, which results in a net increase in partners’ capital attributable to PAGP.</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PAA Series A Preferred Unit Distributions</w:t>
      </w:r>
      <w:r>
        <w:rPr>
          <w:rFonts w:ascii="Arial" w:cs="Arial" w:eastAsia="Arial" w:hAnsi="Arial"/>
          <w:sz w:val="18"/>
          <w:szCs w:val="18"/>
          <w:color w:val="auto"/>
        </w:rPr>
        <w:t>. The following table details distributions to PAA’s Series A preferred unitholders paid during or</w:t>
      </w:r>
      <w:r>
        <w:rPr>
          <w:rFonts w:ascii="Arial" w:cs="Arial" w:eastAsia="Arial" w:hAnsi="Arial"/>
          <w:sz w:val="18"/>
          <w:szCs w:val="18"/>
          <w:i w:val="1"/>
          <w:iCs w:val="1"/>
          <w:color w:val="auto"/>
        </w:rPr>
        <w:t xml:space="preserve"> </w:t>
      </w:r>
      <w:r>
        <w:rPr>
          <w:rFonts w:ascii="Arial" w:cs="Arial" w:eastAsia="Arial" w:hAnsi="Arial"/>
          <w:sz w:val="18"/>
          <w:szCs w:val="18"/>
          <w:color w:val="auto"/>
        </w:rPr>
        <w:t>pertaining to the first nine months of 2021 (in millions, except per unit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654"/>
              <w:spacing w:after="0"/>
              <w:rPr>
                <w:sz w:val="20"/>
                <w:szCs w:val="20"/>
                <w:color w:val="auto"/>
              </w:rPr>
            </w:pPr>
            <w:r>
              <w:rPr>
                <w:rFonts w:ascii="Arial" w:cs="Arial" w:eastAsia="Arial" w:hAnsi="Arial"/>
                <w:sz w:val="14"/>
                <w:szCs w:val="14"/>
                <w:b w:val="1"/>
                <w:bCs w:val="1"/>
                <w:color w:val="auto"/>
              </w:rPr>
              <w:t>Series A Preferred Unitholders</w:t>
            </w:r>
          </w:p>
        </w:tc>
      </w:tr>
      <w:tr>
        <w:trPr>
          <w:trHeight w:val="188"/>
        </w:trPr>
        <w:tc>
          <w:tcPr>
            <w:tcW w:w="782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8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Cash Distribution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Distribution per Unit</w:t>
            </w:r>
          </w:p>
        </w:tc>
      </w:tr>
      <w:tr>
        <w:trPr>
          <w:trHeight w:val="224"/>
        </w:trPr>
        <w:tc>
          <w:tcPr>
            <w:tcW w:w="7720" w:type="dxa"/>
            <w:vAlign w:val="bottom"/>
            <w:tcBorders>
              <w:top w:val="single" w:sz="8" w:color="auto"/>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November 12, 2021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0.525</w:t>
            </w:r>
          </w:p>
        </w:tc>
      </w:tr>
      <w:tr>
        <w:trPr>
          <w:trHeight w:val="229"/>
        </w:trPr>
        <w:tc>
          <w:tcPr>
            <w:tcW w:w="7820" w:type="dxa"/>
            <w:vAlign w:val="bottom"/>
            <w:gridSpan w:val="3"/>
          </w:tcPr>
          <w:p>
            <w:pPr>
              <w:ind w:left="20"/>
              <w:spacing w:after="0"/>
              <w:rPr>
                <w:sz w:val="20"/>
                <w:szCs w:val="20"/>
                <w:color w:val="auto"/>
              </w:rPr>
            </w:pPr>
            <w:r>
              <w:rPr>
                <w:rFonts w:ascii="Arial" w:cs="Arial" w:eastAsia="Arial" w:hAnsi="Arial"/>
                <w:sz w:val="18"/>
                <w:szCs w:val="18"/>
                <w:color w:val="auto"/>
              </w:rPr>
              <w:t>August 13, 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0.525</w:t>
            </w:r>
          </w:p>
        </w:tc>
      </w:tr>
      <w:tr>
        <w:trPr>
          <w:trHeight w:val="230"/>
        </w:trPr>
        <w:tc>
          <w:tcPr>
            <w:tcW w:w="7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May 14,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w:t>
            </w:r>
          </w:p>
        </w:tc>
      </w:tr>
      <w:tr>
        <w:trPr>
          <w:trHeight w:val="230"/>
        </w:trPr>
        <w:tc>
          <w:tcPr>
            <w:tcW w:w="7820" w:type="dxa"/>
            <w:vAlign w:val="bottom"/>
            <w:gridSpan w:val="3"/>
          </w:tcPr>
          <w:p>
            <w:pPr>
              <w:ind w:left="20"/>
              <w:spacing w:after="0"/>
              <w:rPr>
                <w:sz w:val="20"/>
                <w:szCs w:val="20"/>
                <w:color w:val="auto"/>
              </w:rPr>
            </w:pPr>
            <w:r>
              <w:rPr>
                <w:rFonts w:ascii="Arial" w:cs="Arial" w:eastAsia="Arial" w:hAnsi="Arial"/>
                <w:sz w:val="18"/>
                <w:szCs w:val="18"/>
                <w:color w:val="auto"/>
              </w:rPr>
              <w:t>February 12, 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0.525</w:t>
            </w:r>
          </w:p>
        </w:tc>
      </w:tr>
      <w:tr>
        <w:trPr>
          <w:trHeight w:val="175"/>
        </w:trPr>
        <w:tc>
          <w:tcPr>
            <w:tcW w:w="3880" w:type="dxa"/>
            <w:vAlign w:val="bottom"/>
            <w:tcBorders>
              <w:bottom w:val="single" w:sz="8" w:color="auto"/>
            </w:tcBorders>
          </w:tcPr>
          <w:p>
            <w:pPr>
              <w:spacing w:after="0"/>
              <w:rPr>
                <w:sz w:val="15"/>
                <w:szCs w:val="15"/>
                <w:color w:val="auto"/>
              </w:rPr>
            </w:pPr>
          </w:p>
        </w:tc>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134" w:lineRule="exact"/>
        <w:rPr>
          <w:sz w:val="20"/>
          <w:szCs w:val="20"/>
          <w:color w:val="auto"/>
        </w:rPr>
      </w:pPr>
    </w:p>
    <w:p>
      <w:pPr>
        <w:ind w:left="660" w:right="300" w:hanging="652"/>
        <w:spacing w:after="0" w:line="234" w:lineRule="auto"/>
        <w:tabs>
          <w:tab w:leader="none" w:pos="64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October 29, 2021 for the period from July 1, 2021 through September 30, 2021. At September 30, 2021, such amount was accrued as distributions payable in “Other current liabilities” on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PAA Series B Preferred Unit Distributions</w:t>
      </w:r>
      <w:r>
        <w:rPr>
          <w:rFonts w:ascii="Arial" w:cs="Arial" w:eastAsia="Arial" w:hAnsi="Arial"/>
          <w:sz w:val="16"/>
          <w:szCs w:val="16"/>
          <w:color w:val="auto"/>
        </w:rPr>
        <w:t>. Distributions on PAA’s Series B preferred units are payable semi-annually in arrears on the 15th day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and November. The following table details distributions paid to PAA’s Series B preferred unitholders (in millions, except per unit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656"/>
              <w:spacing w:after="0"/>
              <w:rPr>
                <w:sz w:val="20"/>
                <w:szCs w:val="20"/>
                <w:color w:val="auto"/>
              </w:rPr>
            </w:pPr>
            <w:r>
              <w:rPr>
                <w:rFonts w:ascii="Arial" w:cs="Arial" w:eastAsia="Arial" w:hAnsi="Arial"/>
                <w:sz w:val="14"/>
                <w:szCs w:val="14"/>
                <w:b w:val="1"/>
                <w:bCs w:val="1"/>
                <w:color w:val="auto"/>
              </w:rPr>
              <w:t>Series B Preferred Unitholders</w:t>
            </w:r>
          </w:p>
        </w:tc>
      </w:tr>
      <w:tr>
        <w:trPr>
          <w:trHeight w:val="188"/>
        </w:trPr>
        <w:tc>
          <w:tcPr>
            <w:tcW w:w="782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8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Cash Distribution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Distribution per Unit</w:t>
            </w:r>
          </w:p>
        </w:tc>
      </w:tr>
      <w:tr>
        <w:trPr>
          <w:trHeight w:val="224"/>
        </w:trPr>
        <w:tc>
          <w:tcPr>
            <w:tcW w:w="7720" w:type="dxa"/>
            <w:vAlign w:val="bottom"/>
            <w:tcBorders>
              <w:top w:val="single" w:sz="8" w:color="auto"/>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November 15, 2021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30.625</w:t>
            </w:r>
          </w:p>
        </w:tc>
      </w:tr>
      <w:tr>
        <w:trPr>
          <w:trHeight w:val="229"/>
        </w:trPr>
        <w:tc>
          <w:tcPr>
            <w:tcW w:w="7820" w:type="dxa"/>
            <w:vAlign w:val="bottom"/>
            <w:gridSpan w:val="3"/>
          </w:tcPr>
          <w:p>
            <w:pPr>
              <w:ind w:left="20"/>
              <w:spacing w:after="0"/>
              <w:rPr>
                <w:sz w:val="20"/>
                <w:szCs w:val="20"/>
                <w:color w:val="auto"/>
              </w:rPr>
            </w:pPr>
            <w:r>
              <w:rPr>
                <w:rFonts w:ascii="Arial" w:cs="Arial" w:eastAsia="Arial" w:hAnsi="Arial"/>
                <w:sz w:val="18"/>
                <w:szCs w:val="18"/>
                <w:color w:val="auto"/>
              </w:rPr>
              <w:t>May 17, 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30.625</w:t>
            </w:r>
          </w:p>
        </w:tc>
      </w:tr>
      <w:tr>
        <w:trPr>
          <w:trHeight w:val="176"/>
        </w:trPr>
        <w:tc>
          <w:tcPr>
            <w:tcW w:w="3880" w:type="dxa"/>
            <w:vAlign w:val="bottom"/>
            <w:tcBorders>
              <w:bottom w:val="single" w:sz="8" w:color="auto"/>
            </w:tcBorders>
          </w:tcPr>
          <w:p>
            <w:pPr>
              <w:spacing w:after="0"/>
              <w:rPr>
                <w:sz w:val="15"/>
                <w:szCs w:val="15"/>
                <w:color w:val="auto"/>
              </w:rPr>
            </w:pPr>
          </w:p>
        </w:tc>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110"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Payable to unitholders of record at the close of business on November 1, 2021 for the period from May 15, 2021 through November 14, 2021.</w:t>
      </w:r>
    </w:p>
    <w:p>
      <w:pPr>
        <w:spacing w:after="0" w:line="28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At September 30, 2021, approximately $18 million of accrued distributions payable to PAA’s Series B preferred unitholders was included in “Other current liabilities” on our Condensed Consolidated Balance Sheet.</w:t>
      </w:r>
    </w:p>
    <w:p>
      <w:pPr>
        <w:spacing w:after="0" w:line="19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PAA Common Unit Distributions. </w:t>
      </w:r>
      <w:r>
        <w:rPr>
          <w:rFonts w:ascii="Arial" w:cs="Arial" w:eastAsia="Arial" w:hAnsi="Arial"/>
          <w:sz w:val="18"/>
          <w:szCs w:val="18"/>
          <w:color w:val="auto"/>
        </w:rPr>
        <w:t>The following table details distributions to PAA’s common unitholders paid during or pertaining to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2021 (in millions, except per unit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6"/>
        </w:trPr>
        <w:tc>
          <w:tcPr>
            <w:tcW w:w="3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rPr>
              <w:t>Common Unitholders</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76"/>
              <w:spacing w:after="0"/>
              <w:rPr>
                <w:sz w:val="20"/>
                <w:szCs w:val="20"/>
                <w:color w:val="auto"/>
              </w:rPr>
            </w:pPr>
            <w:r>
              <w:rPr>
                <w:rFonts w:ascii="Arial" w:cs="Arial" w:eastAsia="Arial" w:hAnsi="Arial"/>
                <w:sz w:val="14"/>
                <w:szCs w:val="14"/>
                <w:b w:val="1"/>
                <w:bCs w:val="1"/>
                <w:color w:val="auto"/>
                <w:w w:val="95"/>
              </w:rPr>
              <w:t>Cash Distribution</w:t>
            </w:r>
          </w:p>
        </w:tc>
      </w:tr>
      <w:tr>
        <w:trPr>
          <w:trHeight w:val="201"/>
        </w:trPr>
        <w:tc>
          <w:tcPr>
            <w:tcW w:w="450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140" w:type="dxa"/>
            <w:vAlign w:val="bottom"/>
          </w:tcPr>
          <w:p>
            <w:pPr>
              <w:jc w:val="right"/>
              <w:ind w:right="76"/>
              <w:spacing w:after="0"/>
              <w:rPr>
                <w:sz w:val="20"/>
                <w:szCs w:val="20"/>
                <w:color w:val="auto"/>
              </w:rPr>
            </w:pPr>
            <w:r>
              <w:rPr>
                <w:rFonts w:ascii="Arial" w:cs="Arial" w:eastAsia="Arial" w:hAnsi="Arial"/>
                <w:sz w:val="14"/>
                <w:szCs w:val="14"/>
                <w:b w:val="1"/>
                <w:bCs w:val="1"/>
                <w:color w:val="auto"/>
              </w:rPr>
              <w:t>Public</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236"/>
              <w:spacing w:after="0"/>
              <w:rPr>
                <w:sz w:val="20"/>
                <w:szCs w:val="20"/>
                <w:color w:val="auto"/>
              </w:rPr>
            </w:pPr>
            <w:r>
              <w:rPr>
                <w:rFonts w:ascii="Arial" w:cs="Arial" w:eastAsia="Arial" w:hAnsi="Arial"/>
                <w:sz w:val="14"/>
                <w:szCs w:val="14"/>
                <w:b w:val="1"/>
                <w:bCs w:val="1"/>
                <w:color w:val="auto"/>
              </w:rPr>
              <w:t>AAP</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 Cash Distribution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36"/>
              <w:spacing w:after="0"/>
              <w:rPr>
                <w:sz w:val="20"/>
                <w:szCs w:val="20"/>
                <w:color w:val="auto"/>
              </w:rPr>
            </w:pPr>
            <w:r>
              <w:rPr>
                <w:rFonts w:ascii="Arial" w:cs="Arial" w:eastAsia="Arial" w:hAnsi="Arial"/>
                <w:sz w:val="14"/>
                <w:szCs w:val="14"/>
                <w:b w:val="1"/>
                <w:bCs w:val="1"/>
                <w:color w:val="auto"/>
                <w:w w:val="98"/>
              </w:rPr>
              <w:t>per Common Unit</w:t>
            </w:r>
          </w:p>
        </w:tc>
      </w:tr>
      <w:tr>
        <w:trPr>
          <w:trHeight w:val="224"/>
        </w:trPr>
        <w:tc>
          <w:tcPr>
            <w:tcW w:w="4400" w:type="dxa"/>
            <w:vAlign w:val="bottom"/>
            <w:tcBorders>
              <w:top w:val="single" w:sz="8" w:color="auto"/>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November 12, 2021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29"/>
        </w:trPr>
        <w:tc>
          <w:tcPr>
            <w:tcW w:w="4500" w:type="dxa"/>
            <w:vAlign w:val="bottom"/>
            <w:gridSpan w:val="3"/>
          </w:tcPr>
          <w:p>
            <w:pPr>
              <w:ind w:left="20"/>
              <w:spacing w:after="0"/>
              <w:rPr>
                <w:sz w:val="20"/>
                <w:szCs w:val="20"/>
                <w:color w:val="auto"/>
              </w:rPr>
            </w:pPr>
            <w:r>
              <w:rPr>
                <w:rFonts w:ascii="Arial" w:cs="Arial" w:eastAsia="Arial" w:hAnsi="Arial"/>
                <w:sz w:val="18"/>
                <w:szCs w:val="18"/>
                <w:color w:val="auto"/>
              </w:rPr>
              <w:t>August 13, 2021</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240" w:type="dxa"/>
            <w:vAlign w:val="bottom"/>
          </w:tcPr>
          <w:p>
            <w:pPr>
              <w:jc w:val="right"/>
              <w:ind w:right="1036"/>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44</w:t>
            </w:r>
          </w:p>
        </w:tc>
        <w:tc>
          <w:tcPr>
            <w:tcW w:w="78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right w:val="single" w:sz="8" w:color="auto"/>
            </w:tcBorders>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30"/>
        </w:trPr>
        <w:tc>
          <w:tcPr>
            <w:tcW w:w="4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May 14, 2021</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80" w:type="dxa"/>
            <w:vAlign w:val="bottom"/>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right w:val="single" w:sz="8" w:color="auto"/>
            </w:tcBorders>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29"/>
        </w:trPr>
        <w:tc>
          <w:tcPr>
            <w:tcW w:w="4500" w:type="dxa"/>
            <w:vAlign w:val="bottom"/>
            <w:gridSpan w:val="3"/>
          </w:tcPr>
          <w:p>
            <w:pPr>
              <w:ind w:left="20"/>
              <w:spacing w:after="0"/>
              <w:rPr>
                <w:sz w:val="20"/>
                <w:szCs w:val="20"/>
                <w:color w:val="auto"/>
              </w:rPr>
            </w:pPr>
            <w:r>
              <w:rPr>
                <w:rFonts w:ascii="Arial" w:cs="Arial" w:eastAsia="Arial" w:hAnsi="Arial"/>
                <w:sz w:val="18"/>
                <w:szCs w:val="18"/>
                <w:color w:val="auto"/>
              </w:rPr>
              <w:t>February 12, 2021</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240" w:type="dxa"/>
            <w:vAlign w:val="bottom"/>
          </w:tcPr>
          <w:p>
            <w:pPr>
              <w:jc w:val="right"/>
              <w:ind w:right="1036"/>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44</w:t>
            </w:r>
          </w:p>
        </w:tc>
        <w:tc>
          <w:tcPr>
            <w:tcW w:w="78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right w:val="single" w:sz="8" w:color="auto"/>
            </w:tcBorders>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176"/>
        </w:trPr>
        <w:tc>
          <w:tcPr>
            <w:tcW w:w="388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r>
    </w:tbl>
    <w:p>
      <w:pPr>
        <w:spacing w:after="0" w:line="112"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October 29, 2021 for the period from July 1, 2021 through September 30, 2021.</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The following table details the distributions to AAP’s partners paid during or pertaining to the first nine months of 2021 from</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received from PAA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Distributions to AAP</w:t>
            </w:r>
            <w:r>
              <w:rPr>
                <w:rFonts w:ascii="Arial" w:cs="Arial" w:eastAsia="Arial" w:hAnsi="Arial"/>
                <w:sz w:val="17"/>
                <w:szCs w:val="17"/>
                <w:color w:val="auto"/>
                <w:w w:val="94"/>
              </w:rPr>
              <w:t>’</w:t>
            </w:r>
            <w:r>
              <w:rPr>
                <w:rFonts w:ascii="Arial" w:cs="Arial" w:eastAsia="Arial" w:hAnsi="Arial"/>
                <w:sz w:val="14"/>
                <w:szCs w:val="14"/>
                <w:b w:val="1"/>
                <w:bCs w:val="1"/>
                <w:color w:val="auto"/>
                <w:w w:val="94"/>
              </w:rPr>
              <w:t>s Partners</w:t>
            </w: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r>
      <w:tr>
        <w:trPr>
          <w:trHeight w:val="181"/>
        </w:trPr>
        <w:tc>
          <w:tcPr>
            <w:tcW w:w="5360" w:type="dxa"/>
            <w:vAlign w:val="bottom"/>
            <w:gridSpan w:val="2"/>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Noncontrolling Interests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PAGP</w:t>
            </w:r>
          </w:p>
        </w:tc>
        <w:tc>
          <w:tcPr>
            <w:tcW w:w="160" w:type="dxa"/>
            <w:vAlign w:val="bottom"/>
          </w:tcPr>
          <w:p>
            <w:pPr>
              <w:spacing w:after="0"/>
              <w:rPr>
                <w:sz w:val="15"/>
                <w:szCs w:val="15"/>
                <w:color w:val="auto"/>
              </w:rPr>
            </w:pPr>
          </w:p>
        </w:tc>
        <w:tc>
          <w:tcPr>
            <w:tcW w:w="1740" w:type="dxa"/>
            <w:vAlign w:val="bottom"/>
          </w:tcPr>
          <w:p>
            <w:pPr>
              <w:jc w:val="right"/>
              <w:ind w:right="134"/>
              <w:spacing w:after="0"/>
              <w:rPr>
                <w:sz w:val="20"/>
                <w:szCs w:val="20"/>
                <w:color w:val="auto"/>
              </w:rPr>
            </w:pPr>
            <w:r>
              <w:rPr>
                <w:rFonts w:ascii="Arial" w:cs="Arial" w:eastAsia="Arial" w:hAnsi="Arial"/>
                <w:sz w:val="14"/>
                <w:szCs w:val="14"/>
                <w:b w:val="1"/>
                <w:bCs w:val="1"/>
                <w:color w:val="auto"/>
                <w:w w:val="97"/>
              </w:rPr>
              <w:t>Total Cash Distribution</w:t>
            </w:r>
          </w:p>
        </w:tc>
      </w:tr>
      <w:tr>
        <w:trPr>
          <w:trHeight w:val="224"/>
        </w:trPr>
        <w:tc>
          <w:tcPr>
            <w:tcW w:w="524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November 12, 2021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514"/>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August 13, 2021</w:t>
            </w:r>
          </w:p>
        </w:tc>
        <w:tc>
          <w:tcPr>
            <w:tcW w:w="1700" w:type="dxa"/>
            <w:vAlign w:val="bottom"/>
          </w:tcPr>
          <w:p>
            <w:pPr>
              <w:jc w:val="right"/>
              <w:ind w:right="1514"/>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9</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14, 2021</w:t>
            </w:r>
          </w:p>
        </w:tc>
        <w:tc>
          <w:tcPr>
            <w:tcW w:w="1700" w:type="dxa"/>
            <w:vAlign w:val="bottom"/>
            <w:shd w:val="clear" w:color="auto" w:fill="CCEEFF"/>
          </w:tcPr>
          <w:p>
            <w:pPr>
              <w:jc w:val="right"/>
              <w:ind w:right="1514"/>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9</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February 12, 2021</w:t>
            </w:r>
          </w:p>
        </w:tc>
        <w:tc>
          <w:tcPr>
            <w:tcW w:w="1700" w:type="dxa"/>
            <w:vAlign w:val="bottom"/>
          </w:tcPr>
          <w:p>
            <w:pPr>
              <w:jc w:val="right"/>
              <w:ind w:right="1514"/>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9</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24599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66"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October 29, 2021 for the period from July 1, 2021 through September 30, 2021.</w:t>
      </w:r>
    </w:p>
    <w:p>
      <w:pPr>
        <w:spacing w:after="0" w:line="33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Other Distributions. </w:t>
      </w:r>
      <w:r>
        <w:rPr>
          <w:rFonts w:ascii="Arial" w:cs="Arial" w:eastAsia="Arial" w:hAnsi="Arial"/>
          <w:sz w:val="18"/>
          <w:szCs w:val="18"/>
          <w:color w:val="auto"/>
        </w:rPr>
        <w:t>During the nine months ended September 30, 2021, we paid distributions of $10 million to noncontrolling interests in Red</w:t>
      </w:r>
      <w:r>
        <w:rPr>
          <w:rFonts w:ascii="Arial" w:cs="Arial" w:eastAsia="Arial" w:hAnsi="Arial"/>
          <w:sz w:val="18"/>
          <w:szCs w:val="18"/>
          <w:i w:val="1"/>
          <w:iCs w:val="1"/>
          <w:color w:val="auto"/>
        </w:rPr>
        <w:t xml:space="preserve"> </w:t>
      </w:r>
      <w:r>
        <w:rPr>
          <w:rFonts w:ascii="Arial" w:cs="Arial" w:eastAsia="Arial" w:hAnsi="Arial"/>
          <w:sz w:val="18"/>
          <w:szCs w:val="18"/>
          <w:color w:val="auto"/>
        </w:rPr>
        <w:t>River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8—Derivatives and Risk Management Activities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(i) commodity price risk,</w:t>
      </w:r>
    </w:p>
    <w:p>
      <w:pPr>
        <w:ind w:firstLine="8"/>
        <w:spacing w:after="0" w:line="268" w:lineRule="auto"/>
        <w:tabs>
          <w:tab w:leader="none" w:pos="2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interest rates or currency exchange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20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spacing w:after="0" w:line="18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92" w:lineRule="exact"/>
        <w:rPr>
          <w:sz w:val="20"/>
          <w:szCs w:val="20"/>
          <w:color w:val="auto"/>
        </w:rPr>
      </w:pPr>
    </w:p>
    <w:p>
      <w:pPr>
        <w:ind w:right="260" w:firstLine="607"/>
        <w:spacing w:after="0" w:line="259" w:lineRule="auto"/>
        <w:rPr>
          <w:sz w:val="20"/>
          <w:szCs w:val="20"/>
          <w:color w:val="auto"/>
        </w:rPr>
      </w:pPr>
      <w:r>
        <w:rPr>
          <w:rFonts w:ascii="Arial" w:cs="Arial" w:eastAsia="Arial" w:hAnsi="Arial"/>
          <w:sz w:val="18"/>
          <w:szCs w:val="18"/>
          <w:color w:val="auto"/>
        </w:rPr>
        <w:t>At September 30, 2021 and December 31, 2020,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can be divided into the following general categories:</w:t>
      </w:r>
    </w:p>
    <w:p>
      <w:pPr>
        <w:spacing w:after="0" w:line="15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September 30, 2021, net derivative positions related to these activities included:</w:t>
      </w:r>
    </w:p>
    <w:p>
      <w:pPr>
        <w:spacing w:after="0" w:line="146" w:lineRule="exact"/>
        <w:rPr>
          <w:sz w:val="20"/>
          <w:szCs w:val="20"/>
          <w:color w:val="auto"/>
        </w:rPr>
      </w:pPr>
    </w:p>
    <w:p>
      <w:pPr>
        <w:ind w:left="980" w:right="4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long position of 10.7 million barrels associated with our crude oil purchases, which was unwound ratably during October 2021 to match monthly average pricing.</w:t>
      </w:r>
    </w:p>
    <w:p>
      <w:pPr>
        <w:spacing w:after="0" w:line="116"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short time spread position of 1.4 million barrels, which hedges a portion of our anticipated crude oil lease gathering purchases through December 2022.</w:t>
      </w:r>
    </w:p>
    <w:p>
      <w:pPr>
        <w:spacing w:after="0" w:line="116"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crude oil basis spread position of 11.0 million barrels at multiple locations through December 2022. These derivatives allow us to lock in grade and location basis differentials.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net short position of 16.5 million barrels through December 2023 related to anticipated net sales of crude oil and NGL inventory.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We purchase natural gas for processing and operational needs. Additionally, we purchase NGL</w:t>
      </w:r>
      <w:r>
        <w:rPr>
          <w:rFonts w:ascii="Arial" w:cs="Arial" w:eastAsia="Arial" w:hAnsi="Arial"/>
          <w:sz w:val="17"/>
          <w:szCs w:val="17"/>
          <w:i w:val="1"/>
          <w:iCs w:val="1"/>
          <w:color w:val="auto"/>
        </w:rPr>
        <w:t xml:space="preserve"> </w:t>
      </w:r>
      <w:r>
        <w:rPr>
          <w:rFonts w:ascii="Arial" w:cs="Arial" w:eastAsia="Arial" w:hAnsi="Arial"/>
          <w:sz w:val="17"/>
          <w:szCs w:val="17"/>
          <w:color w:val="auto"/>
        </w:rPr>
        <w:t>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September 30,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Notional Volume</w:t>
            </w:r>
          </w:p>
        </w:tc>
        <w:tc>
          <w:tcPr>
            <w:tcW w:w="2180" w:type="dxa"/>
            <w:vAlign w:val="bottom"/>
          </w:tcPr>
          <w:p>
            <w:pPr>
              <w:spacing w:after="0"/>
              <w:rPr>
                <w:sz w:val="16"/>
                <w:szCs w:val="16"/>
                <w:color w:val="auto"/>
              </w:rPr>
            </w:pPr>
          </w:p>
        </w:tc>
      </w:tr>
      <w:tr>
        <w:trPr>
          <w:trHeight w:val="195"/>
        </w:trPr>
        <w:tc>
          <w:tcPr>
            <w:tcW w:w="6780" w:type="dxa"/>
            <w:vAlign w:val="bottom"/>
          </w:tcPr>
          <w:p>
            <w:pPr>
              <w:spacing w:after="0"/>
              <w:rPr>
                <w:sz w:val="16"/>
                <w:szCs w:val="16"/>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(Short)/Long</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Tenor</w:t>
            </w:r>
          </w:p>
        </w:tc>
      </w:tr>
      <w:tr>
        <w:trPr>
          <w:trHeight w:val="229"/>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purchases</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67.4 Bcf</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2023</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Propane sales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(12.6)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2023</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Butane sales</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(1.9) MMbls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2023</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Condensate sales (WTI position)</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(2.5)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2023</w:t>
            </w:r>
          </w:p>
        </w:tc>
      </w:tr>
      <w:tr>
        <w:trPr>
          <w:trHeight w:val="229"/>
        </w:trPr>
        <w:tc>
          <w:tcPr>
            <w:tcW w:w="6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Fuel gas requirements </w:t>
            </w:r>
            <w:r>
              <w:rPr>
                <w:rFonts w:ascii="Arial" w:cs="Arial" w:eastAsia="Arial" w:hAnsi="Arial"/>
                <w:sz w:val="23"/>
                <w:szCs w:val="23"/>
                <w:color w:val="auto"/>
                <w:vertAlign w:val="superscript"/>
              </w:rPr>
              <w:t>(1)</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8.9 Bcf</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r>
      <w:tr>
        <w:trPr>
          <w:trHeight w:val="304"/>
        </w:trPr>
        <w:tc>
          <w:tcPr>
            <w:tcW w:w="6780" w:type="dxa"/>
            <w:vAlign w:val="bottom"/>
          </w:tcPr>
          <w:p>
            <w:pPr>
              <w:ind w:left="20"/>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3"/>
                <w:szCs w:val="23"/>
                <w:color w:val="auto"/>
                <w:vertAlign w:val="superscript"/>
              </w:rPr>
              <w:t>(1)</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0.7 TWh</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2459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38"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Positions to hedge a portion of our power supply and fuel gas requirements at our Canadian natural gas processing and fractionation plants.</w:t>
      </w:r>
    </w:p>
    <w:p>
      <w:pPr>
        <w:spacing w:after="0" w:line="22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4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8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w w:val="96"/>
              </w:rPr>
              <w:t>September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205"/>
        </w:trPr>
        <w:tc>
          <w:tcPr>
            <w:tcW w:w="58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Supply and Logistics segment revenues</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Field operating costs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5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gain/(loss) from commodity derivative activity</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tbl>
      <w:tblPr>
        <w:tblLayout w:type="fixed"/>
        <w:tblInd w:w="0" w:type="dxa"/>
        <w:tblCellMar>
          <w:top w:w="0" w:type="dxa"/>
          <w:left w:w="0" w:type="dxa"/>
          <w:bottom w:w="0" w:type="dxa"/>
          <w:right w:w="0" w:type="dxa"/>
        </w:tblCellMar>
      </w:tblPr>
      <w:tr>
        <w:trPr>
          <w:trHeight w:val="145"/>
        </w:trPr>
        <w:tc>
          <w:tcPr>
            <w:tcW w:w="8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2"/>
                <w:szCs w:val="12"/>
                <w:color w:val="auto"/>
              </w:rPr>
            </w:pPr>
          </w:p>
        </w:tc>
        <w:tc>
          <w:tcPr>
            <w:tcW w:w="1100" w:type="dxa"/>
            <w:vAlign w:val="bottom"/>
          </w:tcPr>
          <w:p>
            <w:pPr>
              <w:jc w:val="right"/>
              <w:ind w:right="136"/>
              <w:spacing w:after="0" w:line="145" w:lineRule="exact"/>
              <w:rPr>
                <w:sz w:val="20"/>
                <w:szCs w:val="20"/>
                <w:color w:val="auto"/>
              </w:rPr>
            </w:pPr>
            <w:r>
              <w:rPr>
                <w:rFonts w:ascii="Arial" w:cs="Arial" w:eastAsia="Arial" w:hAnsi="Arial"/>
                <w:sz w:val="14"/>
                <w:szCs w:val="14"/>
                <w:b w:val="1"/>
                <w:bCs w:val="1"/>
                <w:color w:val="auto"/>
                <w:w w:val="94"/>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84"/>
        </w:trPr>
        <w:tc>
          <w:tcPr>
            <w:tcW w:w="8600" w:type="dxa"/>
            <w:vAlign w:val="bottom"/>
          </w:tcPr>
          <w:p>
            <w:pPr>
              <w:ind w:left="20"/>
              <w:spacing w:after="0"/>
              <w:rPr>
                <w:sz w:val="20"/>
                <w:szCs w:val="20"/>
                <w:color w:val="auto"/>
              </w:rPr>
            </w:pPr>
            <w:r>
              <w:rPr>
                <w:rFonts w:ascii="Arial" w:cs="Arial" w:eastAsia="Arial" w:hAnsi="Arial"/>
                <w:sz w:val="18"/>
                <w:szCs w:val="18"/>
                <w:color w:val="auto"/>
              </w:rPr>
              <w:t>Variation margin posted/(returned)</w:t>
            </w:r>
          </w:p>
        </w:tc>
        <w:tc>
          <w:tcPr>
            <w:tcW w:w="140" w:type="dxa"/>
            <w:vAlign w:val="bottom"/>
          </w:tcPr>
          <w:p>
            <w:pPr>
              <w:spacing w:after="0"/>
              <w:rPr>
                <w:sz w:val="24"/>
                <w:szCs w:val="24"/>
                <w:color w:val="auto"/>
              </w:rPr>
            </w:pPr>
          </w:p>
        </w:tc>
        <w:tc>
          <w:tcPr>
            <w:tcW w:w="1120" w:type="dxa"/>
            <w:vAlign w:val="bottom"/>
          </w:tcPr>
          <w:p>
            <w:pPr>
              <w:ind w:left="78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3"/>
              </w:rPr>
              <w:t>(50)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Net broker receivable/(payable)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20"/>
        </w:trPr>
        <w:tc>
          <w:tcPr>
            <w:tcW w:w="8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58"/>
        </w:trPr>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7"/>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1"/>
                <w:szCs w:val="11"/>
                <w:color w:val="auto"/>
              </w:rPr>
            </w:pPr>
          </w:p>
        </w:tc>
        <w:tc>
          <w:tcPr>
            <w:tcW w:w="106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1"/>
                <w:szCs w:val="11"/>
                <w:color w:val="auto"/>
              </w:rPr>
            </w:pPr>
          </w:p>
        </w:tc>
        <w:tc>
          <w:tcPr>
            <w:tcW w:w="88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80" w:type="dxa"/>
            <w:vAlign w:val="bottom"/>
            <w:gridSpan w:val="4"/>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200" w:type="dxa"/>
            <w:vAlign w:val="bottom"/>
          </w:tcPr>
          <w:p>
            <w:pPr>
              <w:spacing w:after="0"/>
              <w:rPr>
                <w:sz w:val="11"/>
                <w:szCs w:val="11"/>
                <w:color w:val="auto"/>
              </w:rPr>
            </w:pPr>
          </w:p>
        </w:tc>
        <w:tc>
          <w:tcPr>
            <w:tcW w:w="18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02"/>
        </w:trPr>
        <w:tc>
          <w:tcPr>
            <w:tcW w:w="25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20" w:type="dxa"/>
            <w:vAlign w:val="bottom"/>
          </w:tcPr>
          <w:p>
            <w:pPr>
              <w:spacing w:after="0"/>
              <w:rPr>
                <w:sz w:val="8"/>
                <w:szCs w:val="8"/>
                <w:color w:val="auto"/>
              </w:rPr>
            </w:pPr>
          </w:p>
        </w:tc>
        <w:tc>
          <w:tcPr>
            <w:tcW w:w="1060" w:type="dxa"/>
            <w:vAlign w:val="bottom"/>
            <w:gridSpan w:val="3"/>
          </w:tcPr>
          <w:p>
            <w:pPr>
              <w:jc w:val="center"/>
              <w:ind w:right="300"/>
              <w:spacing w:after="0" w:line="102" w:lineRule="exact"/>
              <w:rPr>
                <w:sz w:val="20"/>
                <w:szCs w:val="20"/>
                <w:color w:val="auto"/>
              </w:rPr>
            </w:pPr>
            <w:r>
              <w:rPr>
                <w:rFonts w:ascii="Arial" w:cs="Arial" w:eastAsia="Arial" w:hAnsi="Arial"/>
                <w:sz w:val="11"/>
                <w:szCs w:val="11"/>
                <w:b w:val="1"/>
                <w:bCs w:val="1"/>
                <w:color w:val="auto"/>
              </w:rPr>
              <w:t>the Balance</w:t>
            </w:r>
          </w:p>
        </w:tc>
        <w:tc>
          <w:tcPr>
            <w:tcW w:w="2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20" w:type="dxa"/>
            <w:vAlign w:val="bottom"/>
          </w:tcPr>
          <w:p>
            <w:pPr>
              <w:spacing w:after="0"/>
              <w:rPr>
                <w:sz w:val="8"/>
                <w:szCs w:val="8"/>
                <w:color w:val="auto"/>
              </w:rPr>
            </w:pPr>
          </w:p>
        </w:tc>
        <w:tc>
          <w:tcPr>
            <w:tcW w:w="880" w:type="dxa"/>
            <w:vAlign w:val="bottom"/>
          </w:tcPr>
          <w:p>
            <w:pPr>
              <w:jc w:val="center"/>
              <w:ind w:right="39"/>
              <w:spacing w:after="0" w:line="102" w:lineRule="exact"/>
              <w:rPr>
                <w:sz w:val="20"/>
                <w:szCs w:val="20"/>
                <w:color w:val="auto"/>
              </w:rPr>
            </w:pPr>
            <w:r>
              <w:rPr>
                <w:rFonts w:ascii="Arial" w:cs="Arial" w:eastAsia="Arial" w:hAnsi="Arial"/>
                <w:sz w:val="11"/>
                <w:szCs w:val="11"/>
                <w:b w:val="1"/>
                <w:bCs w:val="1"/>
                <w:color w:val="auto"/>
              </w:rPr>
              <w:t>the Balance</w:t>
            </w:r>
          </w:p>
        </w:tc>
        <w:tc>
          <w:tcPr>
            <w:tcW w:w="0" w:type="dxa"/>
            <w:vAlign w:val="bottom"/>
          </w:tcPr>
          <w:p>
            <w:pPr>
              <w:spacing w:after="0"/>
              <w:rPr>
                <w:sz w:val="1"/>
                <w:szCs w:val="1"/>
                <w:color w:val="auto"/>
              </w:rPr>
            </w:pPr>
          </w:p>
        </w:tc>
      </w:tr>
      <w:tr>
        <w:trPr>
          <w:trHeight w:val="201"/>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3"/>
              </w:rPr>
              <w:t>Sheet</w:t>
            </w:r>
          </w:p>
        </w:tc>
        <w:tc>
          <w:tcPr>
            <w:tcW w:w="20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11"/>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76"/>
        </w:trPr>
        <w:tc>
          <w:tcPr>
            <w:tcW w:w="256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2560" w:type="dxa"/>
            <w:vAlign w:val="bottom"/>
          </w:tcPr>
          <w:p>
            <w:pPr>
              <w:ind w:left="180"/>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terms of our outstanding interest rate derivatives as of September 30, 2021 (notional amounts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Hedged Transaction</w:t>
            </w:r>
          </w:p>
        </w:tc>
        <w:tc>
          <w:tcPr>
            <w:tcW w:w="2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and Types of</w:t>
            </w: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Expected</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Average Rate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88"/>
        </w:trPr>
        <w:tc>
          <w:tcPr>
            <w:tcW w:w="2860" w:type="dxa"/>
            <w:vAlign w:val="bottom"/>
            <w:gridSpan w:val="2"/>
            <w:vMerge w:val="continue"/>
          </w:tcPr>
          <w:p>
            <w:pPr>
              <w:spacing w:after="0"/>
              <w:rPr>
                <w:sz w:val="16"/>
                <w:szCs w:val="16"/>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Derivatives Employed</w:t>
            </w:r>
          </w:p>
        </w:tc>
        <w:tc>
          <w:tcPr>
            <w:tcW w:w="16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Termination Date</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Locked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70"/>
        </w:trPr>
        <w:tc>
          <w:tcPr>
            <w:tcW w:w="276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Anticipated interest payments</w:t>
            </w:r>
          </w:p>
        </w:tc>
        <w:tc>
          <w:tcPr>
            <w:tcW w:w="100" w:type="dxa"/>
            <w:vAlign w:val="bottom"/>
            <w:tcBorders>
              <w:top w:val="single" w:sz="8" w:color="CCEEFF"/>
            </w:tcBorders>
            <w:shd w:val="clear" w:color="auto" w:fill="CCEEFF"/>
          </w:tcPr>
          <w:p>
            <w:pPr>
              <w:spacing w:after="0"/>
              <w:rPr>
                <w:sz w:val="14"/>
                <w:szCs w:val="14"/>
                <w:color w:val="auto"/>
              </w:rPr>
            </w:pPr>
          </w:p>
        </w:tc>
        <w:tc>
          <w:tcPr>
            <w:tcW w:w="244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1"/>
              </w:rPr>
              <w:t>8 forward starting swaps</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200</w:t>
            </w:r>
          </w:p>
        </w:tc>
        <w:tc>
          <w:tcPr>
            <w:tcW w:w="12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9"/>
              </w:rPr>
              <w:t>6/15/2023</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1.38 %</w:t>
            </w:r>
          </w:p>
        </w:tc>
        <w:tc>
          <w:tcPr>
            <w:tcW w:w="12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(30-year)</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Anticipated interest payments</w:t>
            </w:r>
          </w:p>
        </w:tc>
        <w:tc>
          <w:tcPr>
            <w:tcW w:w="254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1"/>
              </w:rPr>
              <w:t>8 forward starting swaps</w:t>
            </w: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200</w:t>
            </w:r>
          </w:p>
        </w:tc>
        <w:tc>
          <w:tcPr>
            <w:tcW w:w="12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color w:val="auto"/>
                <w:w w:val="89"/>
              </w:rPr>
              <w:t>6/14/2024</w:t>
            </w:r>
          </w:p>
        </w:tc>
        <w:tc>
          <w:tcPr>
            <w:tcW w:w="1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0.73 %</w:t>
            </w:r>
          </w:p>
        </w:tc>
        <w:tc>
          <w:tcPr>
            <w:tcW w:w="12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(30-year)</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of September 30, 2021, there was a net loss of $194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2054 as the underlying hedged transactions impact earnings. A portion of these amounts is based on market prices as of September 30, 2021; thus, actual amounts to be reclassified will differ and could vary materially as a result of changes in market conditions.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60" w:type="dxa"/>
            <w:vAlign w:val="bottom"/>
            <w:gridSpan w:val="4"/>
          </w:tcPr>
          <w:p>
            <w:pPr>
              <w:jc w:val="center"/>
              <w:ind w:left="282"/>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4"/>
          </w:tcPr>
          <w:p>
            <w:pPr>
              <w:jc w:val="center"/>
              <w:ind w:left="322"/>
              <w:spacing w:after="0"/>
              <w:rPr>
                <w:sz w:val="20"/>
                <w:szCs w:val="20"/>
                <w:color w:val="auto"/>
              </w:rPr>
            </w:pPr>
            <w:r>
              <w:rPr>
                <w:rFonts w:ascii="Arial" w:cs="Arial" w:eastAsia="Arial" w:hAnsi="Arial"/>
                <w:sz w:val="14"/>
                <w:szCs w:val="14"/>
                <w:b w:val="1"/>
                <w:bCs w:val="1"/>
                <w:color w:val="auto"/>
                <w:w w:val="94"/>
              </w:rPr>
              <w:t>Nine Months Ended</w:t>
            </w:r>
          </w:p>
        </w:tc>
        <w:tc>
          <w:tcPr>
            <w:tcW w:w="400" w:type="dxa"/>
            <w:vAlign w:val="bottom"/>
          </w:tcPr>
          <w:p>
            <w:pPr>
              <w:spacing w:after="0"/>
              <w:rPr>
                <w:sz w:val="14"/>
                <w:szCs w:val="14"/>
                <w:color w:val="auto"/>
              </w:rPr>
            </w:pPr>
          </w:p>
        </w:tc>
      </w:tr>
      <w:tr>
        <w:trPr>
          <w:trHeight w:val="188"/>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379"/>
              <w:spacing w:after="0"/>
              <w:rPr>
                <w:sz w:val="20"/>
                <w:szCs w:val="20"/>
                <w:color w:val="auto"/>
              </w:rPr>
            </w:pPr>
            <w:r>
              <w:rPr>
                <w:rFonts w:ascii="Arial" w:cs="Arial" w:eastAsia="Arial" w:hAnsi="Arial"/>
                <w:sz w:val="14"/>
                <w:szCs w:val="14"/>
                <w:b w:val="1"/>
                <w:bCs w:val="1"/>
                <w:color w:val="auto"/>
                <w:w w:val="89"/>
              </w:rPr>
              <w:t>September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339"/>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r>
      <w:tr>
        <w:trPr>
          <w:trHeight w:val="183"/>
        </w:trPr>
        <w:tc>
          <w:tcPr>
            <w:tcW w:w="58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derivatives, net</w:t>
            </w: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At September 30, 2021, the net fair value of our interest rate hedges, which were included in “Other long-term assets, net” on our Condensed Consolidated Balance Sheet, totaled $81 million. At December 31, 2020, the net fair value of these hedges totaled $46 million and was included in “Other long-term assets, net.”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46"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Our use of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September 30, 2021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USD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24"/>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Forward exchange contracts that exchange CAD for USD:</w:t>
            </w:r>
          </w:p>
        </w:tc>
        <w:tc>
          <w:tcPr>
            <w:tcW w:w="1540" w:type="dxa"/>
            <w:vAlign w:val="bottom"/>
            <w:tcBorders>
              <w:top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2021</w:t>
            </w: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$1.00 - $1.27</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These derivatives are not designated in a hedging relationship for accounting purposes. As such, changes in fair value are recognized in earnings as a component of Supply and Logistics segment revenues. For the three months ended September 30, 2021 and 2020, the amounts recognized in earnings for our foreign currency derivatives were a loss of $3 million and a gain of $2 million, respectively. For the nine months ended September 30, 2021 and 2020, the amounts recognized in earnings for our foreign currency derivatives were a gain of less than $1 million and a loss of $2 million, respectively.</w:t>
      </w:r>
    </w:p>
    <w:p>
      <w:pPr>
        <w:spacing w:after="0" w:line="18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At September 30, 2021 and December 31, 2020, the net fair value of these foreign currency derivatives, which was included in “Other current assets” on our Condensed Consolidated Balance Sheets, totaled $1 million and $2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Condensed Consolidated Balance Sheets. This embedded derivative is not designated in a hedging relationship for accounting purposes and corresponding changes in fair value are recognized in “Other expense, net” in our Condensed Consolidated Statement of Operations. For the three months ended September 30, 2021 and 2020, we recognized a gain of $4 million and a loss of $10 million, respectively. For the nine months ended September 30, 2021 and 2020, we recognized net gains of $13 million and $7 million, respectively. The fair value of the Preferred Distribution Rate Reset Option, which was included in “Other long-term liabilities and deferred credits” on our Condensed Consolidated Balance Sheets, totaled $1 million and $14 million at September 30, 2021 and December 31, 2020, respectively. See Note 12 to our Consolidated Financial Statements included in Part IV of our 2020 Annual Report on Form 10-K for additional information regarding the PAA Series A preferred units and the Preferred Distribution Rate Reset Option.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23"/>
                <w:szCs w:val="23"/>
                <w:b w:val="1"/>
                <w:bCs w:val="1"/>
                <w:color w:val="auto"/>
                <w:vertAlign w:val="superscript"/>
              </w:rPr>
              <w:t>(1)</w:t>
            </w:r>
          </w:p>
        </w:tc>
        <w:tc>
          <w:tcPr>
            <w:tcW w:w="140" w:type="dxa"/>
            <w:vAlign w:val="bottom"/>
          </w:tcPr>
          <w:p>
            <w:pPr>
              <w:spacing w:after="0"/>
              <w:rPr>
                <w:sz w:val="16"/>
                <w:szCs w:val="16"/>
                <w:color w:val="auto"/>
              </w:rPr>
            </w:pPr>
          </w:p>
        </w:tc>
        <w:tc>
          <w:tcPr>
            <w:tcW w:w="3320" w:type="dxa"/>
            <w:vAlign w:val="bottom"/>
            <w:gridSpan w:val="12"/>
          </w:tcPr>
          <w:p>
            <w:pPr>
              <w:ind w:left="380"/>
              <w:spacing w:after="0"/>
              <w:rPr>
                <w:sz w:val="20"/>
                <w:szCs w:val="20"/>
                <w:color w:val="auto"/>
              </w:rPr>
            </w:pPr>
            <w:r>
              <w:rPr>
                <w:rFonts w:ascii="Arial" w:cs="Arial" w:eastAsia="Arial" w:hAnsi="Arial"/>
                <w:sz w:val="14"/>
                <w:szCs w:val="14"/>
                <w:b w:val="1"/>
                <w:bCs w:val="1"/>
                <w:color w:val="auto"/>
              </w:rPr>
              <w:t>Fair Value as of September 30, 2021</w:t>
            </w:r>
          </w:p>
        </w:tc>
        <w:tc>
          <w:tcPr>
            <w:tcW w:w="140" w:type="dxa"/>
            <w:vAlign w:val="bottom"/>
          </w:tcPr>
          <w:p>
            <w:pPr>
              <w:spacing w:after="0"/>
              <w:rPr>
                <w:sz w:val="16"/>
                <w:szCs w:val="16"/>
                <w:color w:val="auto"/>
              </w:rPr>
            </w:pPr>
          </w:p>
        </w:tc>
        <w:tc>
          <w:tcPr>
            <w:tcW w:w="2580" w:type="dxa"/>
            <w:vAlign w:val="bottom"/>
            <w:gridSpan w:val="9"/>
          </w:tcPr>
          <w:p>
            <w:pPr>
              <w:ind w:left="400"/>
              <w:spacing w:after="0"/>
              <w:rPr>
                <w:sz w:val="20"/>
                <w:szCs w:val="20"/>
                <w:color w:val="auto"/>
              </w:rPr>
            </w:pPr>
            <w:r>
              <w:rPr>
                <w:rFonts w:ascii="Arial" w:cs="Arial" w:eastAsia="Arial" w:hAnsi="Arial"/>
                <w:sz w:val="14"/>
                <w:szCs w:val="14"/>
                <w:b w:val="1"/>
                <w:bCs w:val="1"/>
                <w:color w:val="auto"/>
                <w:w w:val="92"/>
              </w:rPr>
              <w:t>Fair Value as of December 31, 2020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00" w:type="dxa"/>
            <w:vAlign w:val="bottom"/>
            <w:gridSpan w:val="3"/>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220" w:type="dxa"/>
            <w:vAlign w:val="bottom"/>
            <w:gridSpan w:val="2"/>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3"/>
        </w:trPr>
        <w:tc>
          <w:tcPr>
            <w:tcW w:w="43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Commodity derivatives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center"/>
              <w:ind w:left="175"/>
              <w:spacing w:after="0"/>
              <w:rPr>
                <w:sz w:val="20"/>
                <w:szCs w:val="20"/>
                <w:color w:val="auto"/>
              </w:rPr>
            </w:pPr>
            <w:r>
              <w:rPr>
                <w:rFonts w:ascii="Arial" w:cs="Arial" w:eastAsia="Arial" w:hAnsi="Arial"/>
                <w:sz w:val="18"/>
                <w:szCs w:val="18"/>
                <w:color w:val="auto"/>
                <w:w w:val="93"/>
              </w:rPr>
              <w:t>(19)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9"/>
              </w:rPr>
              <w:t>(6)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center"/>
              <w:ind w:left="193"/>
              <w:spacing w:after="0"/>
              <w:rPr>
                <w:sz w:val="20"/>
                <w:szCs w:val="20"/>
                <w:color w:val="auto"/>
              </w:rPr>
            </w:pPr>
            <w:r>
              <w:rPr>
                <w:rFonts w:ascii="Arial" w:cs="Arial" w:eastAsia="Arial" w:hAnsi="Arial"/>
                <w:sz w:val="18"/>
                <w:szCs w:val="18"/>
                <w:color w:val="auto"/>
                <w:w w:val="93"/>
              </w:rPr>
              <w:t>(15)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9"/>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19"/>
                <w:szCs w:val="19"/>
                <w:color w:val="auto"/>
              </w:rPr>
            </w:pPr>
          </w:p>
        </w:tc>
        <w:tc>
          <w:tcPr>
            <w:tcW w:w="700" w:type="dxa"/>
            <w:vAlign w:val="bottom"/>
            <w:gridSpan w:val="2"/>
          </w:tcPr>
          <w:p>
            <w:pPr>
              <w:jc w:val="center"/>
              <w:ind w:left="75"/>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center"/>
              <w:ind w:left="93"/>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center"/>
              <w:ind w:left="75"/>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center"/>
              <w:ind w:left="93"/>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Preferred Distribution Rate Reset Option</w:t>
            </w:r>
          </w:p>
        </w:tc>
        <w:tc>
          <w:tcPr>
            <w:tcW w:w="140" w:type="dxa"/>
            <w:vAlign w:val="bottom"/>
          </w:tcPr>
          <w:p>
            <w:pPr>
              <w:spacing w:after="0"/>
              <w:rPr>
                <w:sz w:val="19"/>
                <w:szCs w:val="19"/>
                <w:color w:val="auto"/>
              </w:rPr>
            </w:pPr>
          </w:p>
        </w:tc>
        <w:tc>
          <w:tcPr>
            <w:tcW w:w="700" w:type="dxa"/>
            <w:vAlign w:val="bottom"/>
            <w:gridSpan w:val="2"/>
          </w:tcPr>
          <w:p>
            <w:pPr>
              <w:jc w:val="center"/>
              <w:ind w:left="75"/>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ind w:left="38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center"/>
              <w:ind w:left="193"/>
              <w:spacing w:after="0"/>
              <w:rPr>
                <w:sz w:val="20"/>
                <w:szCs w:val="20"/>
                <w:color w:val="auto"/>
              </w:rPr>
            </w:pPr>
            <w:r>
              <w:rPr>
                <w:rFonts w:ascii="Arial" w:cs="Arial" w:eastAsia="Arial" w:hAnsi="Arial"/>
                <w:sz w:val="18"/>
                <w:szCs w:val="18"/>
                <w:color w:val="auto"/>
                <w:w w:val="93"/>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net derivative asset/(liability)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center"/>
              <w:ind w:left="175"/>
              <w:spacing w:after="0"/>
              <w:rPr>
                <w:sz w:val="20"/>
                <w:szCs w:val="20"/>
                <w:color w:val="auto"/>
              </w:rPr>
            </w:pPr>
            <w:r>
              <w:rPr>
                <w:rFonts w:ascii="Arial" w:cs="Arial" w:eastAsia="Arial" w:hAnsi="Arial"/>
                <w:sz w:val="18"/>
                <w:szCs w:val="18"/>
                <w:color w:val="auto"/>
                <w:w w:val="93"/>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9"/>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center"/>
              <w:ind w:left="193"/>
              <w:spacing w:after="0"/>
              <w:rPr>
                <w:sz w:val="20"/>
                <w:szCs w:val="20"/>
                <w:color w:val="auto"/>
              </w:rPr>
            </w:pPr>
            <w:r>
              <w:rPr>
                <w:rFonts w:ascii="Arial" w:cs="Arial" w:eastAsia="Arial" w:hAnsi="Arial"/>
                <w:sz w:val="18"/>
                <w:szCs w:val="18"/>
                <w:color w:val="auto"/>
                <w:w w:val="93"/>
              </w:rPr>
              <w:t>(29)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3"/>
          <w:szCs w:val="23"/>
          <w:color w:val="auto"/>
          <w:vertAlign w:val="superscript"/>
        </w:rPr>
      </w:pPr>
    </w:p>
    <w:p>
      <w:pPr>
        <w:ind w:left="660"/>
        <w:spacing w:after="0" w:line="263" w:lineRule="auto"/>
        <w:rPr>
          <w:rFonts w:ascii="Arial" w:cs="Arial" w:eastAsia="Arial" w:hAnsi="Arial"/>
          <w:sz w:val="23"/>
          <w:szCs w:val="23"/>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83"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2</w:t>
      </w:r>
    </w:p>
    <w:p>
      <w:pPr>
        <w:spacing w:after="0" w:line="225" w:lineRule="exact"/>
        <w:rPr>
          <w:rFonts w:ascii="Arial" w:cs="Arial" w:eastAsia="Arial" w:hAnsi="Arial"/>
          <w:sz w:val="23"/>
          <w:szCs w:val="23"/>
          <w:color w:val="auto"/>
          <w:vertAlign w:val="superscript"/>
        </w:rPr>
      </w:pPr>
    </w:p>
    <w:p>
      <w:pPr>
        <w:ind w:left="660" w:right="80"/>
        <w:spacing w:after="0" w:line="311" w:lineRule="auto"/>
        <w:rPr>
          <w:rFonts w:ascii="Arial" w:cs="Arial" w:eastAsia="Arial" w:hAnsi="Arial"/>
          <w:sz w:val="23"/>
          <w:szCs w:val="23"/>
          <w:color w:val="auto"/>
          <w:vertAlign w:val="superscript"/>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4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3</w:t>
      </w:r>
    </w:p>
    <w:p>
      <w:pPr>
        <w:spacing w:after="0" w:line="225" w:lineRule="exact"/>
        <w:rPr>
          <w:rFonts w:ascii="Arial" w:cs="Arial" w:eastAsia="Arial" w:hAnsi="Arial"/>
          <w:sz w:val="23"/>
          <w:szCs w:val="23"/>
          <w:color w:val="auto"/>
          <w:vertAlign w:val="superscript"/>
        </w:rPr>
      </w:pPr>
    </w:p>
    <w:p>
      <w:pPr>
        <w:ind w:left="660" w:right="860"/>
        <w:spacing w:after="0" w:line="342" w:lineRule="auto"/>
        <w:rPr>
          <w:rFonts w:ascii="Arial" w:cs="Arial" w:eastAsia="Arial" w:hAnsi="Arial"/>
          <w:sz w:val="23"/>
          <w:szCs w:val="23"/>
          <w:color w:val="auto"/>
          <w:vertAlign w:val="superscript"/>
        </w:rPr>
      </w:pPr>
      <w:r>
        <w:rPr>
          <w:rFonts w:ascii="Arial" w:cs="Arial" w:eastAsia="Arial" w:hAnsi="Arial"/>
          <w:sz w:val="16"/>
          <w:szCs w:val="16"/>
          <w:color w:val="auto"/>
        </w:rPr>
        <w:t>Level 3 of the fair value hierarchy includes certain physical commodity and other contracts, over-the-counter options and the Preferred Distribution Rate Reset Option contained in PAA’s partnership agreement which is classified as an embedded derivative.</w:t>
      </w:r>
    </w:p>
    <w:p>
      <w:pPr>
        <w:spacing w:after="0" w:line="123" w:lineRule="exact"/>
        <w:rPr>
          <w:rFonts w:ascii="Arial" w:cs="Arial" w:eastAsia="Arial" w:hAnsi="Arial"/>
          <w:sz w:val="23"/>
          <w:szCs w:val="23"/>
          <w:color w:val="auto"/>
          <w:vertAlign w:val="superscript"/>
        </w:rPr>
      </w:pPr>
    </w:p>
    <w:p>
      <w:pPr>
        <w:ind w:left="660" w:right="120"/>
        <w:spacing w:after="0" w:line="257" w:lineRule="auto"/>
        <w:rPr>
          <w:rFonts w:ascii="Arial" w:cs="Arial" w:eastAsia="Arial" w:hAnsi="Arial"/>
          <w:sz w:val="23"/>
          <w:szCs w:val="23"/>
          <w:color w:val="auto"/>
          <w:vertAlign w:val="superscript"/>
        </w:rPr>
      </w:pPr>
      <w:r>
        <w:rPr>
          <w:rFonts w:ascii="Arial" w:cs="Arial" w:eastAsia="Arial" w:hAnsi="Arial"/>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Condensed Consolidated Statements of Operations as Supply and Logistics segment revenues.</w:t>
      </w:r>
    </w:p>
    <w:p>
      <w:pPr>
        <w:spacing w:after="0" w:line="214" w:lineRule="exact"/>
        <w:rPr>
          <w:rFonts w:ascii="Arial" w:cs="Arial" w:eastAsia="Arial" w:hAnsi="Arial"/>
          <w:sz w:val="23"/>
          <w:szCs w:val="23"/>
          <w:color w:val="auto"/>
          <w:vertAlign w:val="superscript"/>
        </w:rPr>
      </w:pPr>
    </w:p>
    <w:p>
      <w:pPr>
        <w:ind w:left="660" w:right="80"/>
        <w:spacing w:after="0" w:line="301" w:lineRule="auto"/>
        <w:rPr>
          <w:rFonts w:ascii="Arial" w:cs="Arial" w:eastAsia="Arial" w:hAnsi="Arial"/>
          <w:sz w:val="23"/>
          <w:szCs w:val="23"/>
          <w:color w:val="auto"/>
          <w:vertAlign w:val="superscript"/>
        </w:rPr>
      </w:pPr>
      <w:r>
        <w:rPr>
          <w:rFonts w:ascii="Arial" w:cs="Arial" w:eastAsia="Arial" w:hAnsi="Arial"/>
          <w:sz w:val="16"/>
          <w:szCs w:val="16"/>
          <w:color w:val="auto"/>
        </w:rPr>
        <w:t>The fair value of the embedded derivative feature contained in PAA’s partnership agreement is based on a valuation model that estimates the fair value of the PAA Series A preferred units with and without the Preferred Distribution Rate Reset Option. This model contains inputs, including PAA’s common unit price, ten-year U.S. Treasury rates, default probabilities and timing estimates, some of which involve management judgment. A significant change in these inputs could result in a material change in fair value to this embedded derivative feature.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2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4"/>
                <w:szCs w:val="14"/>
                <w:b w:val="1"/>
                <w:bCs w:val="1"/>
                <w:color w:val="auto"/>
                <w:w w:val="93"/>
              </w:rPr>
              <w:t>September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2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5860" w:type="dxa"/>
            <w:vAlign w:val="bottom"/>
          </w:tcPr>
          <w:p>
            <w:pPr>
              <w:ind w:left="140"/>
              <w:spacing w:after="0"/>
              <w:rPr>
                <w:sz w:val="20"/>
                <w:szCs w:val="20"/>
                <w:color w:val="auto"/>
              </w:rPr>
            </w:pPr>
            <w:r>
              <w:rPr>
                <w:rFonts w:ascii="Arial" w:cs="Arial" w:eastAsia="Arial" w:hAnsi="Arial"/>
                <w:sz w:val="18"/>
                <w:szCs w:val="18"/>
                <w:color w:val="auto"/>
              </w:rPr>
              <w:t>Net gains/(losses) for the period included in earnings</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20" w:type="dxa"/>
            <w:vAlign w:val="bottom"/>
            <w:tcBorders>
              <w:bottom w:val="single" w:sz="8" w:color="auto"/>
            </w:tcBorders>
          </w:tcPr>
          <w:p>
            <w:pPr>
              <w:jc w:val="right"/>
              <w:ind w:right="63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860" w:type="dxa"/>
            <w:vAlign w:val="bottom"/>
          </w:tcPr>
          <w:p>
            <w:pPr>
              <w:ind w:left="20"/>
              <w:spacing w:after="0" w:line="176" w:lineRule="exact"/>
              <w:rPr>
                <w:sz w:val="20"/>
                <w:szCs w:val="20"/>
                <w:color w:val="auto"/>
              </w:rPr>
            </w:pPr>
            <w:r>
              <w:rPr>
                <w:rFonts w:ascii="Arial" w:cs="Arial" w:eastAsia="Arial" w:hAnsi="Arial"/>
                <w:sz w:val="18"/>
                <w:szCs w:val="18"/>
                <w:color w:val="auto"/>
                <w:w w:val="92"/>
              </w:rPr>
              <w:t>Change in unrealized losses included in earnings relating to Level 3 derivatives</w:t>
            </w:r>
          </w:p>
        </w:tc>
        <w:tc>
          <w:tcPr>
            <w:tcW w:w="820" w:type="dxa"/>
            <w:vAlign w:val="bottom"/>
            <w:vMerge w:val="restart"/>
          </w:tcPr>
          <w:p>
            <w:pPr>
              <w:jc w:val="right"/>
              <w:ind w:right="637"/>
              <w:spacing w:after="0"/>
              <w:rPr>
                <w:sz w:val="20"/>
                <w:szCs w:val="20"/>
                <w:color w:val="auto"/>
              </w:rPr>
            </w:pPr>
            <w:r>
              <w:rPr>
                <w:rFonts w:ascii="Arial" w:cs="Arial" w:eastAsia="Arial" w:hAnsi="Arial"/>
                <w:sz w:val="18"/>
                <w:szCs w:val="18"/>
                <w:color w:val="auto"/>
                <w:w w:val="79"/>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5"/>
                <w:szCs w:val="15"/>
                <w:color w:val="auto"/>
              </w:rPr>
            </w:pPr>
          </w:p>
        </w:tc>
        <w:tc>
          <w:tcPr>
            <w:tcW w:w="860" w:type="dxa"/>
            <w:vAlign w:val="bottom"/>
            <w:vMerge w:val="restart"/>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5"/>
                <w:szCs w:val="15"/>
                <w:color w:val="auto"/>
              </w:rPr>
            </w:pPr>
          </w:p>
        </w:tc>
        <w:tc>
          <w:tcPr>
            <w:tcW w:w="420" w:type="dxa"/>
            <w:vAlign w:val="bottom"/>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still held at the end of the period</w:t>
            </w:r>
          </w:p>
        </w:tc>
        <w:tc>
          <w:tcPr>
            <w:tcW w:w="820" w:type="dxa"/>
            <w:vAlign w:val="bottom"/>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Party Transactions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See Note 17 to our Consolidated Financial Statements included in Part IV of our 2020 Annual Report on Form 10-K for a complete discussion of related parties, including the determination of our related parties and nature of involvement with such related parties.</w:t>
      </w:r>
    </w:p>
    <w:p>
      <w:pPr>
        <w:spacing w:after="0" w:line="19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On and effective as of August 19, 2021, the Board of Directors (the “Board”) of our general partner approved and adopted an amendment to our general partner’s limited liability company agreement (the “Amendment”) which eliminated all previously negotiated “director designation” rights and requires that all directors be subject to public election, including Kayne Anderson Capital Advisors, L.P.’s (“Kayne Anderson”) legacy contractual right to designate an individual to serve on the Board without being subject to public election. The Amendment also eliminated all previously negotiated rights, including Kayne Anderson’s right, to appoint a Board observer under certain circumstances. As a result of these changes, we no longer recognize Kayne Anderson and its affiliates as related parties.</w:t>
      </w:r>
    </w:p>
    <w:p>
      <w:pPr>
        <w:spacing w:after="0" w:line="21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During the three and nine months ended September 30, 2021 and 2020, we recognized sales and transportation revenues, purchased petroleum products and utilized transportation and storage services from our related parties. These transactions were conducted at posted tariff rates or prices that we believe approximate market.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to our Condensed Consolidated Statements of Operations from these transactions is included below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4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4"/>
                <w:szCs w:val="14"/>
                <w:color w:val="auto"/>
              </w:rPr>
            </w:pPr>
          </w:p>
        </w:tc>
      </w:tr>
      <w:tr>
        <w:trPr>
          <w:trHeight w:val="188"/>
        </w:trPr>
        <w:tc>
          <w:tcPr>
            <w:tcW w:w="3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w w:val="93"/>
              </w:rPr>
              <w:t>September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w w:val="96"/>
              </w:rPr>
              <w:t>September 30,</w:t>
            </w:r>
          </w:p>
        </w:tc>
        <w:tc>
          <w:tcPr>
            <w:tcW w:w="420" w:type="dxa"/>
            <w:vAlign w:val="bottom"/>
            <w:tcBorders>
              <w:bottom w:val="single" w:sz="8" w:color="auto"/>
            </w:tcBorders>
          </w:tcPr>
          <w:p>
            <w:pPr>
              <w:spacing w:after="0"/>
              <w:rPr>
                <w:sz w:val="16"/>
                <w:szCs w:val="16"/>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r>
      <w:tr>
        <w:trPr>
          <w:trHeight w:val="224"/>
        </w:trPr>
        <w:tc>
          <w:tcPr>
            <w:tcW w:w="584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Revenues from related parties </w:t>
            </w:r>
            <w:r>
              <w:rPr>
                <w:rFonts w:ascii="Arial" w:cs="Arial" w:eastAsia="Arial" w:hAnsi="Arial"/>
                <w:sz w:val="23"/>
                <w:szCs w:val="23"/>
                <w:color w:val="auto"/>
                <w:vertAlign w:val="superscript"/>
              </w:rPr>
              <w:t>(1)</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56"/>
        </w:trPr>
        <w:tc>
          <w:tcPr>
            <w:tcW w:w="38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30"/>
        </w:trPr>
        <w:tc>
          <w:tcPr>
            <w:tcW w:w="58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from related parties </w:t>
            </w:r>
            <w:r>
              <w:rPr>
                <w:rFonts w:ascii="Arial" w:cs="Arial" w:eastAsia="Arial" w:hAnsi="Arial"/>
                <w:sz w:val="23"/>
                <w:szCs w:val="23"/>
                <w:color w:val="auto"/>
                <w:vertAlign w:val="superscript"/>
              </w:rPr>
              <w:t>(1)</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162"/>
        </w:trPr>
        <w:tc>
          <w:tcPr>
            <w:tcW w:w="3880" w:type="dxa"/>
            <w:vAlign w:val="bottom"/>
            <w:tcBorders>
              <w:bottom w:val="single" w:sz="8" w:color="auto"/>
            </w:tcBorders>
          </w:tcPr>
          <w:p>
            <w:pPr>
              <w:spacing w:after="0"/>
              <w:rPr>
                <w:sz w:val="14"/>
                <w:szCs w:val="14"/>
                <w:color w:val="auto"/>
              </w:rPr>
            </w:pPr>
          </w:p>
        </w:tc>
        <w:tc>
          <w:tcPr>
            <w:tcW w:w="1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r>
    </w:tbl>
    <w:p>
      <w:pPr>
        <w:spacing w:after="0" w:line="134" w:lineRule="exact"/>
        <w:rPr>
          <w:sz w:val="20"/>
          <w:szCs w:val="20"/>
          <w:color w:val="auto"/>
        </w:rPr>
      </w:pPr>
    </w:p>
    <w:p>
      <w:pPr>
        <w:ind w:left="660" w:right="80" w:hanging="652"/>
        <w:spacing w:after="0" w:line="227" w:lineRule="auto"/>
        <w:tabs>
          <w:tab w:leader="none" w:pos="64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receivable and payable amounts with these related parties as reflected on our Condensed Consolidated Balance Sheets were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19"/>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3880" w:type="dxa"/>
            <w:vAlign w:val="bottom"/>
            <w:tcBorders>
              <w:bottom w:val="single" w:sz="8" w:color="CCEEFF"/>
            </w:tcBorders>
          </w:tcPr>
          <w:p>
            <w:pPr>
              <w:spacing w:after="0"/>
              <w:rPr>
                <w:sz w:val="16"/>
                <w:szCs w:val="16"/>
                <w:color w:val="auto"/>
              </w:rPr>
            </w:pPr>
          </w:p>
        </w:tc>
        <w:tc>
          <w:tcPr>
            <w:tcW w:w="43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224"/>
        </w:trPr>
        <w:tc>
          <w:tcPr>
            <w:tcW w:w="824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3"/>
                <w:szCs w:val="23"/>
                <w:color w:val="auto"/>
                <w:vertAlign w:val="superscript"/>
              </w:rPr>
              <w:t>(1)</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57"/>
        </w:trPr>
        <w:tc>
          <w:tcPr>
            <w:tcW w:w="388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9"/>
        </w:trPr>
        <w:tc>
          <w:tcPr>
            <w:tcW w:w="82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3"/>
                <w:szCs w:val="23"/>
                <w:color w:val="auto"/>
                <w:vertAlign w:val="superscript"/>
              </w:rPr>
              <w:t>(1) (2)</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176"/>
        </w:trPr>
        <w:tc>
          <w:tcPr>
            <w:tcW w:w="3880" w:type="dxa"/>
            <w:vAlign w:val="bottom"/>
            <w:tcBorders>
              <w:bottom w:val="single" w:sz="8" w:color="auto"/>
            </w:tcBorders>
          </w:tcPr>
          <w:p>
            <w:pPr>
              <w:spacing w:after="0"/>
              <w:rPr>
                <w:sz w:val="15"/>
                <w:szCs w:val="15"/>
                <w:color w:val="auto"/>
              </w:rPr>
            </w:pPr>
          </w:p>
        </w:tc>
        <w:tc>
          <w:tcPr>
            <w:tcW w:w="4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pacing w:after="0" w:line="175" w:lineRule="exact"/>
        <w:rPr>
          <w:sz w:val="20"/>
          <w:szCs w:val="20"/>
          <w:color w:val="auto"/>
        </w:rPr>
      </w:pPr>
    </w:p>
    <w:p>
      <w:pPr>
        <w:ind w:left="660" w:right="80" w:hanging="652"/>
        <w:spacing w:after="0" w:line="227" w:lineRule="auto"/>
        <w:tabs>
          <w:tab w:leader="none" w:pos="64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Includes amounts related to crude oil purchases and sales, transportation and storage services and amounts owed to us or advanced to us related to investment capital projects of equity method investees where we serve as construction manager.</w:t>
      </w:r>
    </w:p>
    <w:p>
      <w:pPr>
        <w:spacing w:after="0" w:line="40" w:lineRule="exact"/>
        <w:rPr>
          <w:rFonts w:ascii="Arial" w:cs="Arial" w:eastAsia="Arial" w:hAnsi="Arial"/>
          <w:sz w:val="23"/>
          <w:szCs w:val="23"/>
          <w:color w:val="auto"/>
          <w:vertAlign w:val="superscript"/>
        </w:rPr>
      </w:pPr>
    </w:p>
    <w:p>
      <w:pPr>
        <w:ind w:left="660" w:right="200" w:hanging="652"/>
        <w:spacing w:after="0" w:line="234" w:lineRule="auto"/>
        <w:tabs>
          <w:tab w:leader="none" w:pos="64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9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At September 30, 2021, our estimated undiscounted reserve for environmental liabilities (excluding liabilities related to the Line 901 incident, as discussed further below) totaled $54 million, of which $9 million was classified as short-term and $45 million was classified as long-term. At December 31, 2020, our estimated undiscounted reserve for environmental liabilities (excluding liabilities related to the Line 901 incident) totaled $55 million, of which $8 million was classified as short-term and $47 million was classified as long-term. Such short-term liabilities are reflected in “Other current liabilities” and long-term liabilities are reflected in “Other long-term liabilities and deferred credits” on our Condensed Consolidated Balance Sheets. At September 30, 2021 and December 31, 2020, we had recorded receivables (excluding receivables related to the Line 901 incident) totaling $12 million and $6 million, respectively, for amounts probable of recovery under insurance and from third parties under indemnification agreements, $1 million of which for each period is reflected in “Other long-term assets, net” and the remainder is reflected in “Trade accounts receivable and other receivables, net” on our Condensed Consolidated Balance Sheets.</w:t>
      </w:r>
    </w:p>
    <w:p>
      <w:pPr>
        <w:spacing w:after="0" w:line="18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20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also contains requirements for implementing certain agreed-upon injunctive relief, as well as requirements for potentially restarting Line 901 and the Sisquoc to Pentland portion of Line 903. The Consent Decree resolved all regulatory claims related to the incident.</w:t>
      </w:r>
    </w:p>
    <w:p>
      <w:pPr>
        <w:spacing w:after="0" w:line="19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The Superior Court recently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has filed a Notice of Appeal indicating that it intends to appeal the Court’s rulings.</w:t>
      </w:r>
    </w:p>
    <w:p>
      <w:pPr>
        <w:spacing w:after="0" w:line="213"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 Nine class action lawsuits were filed against us; however, after various claims were either dismissed or consolidated, two proceedings remain pending in the United States District Court for the Central District of California. In the first proceeding, the plaintiffs claim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We are vigorously defending against those claims. A September 2020 trial date initially set by the Court has been postponed due to COVID-19 related trial suspensions. In the second proceeding, the plaintiffs seek a declaratory judgment that Plains’ right-of-way agreements would not allow Plains to lay a new pipeline to replace Line 901 and/or the non-operating segment of Line 903 without paying additional compensation. No trial date has been set in that action.</w:t>
      </w:r>
    </w:p>
    <w:p>
      <w:pPr>
        <w:spacing w:after="0" w:line="19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addition, four unitholder derivative lawsuits were filed by certain purported investors in PAA against PAGP and certain of PAA’s affiliates, officers and directors. After various claims were either dismissed or consolidated, one proceeding against PAGP remains pending in Delaware Chancery Court. Generally, the plaintiffs claim that PAGP failed to exercise proper oversight over the Partnership’s pipeline integrity efforts. We will continue to vigorously defend against the claim. No trial date has been set in this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have also received several other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Remaining claims include claims for lost revenue or profit asserted by a former oil producer that declared bankruptcy and shut in its offshore production platform following the Line 901 incident, a state agency that received royalties on oil produced from that platform until it was abandoned by its owner, and various companies and individuals who provided labor, goods, or services associated with oil production activities they claim were disrupted following the Line 901 incident. We are vigorously defending these suits. We may be subject to additional claims and lawsuits, which could materially impact the liabilities and costs we currently expect to incur as a result of the Line 901 incident.</w:t>
      </w:r>
    </w:p>
    <w:p>
      <w:pPr>
        <w:spacing w:after="0" w:line="19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Taking the foregoing into account, as of September 30, 2021, we estimate that the aggregate total costs we have incurred or will incur with respect to the Line 901 incident will be approximately $485 million, which includes actual and projected emergency response and clean-up costs, natural resource damage assessments, fines and penalties payable pursuant to the Consent Decree and certain third party claims settlements, as well as estimates for certain legal fees.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 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As of September 30, 2021, we had a remaining undiscounted gross liability of $103 million related to this event, which is reflected in “Trade accounts payable” and “Other current liabilities” on our Condensed Consolidated Balance Sheet.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September 30, 2021, we had collected, subject to customary reservations, $250 million out of the approximate $360 million of release costs that we believe are probable of recovery from insurance carriers, net of deductibles. Therefore, as of September 30, 2021, we have recognized a receivable of approximately $110 million for the portion of the release costs that we believe is probable of recovery from insurance, net of deductibles and amounts already collected. Such amount is recognized as a current asset in “Trade accounts receivable and other receivables, net” on our Condensed Consolidated Balance Sheet. We have completed the required clean-up and remediation work as determined by the Unified Command and the Unified Command has been dissolved; however, we expect to make payments for additional costs associated with restoration of the impacted areas, as well as legal, professional and regulatory costs during future periods.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11—Operating Segments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See Note 3 to our Consolidated Financial Statements included in Part IV of our 2020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 investment.</w:t>
      </w:r>
    </w:p>
    <w:p>
      <w:pPr>
        <w:spacing w:after="0" w:line="21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Segment Adjusted EBITDA excludes depreciation and amortization.</w:t>
      </w:r>
    </w:p>
    <w:p>
      <w:pPr>
        <w:spacing w:after="0" w:line="19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Maintenance capital consists of capital expenditures for the replacement and/or refurbishment of partially or fully depreciated assets in order to maintain the operating and/or earnings capacity of our existing assets.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20" w:type="dxa"/>
            <w:vAlign w:val="bottom"/>
          </w:tcPr>
          <w:p>
            <w:pPr>
              <w:jc w:val="right"/>
              <w:ind w:right="231"/>
              <w:spacing w:after="0"/>
              <w:rPr>
                <w:sz w:val="20"/>
                <w:szCs w:val="20"/>
                <w:color w:val="auto"/>
              </w:rPr>
            </w:pPr>
            <w:r>
              <w:rPr>
                <w:rFonts w:ascii="Arial" w:cs="Arial" w:eastAsia="Arial" w:hAnsi="Arial"/>
                <w:sz w:val="14"/>
                <w:szCs w:val="14"/>
                <w:b w:val="1"/>
                <w:bCs w:val="1"/>
                <w:color w:val="auto"/>
              </w:rPr>
              <w:t>Supply and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Pr>
          <w:p>
            <w:pPr>
              <w:spacing w:after="0"/>
              <w:rPr>
                <w:sz w:val="14"/>
                <w:szCs w:val="14"/>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311"/>
              <w:spacing w:after="0"/>
              <w:rPr>
                <w:sz w:val="20"/>
                <w:szCs w:val="20"/>
                <w:color w:val="auto"/>
              </w:rPr>
            </w:pPr>
            <w:r>
              <w:rPr>
                <w:rFonts w:ascii="Arial" w:cs="Arial" w:eastAsia="Arial" w:hAnsi="Arial"/>
                <w:sz w:val="14"/>
                <w:szCs w:val="14"/>
                <w:b w:val="1"/>
                <w:bCs w:val="1"/>
                <w:color w:val="auto"/>
              </w:rPr>
              <w:t>Logistics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Adjustment</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4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2021</w:t>
            </w: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6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10,776</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060" w:type="dxa"/>
            <w:vAlign w:val="bottom"/>
            <w:tcBorders>
              <w:bottom w:val="single" w:sz="8" w:color="CCEEFF"/>
            </w:tcBorders>
            <w:gridSpan w:val="2"/>
          </w:tcPr>
          <w:p>
            <w:pPr>
              <w:ind w:left="16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40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4060" w:type="dxa"/>
            <w:vAlign w:val="bottom"/>
            <w:gridSpan w:val="2"/>
          </w:tcPr>
          <w:p>
            <w:pPr>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 w:type="dxa"/>
            <w:vAlign w:val="bottom"/>
          </w:tcPr>
          <w:p>
            <w:pPr>
              <w:spacing w:after="0"/>
              <w:rPr>
                <w:sz w:val="21"/>
                <w:szCs w:val="21"/>
                <w:color w:val="auto"/>
              </w:rPr>
            </w:pPr>
          </w:p>
        </w:tc>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4060" w:type="dxa"/>
            <w:vAlign w:val="bottom"/>
            <w:gridSpan w:val="2"/>
          </w:tcPr>
          <w:p>
            <w:pPr>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6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060" w:type="dxa"/>
            <w:vAlign w:val="bottom"/>
            <w:tcBorders>
              <w:bottom w:val="single" w:sz="8" w:color="CCEEFF"/>
            </w:tcBorders>
            <w:gridSpan w:val="2"/>
          </w:tcPr>
          <w:p>
            <w:pPr>
              <w:ind w:left="16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40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4060" w:type="dxa"/>
            <w:vAlign w:val="bottom"/>
            <w:gridSpan w:val="2"/>
          </w:tcPr>
          <w:p>
            <w:pPr>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 w:type="dxa"/>
            <w:vAlign w:val="bottom"/>
          </w:tcPr>
          <w:p>
            <w:pPr>
              <w:spacing w:after="0"/>
              <w:rPr>
                <w:sz w:val="21"/>
                <w:szCs w:val="21"/>
                <w:color w:val="auto"/>
              </w:rPr>
            </w:pPr>
          </w:p>
        </w:tc>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4060" w:type="dxa"/>
            <w:vAlign w:val="bottom"/>
            <w:gridSpan w:val="2"/>
          </w:tcPr>
          <w:p>
            <w:pPr>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2021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06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29,089</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60" w:type="dxa"/>
            <w:vAlign w:val="bottom"/>
            <w:tcBorders>
              <w:bottom w:val="single" w:sz="8" w:color="CCEEFF"/>
            </w:tcBorders>
            <w:gridSpan w:val="2"/>
          </w:tcPr>
          <w:p>
            <w:pPr>
              <w:ind w:left="16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40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4060" w:type="dxa"/>
            <w:vAlign w:val="bottom"/>
            <w:gridSpan w:val="2"/>
          </w:tcPr>
          <w:p>
            <w:pPr>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 w:type="dxa"/>
            <w:vAlign w:val="bottom"/>
          </w:tcPr>
          <w:p>
            <w:pPr>
              <w:spacing w:after="0"/>
              <w:rPr>
                <w:sz w:val="21"/>
                <w:szCs w:val="21"/>
                <w:color w:val="auto"/>
              </w:rPr>
            </w:pPr>
          </w:p>
        </w:tc>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4060" w:type="dxa"/>
            <w:vAlign w:val="bottom"/>
            <w:gridSpan w:val="2"/>
          </w:tcPr>
          <w:p>
            <w:pPr>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06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17,327</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60" w:type="dxa"/>
            <w:vAlign w:val="bottom"/>
            <w:tcBorders>
              <w:bottom w:val="single" w:sz="8" w:color="CCEEFF"/>
            </w:tcBorders>
            <w:gridSpan w:val="2"/>
          </w:tcPr>
          <w:p>
            <w:pPr>
              <w:ind w:left="16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40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4060" w:type="dxa"/>
            <w:vAlign w:val="bottom"/>
            <w:gridSpan w:val="2"/>
          </w:tcPr>
          <w:p>
            <w:pPr>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 w:type="dxa"/>
            <w:vAlign w:val="bottom"/>
          </w:tcPr>
          <w:p>
            <w:pPr>
              <w:spacing w:after="0"/>
              <w:rPr>
                <w:sz w:val="21"/>
                <w:szCs w:val="21"/>
                <w:color w:val="auto"/>
              </w:rPr>
            </w:pPr>
          </w:p>
        </w:tc>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4060" w:type="dxa"/>
            <w:vAlign w:val="bottom"/>
            <w:gridSpan w:val="2"/>
          </w:tcPr>
          <w:p>
            <w:pPr>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80" w:type="dxa"/>
            <w:vAlign w:val="bottom"/>
            <w:tcBorders>
              <w:bottom w:val="single" w:sz="8" w:color="auto"/>
            </w:tcBorders>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hanging="652"/>
        <w:spacing w:after="0" w:line="276" w:lineRule="auto"/>
        <w:tabs>
          <w:tab w:leader="none" w:pos="648"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Transportation revenues from External customers include tariff revenue from transporting volumes associated with certain inventory exchanges with our customers where our Supply and Logistics segment has transacted the inventory exchange and serves as the shipper on our pipeline systems. See Note 3 to our Consolidated Financial Statements included in Part IV of our 2020 Annual Report on Form 10-K for a discussion of our related accounting policy. We have included an estimate of the revenues from these inventory exchanges in our Transportation segment revenues from External customers presented above and adjusted those revenues out such that Total revenues from External customers reconciles to our Condensed Consolidated Statements of Operations. This presentation is consistent with the information provided to our CODM.</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right="160" w:hanging="652"/>
        <w:spacing w:after="0" w:line="269" w:lineRule="auto"/>
        <w:tabs>
          <w:tab w:leader="none" w:pos="648"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Segment revenues include intersegment amounts that are eliminated in Purchases and related costs and Field operating costs in our Condensed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income/(loss) attributable to PAGP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w w:val="96"/>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76"/>
        </w:trPr>
        <w:tc>
          <w:tcPr>
            <w:tcW w:w="5860" w:type="dxa"/>
            <w:vAlign w:val="bottom"/>
            <w:gridSpan w:val="2"/>
          </w:tcPr>
          <w:p>
            <w:pPr>
              <w:ind w:left="180"/>
              <w:spacing w:after="0" w:line="176" w:lineRule="exact"/>
              <w:rPr>
                <w:sz w:val="20"/>
                <w:szCs w:val="20"/>
                <w:color w:val="auto"/>
              </w:rPr>
            </w:pPr>
            <w:r>
              <w:rPr>
                <w:rFonts w:ascii="Arial" w:cs="Arial" w:eastAsia="Arial" w:hAnsi="Arial"/>
                <w:sz w:val="18"/>
                <w:szCs w:val="18"/>
                <w:color w:val="auto"/>
                <w:w w:val="93"/>
              </w:rPr>
              <w:t>Gains/(losses) from derivative activities and inventory valuation adjustments</w:t>
            </w:r>
          </w:p>
        </w:tc>
        <w:tc>
          <w:tcPr>
            <w:tcW w:w="80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162"/>
        </w:trPr>
        <w:tc>
          <w:tcPr>
            <w:tcW w:w="3880" w:type="dxa"/>
            <w:vAlign w:val="bottom"/>
          </w:tcPr>
          <w:p>
            <w:pPr>
              <w:ind w:left="360"/>
              <w:spacing w:after="0"/>
              <w:rPr>
                <w:sz w:val="20"/>
                <w:szCs w:val="20"/>
                <w:color w:val="auto"/>
              </w:rPr>
            </w:pPr>
            <w:r>
              <w:rPr>
                <w:rFonts w:ascii="Arial" w:cs="Arial" w:eastAsia="Arial" w:hAnsi="Arial"/>
                <w:sz w:val="12"/>
                <w:szCs w:val="12"/>
                <w:color w:val="auto"/>
              </w:rPr>
              <w:t>(3)</w:t>
            </w:r>
          </w:p>
        </w:tc>
        <w:tc>
          <w:tcPr>
            <w:tcW w:w="1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8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(5)</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(6)</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8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(7)</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Significant transaction-related expenses </w:t>
            </w:r>
            <w:r>
              <w:rPr>
                <w:rFonts w:ascii="Arial" w:cs="Arial" w:eastAsia="Arial" w:hAnsi="Arial"/>
                <w:sz w:val="23"/>
                <w:szCs w:val="23"/>
                <w:color w:val="auto"/>
                <w:vertAlign w:val="superscript"/>
              </w:rPr>
              <w:t>(8)</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Unallocated general and administrative expenses</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(221)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8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Gain on/(impairment of) investments in unconsolidated entities, net</w:t>
            </w:r>
          </w:p>
        </w:tc>
        <w:tc>
          <w:tcPr>
            <w:tcW w:w="8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income/(expense), net</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Income/(loss) before tax</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Income tax (expense)/benefit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5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8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(income)/loss attributable to noncontrolling interests</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PAGP</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Represents adjustments utilized by our CODM in the evaluation of segment results.</w:t>
      </w:r>
    </w:p>
    <w:p>
      <w:pPr>
        <w:spacing w:after="0" w:line="117" w:lineRule="exact"/>
        <w:rPr>
          <w:sz w:val="20"/>
          <w:szCs w:val="20"/>
          <w:color w:val="auto"/>
        </w:rPr>
      </w:pPr>
    </w:p>
    <w:p>
      <w:pPr>
        <w:ind w:left="20" w:right="940" w:hanging="11"/>
        <w:spacing w:after="0" w:line="277" w:lineRule="auto"/>
        <w:rPr>
          <w:sz w:val="20"/>
          <w:szCs w:val="20"/>
          <w:color w:val="auto"/>
        </w:rPr>
      </w:pPr>
      <w:r>
        <w:rPr>
          <w:rFonts w:ascii="Arial" w:cs="Arial" w:eastAsia="Arial" w:hAnsi="Arial"/>
          <w:sz w:val="18"/>
          <w:szCs w:val="18"/>
          <w:color w:val="auto"/>
        </w:rPr>
        <w:t>Includes our proportionate share of the depreciation and amortization expense (including write-downs related to cancelled projects) of unconsolidated entities.</w:t>
      </w:r>
    </w:p>
    <w:p>
      <w:pPr>
        <w:spacing w:after="0" w:line="62" w:lineRule="exact"/>
        <w:rPr>
          <w:sz w:val="20"/>
          <w:szCs w:val="20"/>
          <w:color w:val="auto"/>
        </w:rPr>
      </w:pPr>
    </w:p>
    <w:p>
      <w:pPr>
        <w:ind w:left="20" w:right="60" w:hanging="11"/>
        <w:spacing w:after="0" w:line="254"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investing activities, such as the purchase of linefill.</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39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right="40" w:hanging="11"/>
        <w:spacing w:after="0" w:line="296" w:lineRule="auto"/>
        <w:rPr>
          <w:sz w:val="20"/>
          <w:szCs w:val="20"/>
          <w:color w:val="auto"/>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53" w:lineRule="exact"/>
        <w:rPr>
          <w:sz w:val="20"/>
          <w:szCs w:val="20"/>
          <w:color w:val="auto"/>
        </w:rPr>
      </w:pPr>
    </w:p>
    <w:p>
      <w:pPr>
        <w:ind w:right="80" w:hanging="11"/>
        <w:spacing w:after="0" w:line="287" w:lineRule="auto"/>
        <w:rPr>
          <w:sz w:val="20"/>
          <w:szCs w:val="20"/>
          <w:color w:val="auto"/>
        </w:rPr>
      </w:pPr>
      <w:r>
        <w:rPr>
          <w:rFonts w:ascii="Arial" w:cs="Arial" w:eastAsia="Arial" w:hAnsi="Arial"/>
          <w:sz w:val="16"/>
          <w:szCs w:val="16"/>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64" w:lineRule="exact"/>
        <w:rPr>
          <w:sz w:val="20"/>
          <w:szCs w:val="20"/>
          <w:color w:val="auto"/>
        </w:rPr>
      </w:pPr>
    </w:p>
    <w:p>
      <w:pPr>
        <w:ind w:right="20" w:hanging="11"/>
        <w:spacing w:after="0" w:line="254" w:lineRule="auto"/>
        <w:rPr>
          <w:sz w:val="20"/>
          <w:szCs w:val="20"/>
          <w:color w:val="auto"/>
        </w:rPr>
      </w:pPr>
      <w:r>
        <w:rPr>
          <w:rFonts w:ascii="Arial" w:cs="Arial" w:eastAsia="Arial" w:hAnsi="Arial"/>
          <w:sz w:val="18"/>
          <w:szCs w:val="18"/>
          <w:color w:val="auto"/>
        </w:rPr>
        <w:t>Our total equity-indexed compensation expense includes expense associated with awards that will be settled in PAA common units and awards that will be settled in cash. The awards that will be settled in PAA common units are included in PAA’s diluted net income per unit calculation when the applicable performance criteria have been met. We exclude compensation expense associated with these awards in determining Segment Adjusted EBITDA as the dilutive impact of the outstanding awards is included in PAA’s diluted net income per unit calculation, as applicable. The portion of compensation expense associated with awards that will settle in cash is not excluded in determining Segment Adjusted EBITDA. See Note 18 to our Consolidated Financial Statements included in Part IV of our 2020 Annual Report on Form 10-K for a discussion regarding our equity-indexed compensation plans.</w:t>
      </w:r>
    </w:p>
    <w:p>
      <w:pPr>
        <w:spacing w:after="0" w:line="87" w:lineRule="exact"/>
        <w:rPr>
          <w:sz w:val="20"/>
          <w:szCs w:val="20"/>
          <w:color w:val="auto"/>
        </w:rPr>
      </w:pPr>
    </w:p>
    <w:p>
      <w:pPr>
        <w:ind w:hanging="11"/>
        <w:spacing w:after="0" w:line="279" w:lineRule="auto"/>
        <w:rPr>
          <w:sz w:val="20"/>
          <w:szCs w:val="20"/>
          <w:color w:val="auto"/>
        </w:rPr>
      </w:pPr>
      <w:r>
        <w:rPr>
          <w:rFonts w:ascii="Arial" w:cs="Arial" w:eastAsia="Arial" w:hAnsi="Arial"/>
          <w:sz w:val="17"/>
          <w:szCs w:val="17"/>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 See Note 8 for discussion regarding our currency exchange rate risk hedging activities.</w:t>
      </w:r>
    </w:p>
    <w:p>
      <w:pPr>
        <w:spacing w:after="0" w:line="63" w:lineRule="exact"/>
        <w:rPr>
          <w:sz w:val="20"/>
          <w:szCs w:val="20"/>
          <w:color w:val="auto"/>
        </w:rPr>
      </w:pPr>
    </w:p>
    <w:p>
      <w:pPr>
        <w:ind w:right="160" w:hanging="11"/>
        <w:spacing w:after="0" w:line="311" w:lineRule="auto"/>
        <w:rPr>
          <w:sz w:val="20"/>
          <w:szCs w:val="20"/>
          <w:color w:val="auto"/>
        </w:rPr>
      </w:pPr>
      <w:r>
        <w:rPr>
          <w:rFonts w:ascii="Arial" w:cs="Arial" w:eastAsia="Arial" w:hAnsi="Arial"/>
          <w:sz w:val="16"/>
          <w:szCs w:val="16"/>
          <w:color w:val="auto"/>
        </w:rPr>
        <w:t>Includes expenses associated with the Plains Oryx Permian Basin joint venture transaction, which closed on October 5, 2021, and the acquisition of Felix Midstream LLC in 2020. See Note 12 for further discussion of the joint venture transaction and Note 7 to our Consolidated Financial Statements included in Part IV of our 2020 Annual Report on Form 10-K for additional discussion of the Felix Midstream LLC acquisition.</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12—Acquisitions, Divestitures and Other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Exchange</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June 2021, we closed on an asset exchange agreement (the “Asset Exchange”) with Inter Pipeline Ltd., through which we acquired additional interests in two straddle plants included in our Facilities segment that we currently operate, in exchange for a pipeline and related storage and truck offload facilities previously included in our Transportation segment and cash consideration of $32 million, including working capital and other adjustments. We recognized a gain of $106 million on the divestiture of the pipeline and related storage and truck offload facilities, which is included in “(Gains)/losses on asset sales and asset impairments, net” on our Condensed Consolidated Statement of Operations, based on the difference between the fair value of the divested assets and their carrying value.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August 2021, we sold our Pine Prairie and Southern Pines natural gas storage facilities, previously included in our Facilities segment, for net proceeds of approximately $850 million, including working capital adjustments. As of June 30, 2021, we classified the assets related to this transaction (primarily “Property and equipment”), valued at the lower of the carrying amount or fair value less costs to sell, of approximately $832 million as assets held for sale with approximately $18 million of deferred losses on hedges remaining in other comprehensive income until the closing of the sale. Upon classification of the assets to held for sale in the second quarter of 2021, we recognized a non-cash impairment loss of approximately $475 million which is included in “(Gains)/losses on asset sales and asset impairments, net” on our Condensed Consolidated Statement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 Transaction</w:t>
      </w:r>
    </w:p>
    <w:p>
      <w:pPr>
        <w:spacing w:after="0" w:line="25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October 5, 2021, we and Oryx Midstream Holdings LLC (“Oryx Midstream”) completed the merger, in a cashless, debt-free transaction, of our respective Permian Basin assets, operations and commercial activities into a newly formed joint venture, Plains Oryx Permian Basin LLC (“Plains Oryx Permian Basin”). Plains Oryx Permian Basin includes all of Oryx Midstream’s Permian Basin assets and, with the exception of our long-haul pipeline systems and certain of our intra-basin terminal assets, the vast majority of our assets located within the Permian Basin. We own 65% of Plains Oryx Permian Basin, operate the combined assets and will reflect Plains Oryx Permian Basin as a consolidated subsidiary in our consolidated financial statements. The initial accounting for this transaction was not complete as of the financial statement issuance date.</w:t>
      </w:r>
    </w:p>
    <w:p>
      <w:pPr>
        <w:spacing w:after="0" w:line="205" w:lineRule="exact"/>
        <w:rPr>
          <w:sz w:val="20"/>
          <w:szCs w:val="20"/>
          <w:color w:val="auto"/>
        </w:rPr>
      </w:pPr>
    </w:p>
    <w:p>
      <w:pPr>
        <w:jc w:val="both"/>
        <w:ind w:right="180" w:firstLine="648"/>
        <w:spacing w:after="0" w:line="342" w:lineRule="auto"/>
        <w:rPr>
          <w:sz w:val="20"/>
          <w:szCs w:val="20"/>
          <w:color w:val="auto"/>
        </w:rPr>
      </w:pPr>
      <w:r>
        <w:rPr>
          <w:rFonts w:ascii="Arial" w:cs="Arial" w:eastAsia="Arial" w:hAnsi="Arial"/>
          <w:sz w:val="16"/>
          <w:szCs w:val="16"/>
          <w:color w:val="auto"/>
        </w:rPr>
        <w:t>Oryx Midstream is a portfolio company of Stonepeak Infrastructure Partners (“Stonepeak”). Affiliates of Stonepeak own approximately 8.9% of PAA’s outstanding Series A Preferred Units, which equates to less than 1% of PAA’s outstanding common units and common unit equivalents combined.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Impairments (Held and Used)</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During the nine months ended September 30, 2021, we recognized approximately $220 million of non-cash impairment losses related to certain crude oil storage terminal assets included in our Facilities segment. This amount is reflected in “(Gains)/losses on asset sales and asset impairments, net” on our Condensed Consolidated Statements of Operations.</w:t>
      </w:r>
    </w:p>
    <w:p>
      <w:pPr>
        <w:spacing w:after="0" w:line="211"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Decreased demand for our services related to changing market conditions resulted in decreases in expected future cash flows for certain of our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 (which we consider a Level 3 measurement in the fair value hierarchy) was primarily based upon an assumption for the amount for which the relevant assets and land could be sold.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2020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We are a Delaware limited partnership that has elected to be taxed as a corporation for United States federal income tax purposes. As of September 30, 2021, our sole cash-generating assets consisted of (i) a 100% managing member interest in GP LLC and (ii) an approximate 79% limited partner interest in AAP through our direct ownership of AAP units and indirect ownership of AAP units through GP LLC, which also holds the non-economic general partner interest in AAP. As of September 30, 2021, AAP directly owned a limited partner interest in PAA through its ownership of approximately 245.0 million PAA common units (approximately 31% of PAA’s total outstanding common units and Series A preferred units combined). AAP is the sole member of PAA GP, which holds the non-economic general partner interest in PAA.</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PAA’s assets and the services it provides are primarily focused on crude oil and NGL. PAA’s business activities are conducted through three operating segments: Transportation, Facilities and Supply and Logistics.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5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August 2, 2021, we completed the sale of our Pine Prairie and Southern Pines natural gas storage facilities for net proceeds of approximately $850 million, including working capital adjustments. In connection with the sale, we repaid term loans totaling $200 million.</w:t>
      </w:r>
    </w:p>
    <w:p>
      <w:pPr>
        <w:spacing w:after="0" w:line="19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On October 5, 2021, we and Oryx Midstream completed the merger of our respective Permian Basin assets, operations and commercial activities into a newly formed strategic joint venture, Plains Oryx Permian Basin. Plains Oryx Permian Basin includes all of Oryx Midstream’s Permian Basin assets and, with the exception of our long-haul pipeline systems and certain of our intra-basin terminal assets, the vast majority of our assets located within the Permian Basin. We own 65% of Plains Oryx Permian Basin, operate the combined assets and will reflect Plains Oryx Permian Basin as a consolidated subsidiary in our consolidated financial statements. Structured as a debt-free joint venture entity through a cashless transaction, this aligns with our financial and portfolio optimization strategies and is expected to be near-term free cash flow accretive.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During the first nine months of 2021, we recognized net income of $130 million compared to a net loss of $2.417 billion recognized during the first nine months of 2020. The net loss for the 2020 period was primarily driven by goodwill impairment losses and non-cash impairment charges related to the write-down of certain pipeline and other long-lived assets, certain of our investments in unconsolidated entities, and assets upon classification as held for sale totaling approximately $3.33 billion. In addition, we recognized approximately $233 million of inventory valuation adjustments due to declines in commodity prices during the first quarter of 2020. The comparable nine-month 2021 period includes a net loss on asset sales and asset impairments of $592 million.</w:t>
      </w:r>
    </w:p>
    <w:p>
      <w:pPr>
        <w:spacing w:after="0" w:line="21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Results from our reporting segments during the first nine months of 2021 decreased from the comparable 2020 period driven primarily by the impact of less favorable crude oil market conditions combined with lower realized NGL margins in our Supply and Logistics segment. In addition, our Facilities segment was unfavorably impacted by reduced NGL capacity utilization and market rates as well as the impact of asset sales. These unfavorable results were partially offset by favorable Transportation segment results that benefited from the collection of deficiency payments associated with minimum volume commitments and lower operating costs.</w:t>
      </w:r>
    </w:p>
    <w:p>
      <w:pPr>
        <w:spacing w:after="0" w:line="21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See further discussion of our operating results in the “—Results of Operations—Analysis of Operating Segments” and “—Other Income and Expenses” sections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06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9"/>
              </w:rPr>
              <w:t>Variance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5"/>
          </w:tcPr>
          <w:p>
            <w:pPr>
              <w:ind w:left="2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4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w w:val="93"/>
              </w:rPr>
              <w:t xml:space="preserve">Transportation Segment Adjusted EBITDA </w:t>
            </w:r>
            <w:r>
              <w:rPr>
                <w:rFonts w:ascii="Arial" w:cs="Arial" w:eastAsia="Arial" w:hAnsi="Arial"/>
                <w:sz w:val="23"/>
                <w:szCs w:val="23"/>
                <w:color w:val="auto"/>
                <w:w w:val="93"/>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76"/>
        </w:trPr>
        <w:tc>
          <w:tcPr>
            <w:tcW w:w="3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Supply and Logistics Segment Adjusted</w:t>
            </w:r>
          </w:p>
        </w:tc>
        <w:tc>
          <w:tcPr>
            <w:tcW w:w="1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Depreciation and amortization of</w:t>
            </w:r>
          </w:p>
        </w:tc>
        <w:tc>
          <w:tcPr>
            <w:tcW w:w="1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(114)%</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unconsolidated entities</w:t>
            </w:r>
          </w:p>
        </w:tc>
        <w:tc>
          <w:tcPr>
            <w:tcW w:w="16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80"/>
              <w:spacing w:after="0" w:line="176" w:lineRule="exact"/>
              <w:rPr>
                <w:sz w:val="20"/>
                <w:szCs w:val="20"/>
                <w:color w:val="auto"/>
              </w:rPr>
            </w:pPr>
            <w:r>
              <w:rPr>
                <w:rFonts w:ascii="Arial" w:cs="Arial" w:eastAsia="Arial" w:hAnsi="Arial"/>
                <w:sz w:val="18"/>
                <w:szCs w:val="18"/>
                <w:color w:val="auto"/>
              </w:rPr>
              <w:t>Selected items impacting comparability -</w:t>
            </w:r>
          </w:p>
        </w:tc>
        <w:tc>
          <w:tcPr>
            <w:tcW w:w="160" w:type="dxa"/>
            <w:vAlign w:val="bottom"/>
          </w:tcPr>
          <w:p>
            <w:pPr>
              <w:spacing w:after="0"/>
              <w:rPr>
                <w:sz w:val="15"/>
                <w:szCs w:val="15"/>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tcPr>
          <w:p>
            <w:pPr>
              <w:ind w:left="240"/>
              <w:spacing w:after="0"/>
              <w:rPr>
                <w:sz w:val="20"/>
                <w:szCs w:val="20"/>
                <w:color w:val="auto"/>
              </w:rPr>
            </w:pPr>
            <w:r>
              <w:rPr>
                <w:rFonts w:ascii="Arial" w:cs="Arial" w:eastAsia="Arial" w:hAnsi="Arial"/>
                <w:sz w:val="18"/>
                <w:szCs w:val="18"/>
                <w:color w:val="auto"/>
              </w:rPr>
              <w:t>Segment Adjusted EBITDA</w:t>
            </w:r>
          </w:p>
        </w:tc>
        <w:tc>
          <w:tcPr>
            <w:tcW w:w="16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Unallocated general and administrative</w:t>
            </w:r>
          </w:p>
        </w:tc>
        <w:tc>
          <w:tcPr>
            <w:tcW w:w="1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gridSpan w:val="3"/>
            <w:vMerge w:val="restart"/>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740" w:type="dxa"/>
            <w:vAlign w:val="bottom"/>
            <w:tcBorders>
              <w:right w:val="single" w:sz="8" w:color="auto"/>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Gains/(losses) on asset sales and asset</w:t>
            </w:r>
          </w:p>
        </w:tc>
        <w:tc>
          <w:tcPr>
            <w:tcW w:w="1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impairments, net</w:t>
            </w:r>
          </w:p>
        </w:tc>
        <w:tc>
          <w:tcPr>
            <w:tcW w:w="16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Goodwill impairment losses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tcPr>
          <w:p>
            <w:pPr>
              <w:ind w:left="30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76"/>
        </w:trPr>
        <w:tc>
          <w:tcPr>
            <w:tcW w:w="3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 on/(impairment of) investments in</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unconsolidated entities, net</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Income tax (expense)/benefit</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175"/>
        </w:trPr>
        <w:tc>
          <w:tcPr>
            <w:tcW w:w="3440" w:type="dxa"/>
            <w:vAlign w:val="bottom"/>
          </w:tcPr>
          <w:p>
            <w:pPr>
              <w:ind w:left="180"/>
              <w:spacing w:after="0" w:line="176" w:lineRule="exact"/>
              <w:rPr>
                <w:sz w:val="20"/>
                <w:szCs w:val="20"/>
                <w:color w:val="auto"/>
              </w:rPr>
            </w:pPr>
            <w:r>
              <w:rPr>
                <w:rFonts w:ascii="Arial" w:cs="Arial" w:eastAsia="Arial" w:hAnsi="Arial"/>
                <w:sz w:val="18"/>
                <w:szCs w:val="18"/>
                <w:color w:val="auto"/>
              </w:rPr>
              <w:t>Net (income)/loss attributable to</w:t>
            </w:r>
          </w:p>
        </w:tc>
        <w:tc>
          <w:tcPr>
            <w:tcW w:w="160" w:type="dxa"/>
            <w:vAlign w:val="bottom"/>
          </w:tcPr>
          <w:p>
            <w:pPr>
              <w:spacing w:after="0"/>
              <w:rPr>
                <w:sz w:val="15"/>
                <w:szCs w:val="15"/>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121 %</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1,869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PAGP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Basic and diluted net income/(loss) per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share</w:t>
            </w:r>
          </w:p>
        </w:tc>
        <w:tc>
          <w:tcPr>
            <w:tcW w:w="160" w:type="dxa"/>
            <w:vAlign w:val="bottom"/>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20"/>
              <w:spacing w:after="0" w:line="176" w:lineRule="exact"/>
              <w:rPr>
                <w:sz w:val="20"/>
                <w:szCs w:val="20"/>
                <w:color w:val="auto"/>
              </w:rPr>
            </w:pPr>
            <w:r>
              <w:rPr>
                <w:rFonts w:ascii="Arial" w:cs="Arial" w:eastAsia="Arial" w:hAnsi="Arial"/>
                <w:sz w:val="18"/>
                <w:szCs w:val="18"/>
                <w:color w:val="auto"/>
                <w:w w:val="96"/>
              </w:rPr>
              <w:t>Basic and diluted weighted average Class A</w:t>
            </w:r>
          </w:p>
        </w:tc>
        <w:tc>
          <w:tcPr>
            <w:tcW w:w="160" w:type="dxa"/>
            <w:vAlign w:val="bottom"/>
          </w:tcPr>
          <w:p>
            <w:pPr>
              <w:spacing w:after="0"/>
              <w:rPr>
                <w:sz w:val="15"/>
                <w:szCs w:val="15"/>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3440" w:type="dxa"/>
            <w:vAlign w:val="bottom"/>
          </w:tcPr>
          <w:p>
            <w:pPr>
              <w:ind w:left="180"/>
              <w:spacing w:after="0"/>
              <w:rPr>
                <w:sz w:val="20"/>
                <w:szCs w:val="20"/>
                <w:color w:val="auto"/>
              </w:rPr>
            </w:pPr>
            <w:r>
              <w:rPr>
                <w:rFonts w:ascii="Arial" w:cs="Arial" w:eastAsia="Arial" w:hAnsi="Arial"/>
                <w:sz w:val="18"/>
                <w:szCs w:val="18"/>
                <w:color w:val="auto"/>
              </w:rPr>
              <w:t>shares outstanding</w:t>
            </w:r>
          </w:p>
        </w:tc>
        <w:tc>
          <w:tcPr>
            <w:tcW w:w="16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94" w:lineRule="exact"/>
        <w:rPr>
          <w:sz w:val="20"/>
          <w:szCs w:val="20"/>
          <w:color w:val="auto"/>
        </w:rPr>
      </w:pPr>
    </w:p>
    <w:p>
      <w:pPr>
        <w:ind w:left="660" w:right="280" w:hanging="652"/>
        <w:spacing w:after="0" w:line="269" w:lineRule="auto"/>
        <w:tabs>
          <w:tab w:leader="none" w:pos="648"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Segment Adjusted EBITDA is the measure of segment performance that is utilized by our CODM to assess performance and allocate resources among our operating segments. This measure is adjusted for certain items, including those that our CODM believes impact comparability of results across periods. See Note 11 to our Condensed Consolidated Financial Statements for additional discussion of such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w:t>
      </w:r>
    </w:p>
    <w:p>
      <w:pPr>
        <w:spacing w:after="0" w:line="1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primary additional measure used by management is earnings before interest, taxes, depreciation and amortization (including our proportionate share of depreciation and amortization, including write-downs related to cancelled projects, of unconsolidated entities), gains and losses on asset sales and asset impairments, goodwill impairment losses and gains on and impairments of investments in unconsolidated entities, adjusted for certain selected items impacting comparability (“Adjusted EBITDA”).</w:t>
      </w:r>
    </w:p>
    <w:p>
      <w:pPr>
        <w:spacing w:after="0" w:line="18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is reconciled to Net Income/(Loss), the most directly comparable measure as reported in accordance with GAAP, and should be viewed in addition to, and not in lieu of, our Condensed Consolidated Financial Statements and accompanying notes.</w:t>
      </w:r>
    </w:p>
    <w:p>
      <w:pPr>
        <w:spacing w:after="0" w:line="21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Management believes that the presentation of Adjusted EBITDA provides useful information to investors regarding our performance and results of operations because this measure, when used to supplement related GAAP financial measures, (i) provides additional information about our core operating performance, (ii) provides investors with the same financial analytical framework upon which management bases financial, operational, compensation and planning/budgeting decisions and (iii) presents measures that investors, rating agencies and debt holders have indicated are useful in assessing us and our results of operations. This non-GAAP measure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and/or</w:t>
      </w:r>
    </w:p>
    <w:p>
      <w:pPr>
        <w:spacing w:after="0" w:line="1"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items that we believe should be excluded in understanding our core operating performance. This measure may further be adjusted to include</w:t>
      </w:r>
    </w:p>
    <w:p>
      <w:pPr>
        <w:spacing w:after="0" w:line="32" w:lineRule="exact"/>
        <w:rPr>
          <w:rFonts w:ascii="Arial" w:cs="Arial" w:eastAsia="Arial" w:hAnsi="Arial"/>
          <w:sz w:val="16"/>
          <w:szCs w:val="16"/>
          <w:color w:val="auto"/>
        </w:rPr>
      </w:pPr>
    </w:p>
    <w:p>
      <w:pPr>
        <w:ind w:right="20"/>
        <w:spacing w:after="0" w:line="292" w:lineRule="auto"/>
        <w:rPr>
          <w:rFonts w:ascii="Arial" w:cs="Arial" w:eastAsia="Arial" w:hAnsi="Arial"/>
          <w:sz w:val="16"/>
          <w:szCs w:val="16"/>
          <w:color w:val="auto"/>
        </w:rPr>
      </w:pPr>
      <w:r>
        <w:rPr>
          <w:rFonts w:ascii="Arial" w:cs="Arial" w:eastAsia="Arial" w:hAnsi="Arial"/>
          <w:sz w:val="16"/>
          <w:szCs w:val="16"/>
          <w:color w:val="auto"/>
        </w:rPr>
        <w:t>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8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the reconciliation of the non-GAAP financial performance measure Adjusted EBITDA from Net Income/(Loss)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0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08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5"/>
          </w:tcPr>
          <w:p>
            <w:pPr>
              <w:ind w:left="2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gridSpan w:val="2"/>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5"/>
        </w:trPr>
        <w:tc>
          <w:tcPr>
            <w:tcW w:w="3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30"/>
        </w:trPr>
        <w:tc>
          <w:tcPr>
            <w:tcW w:w="3560" w:type="dxa"/>
            <w:vAlign w:val="bottom"/>
          </w:tcPr>
          <w:p>
            <w:pPr>
              <w:ind w:left="8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expense/(benefit)</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356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176"/>
        </w:trPr>
        <w:tc>
          <w:tcPr>
            <w:tcW w:w="356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(Gains)/losses on asset sales and asset</w:t>
            </w:r>
          </w:p>
        </w:tc>
        <w:tc>
          <w:tcPr>
            <w:tcW w:w="16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impairments, net</w:t>
            </w:r>
          </w:p>
        </w:tc>
        <w:tc>
          <w:tcPr>
            <w:tcW w:w="16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80"/>
              <w:spacing w:after="0"/>
              <w:rPr>
                <w:sz w:val="20"/>
                <w:szCs w:val="20"/>
                <w:color w:val="auto"/>
              </w:rPr>
            </w:pPr>
            <w:r>
              <w:rPr>
                <w:rFonts w:ascii="Arial" w:cs="Arial" w:eastAsia="Arial" w:hAnsi="Arial"/>
                <w:sz w:val="18"/>
                <w:szCs w:val="18"/>
                <w:color w:val="auto"/>
              </w:rPr>
              <w:t>Goodwill impairment losses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75"/>
        </w:trPr>
        <w:tc>
          <w:tcPr>
            <w:tcW w:w="356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(Gain on)/impairment of investments in</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unconsolidated entities, net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80"/>
              <w:spacing w:after="0" w:line="176" w:lineRule="exact"/>
              <w:rPr>
                <w:sz w:val="20"/>
                <w:szCs w:val="20"/>
                <w:color w:val="auto"/>
              </w:rPr>
            </w:pPr>
            <w:r>
              <w:rPr>
                <w:rFonts w:ascii="Arial" w:cs="Arial" w:eastAsia="Arial" w:hAnsi="Arial"/>
                <w:sz w:val="18"/>
                <w:szCs w:val="18"/>
                <w:color w:val="auto"/>
              </w:rPr>
              <w:t>Depreciation and amortization of</w:t>
            </w:r>
          </w:p>
        </w:tc>
        <w:tc>
          <w:tcPr>
            <w:tcW w:w="160" w:type="dxa"/>
            <w:vAlign w:val="bottom"/>
          </w:tcPr>
          <w:p>
            <w:pPr>
              <w:spacing w:after="0"/>
              <w:rPr>
                <w:sz w:val="15"/>
                <w:szCs w:val="15"/>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30"/>
        </w:trPr>
        <w:tc>
          <w:tcPr>
            <w:tcW w:w="356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unconsolidated entities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Selected Items Impacting Comparability:</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40"/>
              <w:spacing w:after="0" w:line="176" w:lineRule="exact"/>
              <w:rPr>
                <w:sz w:val="20"/>
                <w:szCs w:val="20"/>
                <w:color w:val="auto"/>
              </w:rPr>
            </w:pPr>
            <w:r>
              <w:rPr>
                <w:rFonts w:ascii="Arial" w:cs="Arial" w:eastAsia="Arial" w:hAnsi="Arial"/>
                <w:sz w:val="18"/>
                <w:szCs w:val="18"/>
                <w:color w:val="auto"/>
                <w:w w:val="97"/>
              </w:rPr>
              <w:t>(Gains)/losses from derivative activities and</w:t>
            </w:r>
          </w:p>
        </w:tc>
        <w:tc>
          <w:tcPr>
            <w:tcW w:w="160" w:type="dxa"/>
            <w:vAlign w:val="bottom"/>
          </w:tcPr>
          <w:p>
            <w:pPr>
              <w:spacing w:after="0"/>
              <w:rPr>
                <w:sz w:val="15"/>
                <w:szCs w:val="15"/>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tcPr>
          <w:p>
            <w:pPr>
              <w:ind w:left="300"/>
              <w:spacing w:after="0"/>
              <w:rPr>
                <w:sz w:val="20"/>
                <w:szCs w:val="20"/>
                <w:color w:val="auto"/>
              </w:rPr>
            </w:pPr>
            <w:r>
              <w:rPr>
                <w:rFonts w:ascii="Arial" w:cs="Arial" w:eastAsia="Arial" w:hAnsi="Arial"/>
                <w:sz w:val="18"/>
                <w:szCs w:val="18"/>
                <w:color w:val="auto"/>
              </w:rPr>
              <w:t>inventory valuation adjustments</w:t>
            </w:r>
          </w:p>
        </w:tc>
        <w:tc>
          <w:tcPr>
            <w:tcW w:w="16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inventory costing adjustments</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560" w:type="dxa"/>
            <w:vAlign w:val="bottom"/>
          </w:tcPr>
          <w:p>
            <w:pPr>
              <w:ind w:left="140"/>
              <w:spacing w:after="0" w:line="176" w:lineRule="exact"/>
              <w:rPr>
                <w:sz w:val="20"/>
                <w:szCs w:val="20"/>
                <w:color w:val="auto"/>
              </w:rPr>
            </w:pPr>
            <w:r>
              <w:rPr>
                <w:rFonts w:ascii="Arial" w:cs="Arial" w:eastAsia="Arial" w:hAnsi="Arial"/>
                <w:sz w:val="18"/>
                <w:szCs w:val="18"/>
                <w:color w:val="auto"/>
              </w:rPr>
              <w:t>Deficiencies under minimum volume</w:t>
            </w:r>
          </w:p>
        </w:tc>
        <w:tc>
          <w:tcPr>
            <w:tcW w:w="160" w:type="dxa"/>
            <w:vAlign w:val="bottom"/>
          </w:tcPr>
          <w:p>
            <w:pPr>
              <w:spacing w:after="0"/>
              <w:rPr>
                <w:sz w:val="15"/>
                <w:szCs w:val="15"/>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tcPr>
          <w:p>
            <w:pPr>
              <w:ind w:left="300"/>
              <w:spacing w:after="0"/>
              <w:rPr>
                <w:sz w:val="20"/>
                <w:szCs w:val="20"/>
                <w:color w:val="auto"/>
              </w:rPr>
            </w:pPr>
            <w:r>
              <w:rPr>
                <w:rFonts w:ascii="Arial" w:cs="Arial" w:eastAsia="Arial" w:hAnsi="Arial"/>
                <w:sz w:val="18"/>
                <w:szCs w:val="18"/>
                <w:color w:val="auto"/>
              </w:rPr>
              <w:t>commitments, net</w:t>
            </w:r>
          </w:p>
        </w:tc>
        <w:tc>
          <w:tcPr>
            <w:tcW w:w="16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Equity-indexed compensation expense</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tcPr>
          <w:p>
            <w:pPr>
              <w:ind w:left="140"/>
              <w:spacing w:after="0"/>
              <w:rPr>
                <w:sz w:val="20"/>
                <w:szCs w:val="20"/>
                <w:color w:val="auto"/>
              </w:rPr>
            </w:pPr>
            <w:r>
              <w:rPr>
                <w:rFonts w:ascii="Arial" w:cs="Arial" w:eastAsia="Arial" w:hAnsi="Arial"/>
                <w:sz w:val="18"/>
                <w:szCs w:val="18"/>
                <w:color w:val="auto"/>
                <w:w w:val="92"/>
              </w:rPr>
              <w:t>Net (gain)/loss on foreign currency revaluation</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Significant transaction-related expenses</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560" w:type="dxa"/>
            <w:vAlign w:val="bottom"/>
          </w:tcPr>
          <w:p>
            <w:pPr>
              <w:ind w:left="80"/>
              <w:spacing w:after="0" w:line="156" w:lineRule="exact"/>
              <w:rPr>
                <w:sz w:val="20"/>
                <w:szCs w:val="20"/>
                <w:color w:val="auto"/>
              </w:rPr>
            </w:pPr>
            <w:r>
              <w:rPr>
                <w:rFonts w:ascii="Arial" w:cs="Arial" w:eastAsia="Arial" w:hAnsi="Arial"/>
                <w:sz w:val="18"/>
                <w:szCs w:val="18"/>
                <w:color w:val="auto"/>
              </w:rPr>
              <w:t>Selected Items Impacting Comparability -</w:t>
            </w: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Segment Adjusted EBITDA </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(Gains)/losses from derivative activities </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60" w:type="dxa"/>
            <w:vAlign w:val="bottom"/>
          </w:tcPr>
          <w:p>
            <w:pPr>
              <w:ind w:left="140"/>
              <w:spacing w:after="0" w:line="176" w:lineRule="exact"/>
              <w:rPr>
                <w:sz w:val="20"/>
                <w:szCs w:val="20"/>
                <w:color w:val="auto"/>
              </w:rPr>
            </w:pPr>
            <w:r>
              <w:rPr>
                <w:rFonts w:ascii="Arial" w:cs="Arial" w:eastAsia="Arial" w:hAnsi="Arial"/>
                <w:sz w:val="18"/>
                <w:szCs w:val="18"/>
                <w:color w:val="auto"/>
                <w:w w:val="92"/>
              </w:rPr>
              <w:t>Net (gain)/loss on foreign currency revaluation</w:t>
            </w:r>
          </w:p>
        </w:tc>
        <w:tc>
          <w:tcPr>
            <w:tcW w:w="160" w:type="dxa"/>
            <w:vAlign w:val="bottom"/>
          </w:tcPr>
          <w:p>
            <w:pPr>
              <w:spacing w:after="0"/>
              <w:rPr>
                <w:sz w:val="15"/>
                <w:szCs w:val="15"/>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3560" w:type="dxa"/>
            <w:vAlign w:val="bottom"/>
          </w:tcPr>
          <w:p>
            <w:pPr>
              <w:ind w:left="300"/>
              <w:spacing w:after="0"/>
              <w:rPr>
                <w:sz w:val="20"/>
                <w:szCs w:val="20"/>
                <w:color w:val="auto"/>
              </w:rPr>
            </w:pPr>
            <w:r>
              <w:rPr>
                <w:rFonts w:ascii="Arial" w:cs="Arial" w:eastAsia="Arial" w:hAnsi="Arial"/>
                <w:sz w:val="12"/>
                <w:szCs w:val="12"/>
                <w:color w:val="auto"/>
              </w:rPr>
              <w:t>(4)</w:t>
            </w:r>
          </w:p>
        </w:tc>
        <w:tc>
          <w:tcPr>
            <w:tcW w:w="1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w w:val="91"/>
              </w:rPr>
              <w:t xml:space="preserve">Net gain on early repayment of senior notes </w:t>
            </w:r>
            <w:r>
              <w:rPr>
                <w:rFonts w:ascii="Arial" w:cs="Arial" w:eastAsia="Arial" w:hAnsi="Arial"/>
                <w:sz w:val="23"/>
                <w:szCs w:val="23"/>
                <w:color w:val="auto"/>
                <w:w w:val="91"/>
                <w:vertAlign w:val="superscript"/>
              </w:rPr>
              <w:t>(5)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560" w:type="dxa"/>
            <w:vAlign w:val="bottom"/>
          </w:tcPr>
          <w:p>
            <w:pPr>
              <w:ind w:left="80"/>
              <w:spacing w:after="0" w:line="156" w:lineRule="exact"/>
              <w:rPr>
                <w:sz w:val="20"/>
                <w:szCs w:val="20"/>
                <w:color w:val="auto"/>
              </w:rPr>
            </w:pPr>
            <w:r>
              <w:rPr>
                <w:rFonts w:ascii="Arial" w:cs="Arial" w:eastAsia="Arial" w:hAnsi="Arial"/>
                <w:sz w:val="18"/>
                <w:szCs w:val="18"/>
                <w:color w:val="auto"/>
              </w:rPr>
              <w:t>Selected Items Impacting Comparability -</w:t>
            </w: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(6)</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56" w:lineRule="exact"/>
        <w:rPr>
          <w:sz w:val="20"/>
          <w:szCs w:val="20"/>
          <w:color w:val="auto"/>
        </w:rPr>
      </w:pPr>
    </w:p>
    <w:p>
      <w:pPr>
        <w:ind w:left="660" w:right="340" w:hanging="652"/>
        <w:spacing w:after="0" w:line="219" w:lineRule="auto"/>
        <w:tabs>
          <w:tab w:leader="none" w:pos="648"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We exclude our proportionate share of the depreciation and amortization expense (including write-downs related to cancelled projects) of such unconsolidated entities when reviewing Adjusted EBITDA, similar to our consolidated assets.</w:t>
      </w:r>
    </w:p>
    <w:p>
      <w:pPr>
        <w:spacing w:after="0" w:line="93" w:lineRule="exact"/>
        <w:rPr>
          <w:rFonts w:ascii="Arial" w:cs="Arial" w:eastAsia="Arial" w:hAnsi="Arial"/>
          <w:sz w:val="23"/>
          <w:szCs w:val="23"/>
          <w:color w:val="auto"/>
          <w:vertAlign w:val="superscript"/>
        </w:rPr>
      </w:pPr>
    </w:p>
    <w:p>
      <w:pPr>
        <w:ind w:left="660" w:right="20" w:hanging="652"/>
        <w:spacing w:after="0" w:line="227" w:lineRule="auto"/>
        <w:tabs>
          <w:tab w:leader="none" w:pos="648"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For a more detailed discussion of these selected items impacting comparability, see the footnotes to the Segment Adjusted EBITDA Reconciliation table in Note 11 to our Condensed Consolidated Financial Statements.</w:t>
      </w:r>
    </w:p>
    <w:p>
      <w:pPr>
        <w:spacing w:after="0" w:line="94" w:lineRule="exact"/>
        <w:rPr>
          <w:rFonts w:ascii="Arial" w:cs="Arial" w:eastAsia="Arial" w:hAnsi="Arial"/>
          <w:sz w:val="23"/>
          <w:szCs w:val="23"/>
          <w:color w:val="auto"/>
          <w:vertAlign w:val="superscript"/>
        </w:rPr>
      </w:pPr>
    </w:p>
    <w:p>
      <w:pPr>
        <w:ind w:left="660" w:right="100" w:hanging="652"/>
        <w:spacing w:after="0" w:line="238" w:lineRule="auto"/>
        <w:tabs>
          <w:tab w:leader="none" w:pos="648"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The Preferred Distribution Rate Reset Option of PAA’s Series A preferred units is accounted for as an embedded derivative and recorded at fair value in our Condensed Consolidated Financial Statements. The associated gains and losses are not integral to our results and were thus classified as a selected item impacting comparability. See Note 8 to our Condensed Consolidated Financial Statements for additional information regarding the Preferred Distribution Rate Reset Option.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hanging="11"/>
        <w:spacing w:after="0" w:line="311" w:lineRule="auto"/>
        <w:rPr>
          <w:sz w:val="20"/>
          <w:szCs w:val="20"/>
          <w:color w:val="auto"/>
        </w:rPr>
      </w:pPr>
      <w:r>
        <w:rPr>
          <w:rFonts w:ascii="Arial" w:cs="Arial" w:eastAsia="Arial" w:hAnsi="Arial"/>
          <w:sz w:val="16"/>
          <w:szCs w:val="16"/>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Includes net gains recognized in connection with the repurchase of our outstanding senior notes on the open market.</w:t>
      </w:r>
    </w:p>
    <w:p>
      <w:pPr>
        <w:spacing w:after="0" w:line="117" w:lineRule="exact"/>
        <w:rPr>
          <w:sz w:val="20"/>
          <w:szCs w:val="20"/>
          <w:color w:val="auto"/>
        </w:rPr>
      </w:pPr>
    </w:p>
    <w:p>
      <w:pPr>
        <w:ind w:left="20" w:right="460" w:hanging="11"/>
        <w:spacing w:after="0" w:line="342" w:lineRule="auto"/>
        <w:rPr>
          <w:sz w:val="20"/>
          <w:szCs w:val="20"/>
          <w:color w:val="auto"/>
        </w:rPr>
      </w:pPr>
      <w:r>
        <w:rPr>
          <w:rFonts w:ascii="Arial" w:cs="Arial" w:eastAsia="Arial" w:hAnsi="Arial"/>
          <w:sz w:val="16"/>
          <w:szCs w:val="16"/>
          <w:color w:val="auto"/>
        </w:rPr>
        <w:t>Other income/(expense), net per our Condensed Consolidated Statements of Operations, adjusted for selected items impacting comparability (“Adjusted Other income/(expense), net”) is included in Adjusted EBITDA and excluded from Segment Adjusted EBITDA.</w:t>
      </w:r>
    </w:p>
    <w:p>
      <w:pPr>
        <w:spacing w:after="0" w:line="124"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211"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(including write-downs related to cancelled projects)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11 to our Condensed Consolidated Financial Statements for a reconciliation of Segment Adjusted EBITDA to Net income/(loss) attributable to PAGP.</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and trucks. The Transportation segment generates revenue through a combination of tariffs, pipeline capacity agreements and other transportation fees. 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160" w:type="dxa"/>
            <w:vAlign w:val="bottom"/>
          </w:tcPr>
          <w:p>
            <w:pPr>
              <w:spacing w:after="0"/>
              <w:rPr>
                <w:sz w:val="14"/>
                <w:szCs w:val="14"/>
                <w:color w:val="auto"/>
              </w:rPr>
            </w:pPr>
          </w:p>
        </w:tc>
        <w:tc>
          <w:tcPr>
            <w:tcW w:w="168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14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7"/>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16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7"/>
          </w:tcPr>
          <w:p>
            <w:pPr>
              <w:ind w:left="2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4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2"/>
          </w:tcPr>
          <w:p>
            <w:pPr>
              <w:jc w:val="right"/>
              <w:ind w:right="16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4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Purchases and related costs</w:t>
            </w:r>
          </w:p>
        </w:tc>
        <w:tc>
          <w:tcPr>
            <w:tcW w:w="16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6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176"/>
        </w:trPr>
        <w:tc>
          <w:tcPr>
            <w:tcW w:w="3540" w:type="dxa"/>
            <w:vAlign w:val="bottom"/>
            <w:gridSpan w:val="4"/>
          </w:tcPr>
          <w:p>
            <w:pPr>
              <w:ind w:left="20"/>
              <w:spacing w:after="0" w:line="176" w:lineRule="exact"/>
              <w:rPr>
                <w:sz w:val="20"/>
                <w:szCs w:val="20"/>
                <w:color w:val="auto"/>
              </w:rPr>
            </w:pPr>
            <w:r>
              <w:rPr>
                <w:rFonts w:ascii="Arial" w:cs="Arial" w:eastAsia="Arial" w:hAnsi="Arial"/>
                <w:sz w:val="18"/>
                <w:szCs w:val="18"/>
                <w:color w:val="auto"/>
                <w:w w:val="94"/>
              </w:rPr>
              <w:t>Segment general and administrative expenses</w:t>
            </w:r>
          </w:p>
        </w:tc>
        <w:tc>
          <w:tcPr>
            <w:tcW w:w="160" w:type="dxa"/>
            <w:vAlign w:val="bottom"/>
          </w:tcPr>
          <w:p>
            <w:pPr>
              <w:spacing w:after="0"/>
              <w:rPr>
                <w:sz w:val="15"/>
                <w:szCs w:val="15"/>
                <w:color w:val="auto"/>
              </w:rPr>
            </w:pPr>
          </w:p>
        </w:tc>
        <w:tc>
          <w:tcPr>
            <w:tcW w:w="6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62"/>
        </w:trPr>
        <w:tc>
          <w:tcPr>
            <w:tcW w:w="3420" w:type="dxa"/>
            <w:vAlign w:val="bottom"/>
          </w:tcPr>
          <w:p>
            <w:pPr>
              <w:ind w:left="180"/>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40" w:type="dxa"/>
            <w:vAlign w:val="bottom"/>
            <w:gridSpan w:val="4"/>
          </w:tcPr>
          <w:p>
            <w:pPr>
              <w:ind w:left="140"/>
              <w:spacing w:after="0" w:line="176" w:lineRule="exact"/>
              <w:rPr>
                <w:sz w:val="20"/>
                <w:szCs w:val="20"/>
                <w:color w:val="auto"/>
              </w:rPr>
            </w:pPr>
            <w:r>
              <w:rPr>
                <w:rFonts w:ascii="Arial" w:cs="Arial" w:eastAsia="Arial" w:hAnsi="Arial"/>
                <w:sz w:val="18"/>
                <w:szCs w:val="18"/>
                <w:color w:val="auto"/>
              </w:rPr>
              <w:t>Depreciation and amortization of</w:t>
            </w:r>
          </w:p>
        </w:tc>
        <w:tc>
          <w:tcPr>
            <w:tcW w:w="160" w:type="dxa"/>
            <w:vAlign w:val="bottom"/>
          </w:tcPr>
          <w:p>
            <w:pPr>
              <w:spacing w:after="0"/>
              <w:rPr>
                <w:sz w:val="15"/>
                <w:szCs w:val="15"/>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29"/>
        </w:trPr>
        <w:tc>
          <w:tcPr>
            <w:tcW w:w="3540" w:type="dxa"/>
            <w:vAlign w:val="bottom"/>
            <w:gridSpan w:val="4"/>
          </w:tcPr>
          <w:p>
            <w:pPr>
              <w:ind w:left="300"/>
              <w:spacing w:after="0"/>
              <w:rPr>
                <w:sz w:val="20"/>
                <w:szCs w:val="20"/>
                <w:color w:val="auto"/>
              </w:rPr>
            </w:pPr>
            <w:r>
              <w:rPr>
                <w:rFonts w:ascii="Arial" w:cs="Arial" w:eastAsia="Arial" w:hAnsi="Arial"/>
                <w:sz w:val="18"/>
                <w:szCs w:val="18"/>
                <w:color w:val="auto"/>
              </w:rPr>
              <w:t>unconsolidated entities</w:t>
            </w:r>
          </w:p>
        </w:tc>
        <w:tc>
          <w:tcPr>
            <w:tcW w:w="16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40" w:type="dxa"/>
            <w:vAlign w:val="bottom"/>
            <w:gridSpan w:val="4"/>
            <w:shd w:val="clear" w:color="auto" w:fill="CCEEFF"/>
          </w:tcPr>
          <w:p>
            <w:pPr>
              <w:ind w:left="140"/>
              <w:spacing w:after="0" w:line="176" w:lineRule="exact"/>
              <w:rPr>
                <w:sz w:val="20"/>
                <w:szCs w:val="20"/>
                <w:color w:val="auto"/>
              </w:rPr>
            </w:pPr>
            <w:r>
              <w:rPr>
                <w:rFonts w:ascii="Arial" w:cs="Arial" w:eastAsia="Arial" w:hAnsi="Arial"/>
                <w:sz w:val="18"/>
                <w:szCs w:val="18"/>
                <w:color w:val="auto"/>
              </w:rPr>
              <w:t>Losses from derivative activities and</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3"/>
            <w:vMerge w:val="restart"/>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inventory valuation adjustments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gridSpan w:val="4"/>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3"/>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3"/>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4"/>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40" w:type="dxa"/>
            <w:vAlign w:val="bottom"/>
            <w:gridSpan w:val="4"/>
          </w:tcPr>
          <w:p>
            <w:pPr>
              <w:ind w:left="140"/>
              <w:spacing w:after="0" w:line="176" w:lineRule="exact"/>
              <w:rPr>
                <w:sz w:val="20"/>
                <w:szCs w:val="20"/>
                <w:color w:val="auto"/>
              </w:rPr>
            </w:pPr>
            <w:r>
              <w:rPr>
                <w:rFonts w:ascii="Arial" w:cs="Arial" w:eastAsia="Arial" w:hAnsi="Arial"/>
                <w:sz w:val="18"/>
                <w:szCs w:val="18"/>
                <w:color w:val="auto"/>
              </w:rPr>
              <w:t>Deficiencies under minimum volume</w:t>
            </w:r>
          </w:p>
        </w:tc>
        <w:tc>
          <w:tcPr>
            <w:tcW w:w="160" w:type="dxa"/>
            <w:vAlign w:val="bottom"/>
          </w:tcPr>
          <w:p>
            <w:pPr>
              <w:spacing w:after="0"/>
              <w:rPr>
                <w:sz w:val="15"/>
                <w:szCs w:val="15"/>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gridSpan w:val="4"/>
          </w:tcPr>
          <w:p>
            <w:pPr>
              <w:ind w:left="300"/>
              <w:spacing w:after="0"/>
              <w:rPr>
                <w:sz w:val="20"/>
                <w:szCs w:val="20"/>
                <w:color w:val="auto"/>
              </w:rPr>
            </w:pPr>
            <w:r>
              <w:rPr>
                <w:rFonts w:ascii="Arial" w:cs="Arial" w:eastAsia="Arial" w:hAnsi="Arial"/>
                <w:sz w:val="18"/>
                <w:szCs w:val="18"/>
                <w:color w:val="auto"/>
              </w:rPr>
              <w:t>commitments, net</w:t>
            </w:r>
          </w:p>
        </w:tc>
        <w:tc>
          <w:tcPr>
            <w:tcW w:w="16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Equity-indexed compensation expense</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gridSpan w:val="4"/>
          </w:tcPr>
          <w:p>
            <w:pPr>
              <w:ind w:left="140"/>
              <w:spacing w:after="0"/>
              <w:rPr>
                <w:sz w:val="20"/>
                <w:szCs w:val="20"/>
                <w:color w:val="auto"/>
              </w:rPr>
            </w:pPr>
            <w:r>
              <w:rPr>
                <w:rFonts w:ascii="Arial" w:cs="Arial" w:eastAsia="Arial" w:hAnsi="Arial"/>
                <w:sz w:val="18"/>
                <w:szCs w:val="18"/>
                <w:color w:val="auto"/>
              </w:rPr>
              <w:t>Significant transaction-related expenses</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gridSpan w:val="4"/>
            <w:vMerge w:val="continue"/>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Segment Adjusted EBITDA per barrel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5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Average Daily Volumes</w:t>
            </w:r>
          </w:p>
        </w:tc>
        <w:tc>
          <w:tcPr>
            <w:tcW w:w="160" w:type="dxa"/>
            <w:vAlign w:val="bottom"/>
          </w:tcPr>
          <w:p>
            <w:pPr>
              <w:spacing w:after="0"/>
              <w:rPr>
                <w:sz w:val="24"/>
                <w:szCs w:val="24"/>
                <w:color w:val="auto"/>
              </w:rPr>
            </w:pPr>
          </w:p>
        </w:tc>
        <w:tc>
          <w:tcPr>
            <w:tcW w:w="168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24"/>
                <w:szCs w:val="24"/>
                <w:color w:val="auto"/>
              </w:rPr>
            </w:pPr>
          </w:p>
        </w:tc>
        <w:tc>
          <w:tcPr>
            <w:tcW w:w="114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7"/>
          </w:tcPr>
          <w:p>
            <w:pPr>
              <w:ind w:left="8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24"/>
                <w:szCs w:val="24"/>
                <w:color w:val="auto"/>
              </w:rPr>
            </w:pPr>
          </w:p>
        </w:tc>
        <w:tc>
          <w:tcPr>
            <w:tcW w:w="11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54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7"/>
          </w:tcPr>
          <w:p>
            <w:pPr>
              <w:ind w:left="2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520" w:type="dxa"/>
            <w:vAlign w:val="bottom"/>
            <w:gridSpan w:val="3"/>
          </w:tcPr>
          <w:p>
            <w:pPr>
              <w:ind w:left="20"/>
              <w:spacing w:after="0" w:line="184"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8"/>
                <w:szCs w:val="18"/>
                <w:b w:val="1"/>
                <w:bCs w:val="1"/>
                <w:color w:val="auto"/>
                <w:vertAlign w:val="superscript"/>
              </w:rPr>
              <w:t>(4)</w:t>
            </w: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2"/>
          </w:tcPr>
          <w:p>
            <w:pPr>
              <w:jc w:val="right"/>
              <w:ind w:right="18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Volumes</w:t>
            </w:r>
          </w:p>
        </w:tc>
        <w:tc>
          <w:tcPr>
            <w:tcW w:w="62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Volumes</w:t>
            </w:r>
          </w:p>
        </w:tc>
        <w:tc>
          <w:tcPr>
            <w:tcW w:w="62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Tariff activities volumes</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4"/>
          </w:tcPr>
          <w:p>
            <w:pPr>
              <w:ind w:left="140"/>
              <w:spacing w:after="0"/>
              <w:rPr>
                <w:sz w:val="20"/>
                <w:szCs w:val="20"/>
                <w:color w:val="auto"/>
              </w:rPr>
            </w:pPr>
            <w:r>
              <w:rPr>
                <w:rFonts w:ascii="Arial" w:cs="Arial" w:eastAsia="Arial" w:hAnsi="Arial"/>
                <w:sz w:val="18"/>
                <w:szCs w:val="18"/>
                <w:color w:val="auto"/>
              </w:rPr>
              <w:t>Crude oil pipelines (by region):</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4,394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540" w:type="dxa"/>
            <w:vAlign w:val="bottom"/>
            <w:gridSpan w:val="4"/>
          </w:tcPr>
          <w:p>
            <w:pPr>
              <w:ind w:left="24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(5)</w:t>
            </w:r>
          </w:p>
        </w:tc>
        <w:tc>
          <w:tcPr>
            <w:tcW w:w="160" w:type="dxa"/>
            <w:vAlign w:val="bottom"/>
          </w:tcPr>
          <w:p>
            <w:pPr>
              <w:spacing w:after="0"/>
              <w:rPr>
                <w:sz w:val="19"/>
                <w:szCs w:val="19"/>
                <w:color w:val="auto"/>
              </w:rPr>
            </w:pPr>
          </w:p>
        </w:tc>
        <w:tc>
          <w:tcPr>
            <w:tcW w:w="640" w:type="dxa"/>
            <w:vAlign w:val="bottom"/>
            <w:gridSpan w:val="2"/>
          </w:tcPr>
          <w:p>
            <w:pPr>
              <w:jc w:val="right"/>
              <w:ind w:right="2"/>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(5)</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3540" w:type="dxa"/>
            <w:vAlign w:val="bottom"/>
            <w:gridSpan w:val="4"/>
          </w:tcPr>
          <w:p>
            <w:pPr>
              <w:ind w:left="240"/>
              <w:spacing w:after="0"/>
              <w:rPr>
                <w:sz w:val="20"/>
                <w:szCs w:val="20"/>
                <w:color w:val="auto"/>
              </w:rPr>
            </w:pPr>
            <w:r>
              <w:rPr>
                <w:rFonts w:ascii="Arial" w:cs="Arial" w:eastAsia="Arial" w:hAnsi="Arial"/>
                <w:sz w:val="18"/>
                <w:szCs w:val="18"/>
                <w:color w:val="auto"/>
              </w:rPr>
              <w:t>Gulf Coast</w:t>
            </w:r>
          </w:p>
        </w:tc>
        <w:tc>
          <w:tcPr>
            <w:tcW w:w="160" w:type="dxa"/>
            <w:vAlign w:val="bottom"/>
          </w:tcPr>
          <w:p>
            <w:pPr>
              <w:spacing w:after="0"/>
              <w:rPr>
                <w:sz w:val="19"/>
                <w:szCs w:val="19"/>
                <w:color w:val="auto"/>
              </w:rPr>
            </w:pPr>
          </w:p>
        </w:tc>
        <w:tc>
          <w:tcPr>
            <w:tcW w:w="640" w:type="dxa"/>
            <w:vAlign w:val="bottom"/>
            <w:gridSpan w:val="2"/>
          </w:tcPr>
          <w:p>
            <w:pPr>
              <w:jc w:val="right"/>
              <w:ind w:right="2"/>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(5)</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3540" w:type="dxa"/>
            <w:vAlign w:val="bottom"/>
            <w:gridSpan w:val="4"/>
          </w:tcPr>
          <w:p>
            <w:pPr>
              <w:ind w:left="240"/>
              <w:spacing w:after="0"/>
              <w:rPr>
                <w:sz w:val="20"/>
                <w:szCs w:val="20"/>
                <w:color w:val="auto"/>
              </w:rPr>
            </w:pPr>
            <w:r>
              <w:rPr>
                <w:rFonts w:ascii="Arial" w:cs="Arial" w:eastAsia="Arial" w:hAnsi="Arial"/>
                <w:sz w:val="18"/>
                <w:szCs w:val="18"/>
                <w:color w:val="auto"/>
              </w:rPr>
              <w:t>Western</w:t>
            </w:r>
          </w:p>
        </w:tc>
        <w:tc>
          <w:tcPr>
            <w:tcW w:w="160" w:type="dxa"/>
            <w:vAlign w:val="bottom"/>
          </w:tcPr>
          <w:p>
            <w:pPr>
              <w:spacing w:after="0"/>
              <w:rPr>
                <w:sz w:val="19"/>
                <w:szCs w:val="19"/>
                <w:color w:val="auto"/>
              </w:rPr>
            </w:pPr>
          </w:p>
        </w:tc>
        <w:tc>
          <w:tcPr>
            <w:tcW w:w="640" w:type="dxa"/>
            <w:vAlign w:val="bottom"/>
            <w:gridSpan w:val="2"/>
          </w:tcPr>
          <w:p>
            <w:pPr>
              <w:jc w:val="right"/>
              <w:ind w:right="2"/>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520" w:type="dxa"/>
            <w:vAlign w:val="bottom"/>
            <w:gridSpan w:val="3"/>
          </w:tcPr>
          <w:p>
            <w:pPr>
              <w:ind w:left="140"/>
              <w:spacing w:after="0"/>
              <w:rPr>
                <w:sz w:val="20"/>
                <w:szCs w:val="20"/>
                <w:color w:val="auto"/>
              </w:rPr>
            </w:pPr>
            <w:r>
              <w:rPr>
                <w:rFonts w:ascii="Arial" w:cs="Arial" w:eastAsia="Arial" w:hAnsi="Arial"/>
                <w:sz w:val="18"/>
                <w:szCs w:val="18"/>
                <w:color w:val="auto"/>
              </w:rPr>
              <w:t>Crude oil pipelines</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ind w:right="2"/>
              <w:spacing w:after="0"/>
              <w:rPr>
                <w:sz w:val="20"/>
                <w:szCs w:val="20"/>
                <w:color w:val="auto"/>
              </w:rPr>
            </w:pPr>
            <w:r>
              <w:rPr>
                <w:rFonts w:ascii="Arial" w:cs="Arial" w:eastAsia="Arial" w:hAnsi="Arial"/>
                <w:sz w:val="18"/>
                <w:szCs w:val="18"/>
                <w:color w:val="auto"/>
              </w:rPr>
              <w:t>6,162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5,868</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NGL pipelines</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Tariff activities total volumes</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ind w:right="2"/>
              <w:spacing w:after="0"/>
              <w:rPr>
                <w:sz w:val="20"/>
                <w:szCs w:val="20"/>
                <w:color w:val="auto"/>
              </w:rPr>
            </w:pPr>
            <w:r>
              <w:rPr>
                <w:rFonts w:ascii="Arial" w:cs="Arial" w:eastAsia="Arial" w:hAnsi="Arial"/>
                <w:sz w:val="18"/>
                <w:szCs w:val="18"/>
                <w:color w:val="auto"/>
              </w:rPr>
              <w:t>6,327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6,048</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Trucking volumes</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3"/>
        </w:trPr>
        <w:tc>
          <w:tcPr>
            <w:tcW w:w="3520" w:type="dxa"/>
            <w:vAlign w:val="bottom"/>
            <w:gridSpan w:val="3"/>
          </w:tcPr>
          <w:p>
            <w:pPr>
              <w:ind w:left="20"/>
              <w:spacing w:after="0"/>
              <w:rPr>
                <w:sz w:val="20"/>
                <w:szCs w:val="20"/>
                <w:color w:val="auto"/>
              </w:rPr>
            </w:pPr>
            <w:r>
              <w:rPr>
                <w:rFonts w:ascii="Arial" w:cs="Arial" w:eastAsia="Arial" w:hAnsi="Arial"/>
                <w:sz w:val="18"/>
                <w:szCs w:val="18"/>
                <w:color w:val="auto"/>
              </w:rPr>
              <w:t>Transportation segment total volumes</w:t>
            </w: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8"/>
                <w:szCs w:val="18"/>
                <w:color w:val="auto"/>
              </w:rPr>
              <w:t>6,385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6,115</w:t>
            </w: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56"/>
        </w:trPr>
        <w:tc>
          <w:tcPr>
            <w:tcW w:w="34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40" w:hanging="232"/>
        <w:spacing w:after="0"/>
        <w:tabs>
          <w:tab w:leader="none" w:pos="24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60" w:lineRule="exact"/>
        <w:rPr>
          <w:sz w:val="20"/>
          <w:szCs w:val="20"/>
          <w:color w:val="auto"/>
        </w:rPr>
      </w:pPr>
    </w:p>
    <w:p>
      <w:pPr>
        <w:ind w:left="640" w:hanging="632"/>
        <w:spacing w:after="0"/>
        <w:tabs>
          <w:tab w:leader="none" w:pos="64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Revenues and costs and expenses include intersegment amounts.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ind w:left="20" w:right="44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Region includes volumes (attributable to our interest) from pipelines owned by unconsolidated entities.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00" w:lineRule="exact"/>
        <w:rPr>
          <w:sz w:val="20"/>
          <w:szCs w:val="20"/>
          <w:color w:val="auto"/>
        </w:rPr>
      </w:pPr>
    </w:p>
    <w:p>
      <w:pPr>
        <w:sectPr>
          <w:pgSz w:w="11900" w:h="16838" w:orient="portrait"/>
          <w:cols w:equalWidth="0" w:num="2">
            <w:col w:w="140" w:space="500"/>
            <w:col w:w="10560"/>
          </w:cols>
          <w:pgMar w:left="320" w:top="125" w:right="379" w:bottom="1440" w:gutter="0" w:footer="0" w:header="0"/>
          <w:type w:val="continuous"/>
        </w:sectPr>
      </w:pPr>
    </w:p>
    <w:p>
      <w:pPr>
        <w:spacing w:after="0" w:line="52" w:lineRule="exact"/>
        <w:rPr>
          <w:sz w:val="20"/>
          <w:szCs w:val="20"/>
          <w:color w:val="auto"/>
        </w:rPr>
      </w:pPr>
    </w:p>
    <w:p>
      <w:pPr>
        <w:ind w:right="400" w:firstLine="693"/>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Equity Earnings in Unconsolidated Entities and Volumes. </w:t>
      </w:r>
      <w:r>
        <w:rPr>
          <w:rFonts w:ascii="Arial" w:cs="Arial" w:eastAsia="Arial" w:hAnsi="Arial"/>
          <w:sz w:val="18"/>
          <w:szCs w:val="18"/>
          <w:color w:val="auto"/>
        </w:rPr>
        <w:t>The following table presents variances in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purchases and related costs and equity earnings in unconsolidated entities by region:</w:t>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w w:val="94"/>
              </w:rPr>
              <w:t>Favorable/(Unfavorable) Variance</w:t>
            </w:r>
          </w:p>
        </w:tc>
        <w:tc>
          <w:tcPr>
            <w:tcW w:w="140" w:type="dxa"/>
            <w:vAlign w:val="bottom"/>
          </w:tcPr>
          <w:p>
            <w:pPr>
              <w:spacing w:after="0"/>
              <w:rPr>
                <w:sz w:val="14"/>
                <w:szCs w:val="14"/>
                <w:color w:val="auto"/>
              </w:rPr>
            </w:pPr>
          </w:p>
        </w:tc>
        <w:tc>
          <w:tcPr>
            <w:tcW w:w="2860" w:type="dxa"/>
            <w:vAlign w:val="bottom"/>
            <w:gridSpan w:val="7"/>
          </w:tcPr>
          <w:p>
            <w:pPr>
              <w:jc w:val="center"/>
              <w:ind w:right="54"/>
              <w:spacing w:after="0"/>
              <w:rPr>
                <w:sz w:val="20"/>
                <w:szCs w:val="20"/>
                <w:color w:val="auto"/>
              </w:rPr>
            </w:pPr>
            <w:r>
              <w:rPr>
                <w:rFonts w:ascii="Arial" w:cs="Arial" w:eastAsia="Arial" w:hAnsi="Arial"/>
                <w:sz w:val="14"/>
                <w:szCs w:val="14"/>
                <w:b w:val="1"/>
                <w:bCs w:val="1"/>
                <w:color w:val="auto"/>
                <w:w w:val="95"/>
              </w:rPr>
              <w:t>Favorable/(Unfavorable) Variance</w:t>
            </w: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20" w:type="dxa"/>
            <w:vAlign w:val="bottom"/>
            <w:gridSpan w:val="9"/>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1"/>
                <w:szCs w:val="11"/>
                <w:color w:val="auto"/>
              </w:rPr>
            </w:pPr>
          </w:p>
        </w:tc>
        <w:tc>
          <w:tcPr>
            <w:tcW w:w="2860" w:type="dxa"/>
            <w:vAlign w:val="bottom"/>
            <w:gridSpan w:val="7"/>
          </w:tcPr>
          <w:p>
            <w:pPr>
              <w:jc w:val="center"/>
              <w:ind w:right="54"/>
              <w:spacing w:after="0" w:line="135" w:lineRule="exact"/>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88"/>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2"/>
              </w:rPr>
              <w:t>2021-2020</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5"/>
              </w:rPr>
              <w:t>2021-2020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Revenues</w:t>
            </w:r>
          </w:p>
        </w:tc>
        <w:tc>
          <w:tcPr>
            <w:tcW w:w="1020" w:type="dxa"/>
            <w:vAlign w:val="bottom"/>
            <w:gridSpan w:val="3"/>
          </w:tcPr>
          <w:p>
            <w:pPr>
              <w:jc w:val="center"/>
              <w:ind w:right="80"/>
              <w:spacing w:after="0" w:line="130" w:lineRule="exact"/>
              <w:rPr>
                <w:sz w:val="20"/>
                <w:szCs w:val="20"/>
                <w:color w:val="auto"/>
              </w:rPr>
            </w:pPr>
            <w:r>
              <w:rPr>
                <w:rFonts w:ascii="Arial" w:cs="Arial" w:eastAsia="Arial" w:hAnsi="Arial"/>
                <w:sz w:val="14"/>
                <w:szCs w:val="14"/>
                <w:b w:val="1"/>
                <w:bCs w:val="1"/>
                <w:color w:val="auto"/>
                <w:w w:val="90"/>
              </w:rPr>
              <w:t>Purchases and</w:t>
            </w:r>
          </w:p>
        </w:tc>
        <w:tc>
          <w:tcPr>
            <w:tcW w:w="160" w:type="dxa"/>
            <w:vAlign w:val="bottom"/>
          </w:tcPr>
          <w:p>
            <w:pPr>
              <w:spacing w:after="0"/>
              <w:rPr>
                <w:sz w:val="11"/>
                <w:szCs w:val="11"/>
                <w:color w:val="auto"/>
              </w:rPr>
            </w:pPr>
          </w:p>
        </w:tc>
        <w:tc>
          <w:tcPr>
            <w:tcW w:w="780" w:type="dxa"/>
            <w:vAlign w:val="bottom"/>
          </w:tcPr>
          <w:p>
            <w:pPr>
              <w:jc w:val="center"/>
              <w:ind w:right="74"/>
              <w:spacing w:after="0" w:line="130" w:lineRule="exact"/>
              <w:rPr>
                <w:sz w:val="20"/>
                <w:szCs w:val="20"/>
                <w:color w:val="auto"/>
              </w:rPr>
            </w:pPr>
            <w:r>
              <w:rPr>
                <w:rFonts w:ascii="Arial" w:cs="Arial" w:eastAsia="Arial" w:hAnsi="Arial"/>
                <w:sz w:val="14"/>
                <w:szCs w:val="14"/>
                <w:b w:val="1"/>
                <w:bCs w:val="1"/>
                <w:color w:val="auto"/>
                <w:w w:val="98"/>
              </w:rPr>
              <w:t>Equity</w:t>
            </w:r>
          </w:p>
        </w:tc>
        <w:tc>
          <w:tcPr>
            <w:tcW w:w="18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Revenues</w:t>
            </w:r>
          </w:p>
        </w:tc>
        <w:tc>
          <w:tcPr>
            <w:tcW w:w="102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88"/>
              </w:rPr>
              <w:t>Purchases and</w:t>
            </w:r>
          </w:p>
        </w:tc>
        <w:tc>
          <w:tcPr>
            <w:tcW w:w="140" w:type="dxa"/>
            <w:vAlign w:val="bottom"/>
          </w:tcPr>
          <w:p>
            <w:pPr>
              <w:spacing w:after="0"/>
              <w:rPr>
                <w:sz w:val="11"/>
                <w:szCs w:val="11"/>
                <w:color w:val="auto"/>
              </w:rPr>
            </w:pPr>
          </w:p>
        </w:tc>
        <w:tc>
          <w:tcPr>
            <w:tcW w:w="800" w:type="dxa"/>
            <w:vAlign w:val="bottom"/>
          </w:tcPr>
          <w:p>
            <w:pPr>
              <w:jc w:val="center"/>
              <w:ind w:right="54"/>
              <w:spacing w:after="0" w:line="130"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8"/>
        </w:trPr>
        <w:tc>
          <w:tcPr>
            <w:tcW w:w="3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Related Costs</w:t>
            </w:r>
          </w:p>
        </w:tc>
        <w:tc>
          <w:tcPr>
            <w:tcW w:w="160" w:type="dxa"/>
            <w:vAlign w:val="bottom"/>
          </w:tcPr>
          <w:p>
            <w:pPr>
              <w:spacing w:after="0"/>
              <w:rPr>
                <w:sz w:val="16"/>
                <w:szCs w:val="16"/>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Related Costs</w:t>
            </w:r>
          </w:p>
        </w:tc>
        <w:tc>
          <w:tcPr>
            <w:tcW w:w="140" w:type="dxa"/>
            <w:vAlign w:val="bottom"/>
          </w:tcPr>
          <w:p>
            <w:pPr>
              <w:spacing w:after="0"/>
              <w:rPr>
                <w:sz w:val="16"/>
                <w:szCs w:val="16"/>
                <w:color w:val="auto"/>
              </w:rPr>
            </w:pPr>
          </w:p>
        </w:tc>
        <w:tc>
          <w:tcPr>
            <w:tcW w:w="800" w:type="dxa"/>
            <w:vAlign w:val="bottom"/>
          </w:tcPr>
          <w:p>
            <w:pPr>
              <w:jc w:val="center"/>
              <w:ind w:right="74"/>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24"/>
        </w:trPr>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Permian Basin region</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center"/>
              <w:ind w:left="334"/>
              <w:spacing w:after="0"/>
              <w:rPr>
                <w:sz w:val="20"/>
                <w:szCs w:val="20"/>
                <w:color w:val="auto"/>
              </w:rPr>
            </w:pPr>
            <w:r>
              <w:rPr>
                <w:rFonts w:ascii="Arial" w:cs="Arial" w:eastAsia="Arial" w:hAnsi="Arial"/>
                <w:sz w:val="18"/>
                <w:szCs w:val="18"/>
                <w:color w:val="auto"/>
                <w:w w:val="93"/>
              </w:rPr>
              <w:t>(34)</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South Texas / Eagle Ford region</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center"/>
              <w:ind w:left="334"/>
              <w:spacing w:after="0"/>
              <w:rPr>
                <w:sz w:val="20"/>
                <w:szCs w:val="20"/>
                <w:color w:val="auto"/>
              </w:rPr>
            </w:pPr>
            <w:r>
              <w:rPr>
                <w:rFonts w:ascii="Arial" w:cs="Arial" w:eastAsia="Arial" w:hAnsi="Arial"/>
                <w:sz w:val="18"/>
                <w:szCs w:val="18"/>
                <w:color w:val="auto"/>
                <w:w w:val="93"/>
              </w:rPr>
              <w:t>(14)</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Central region</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34"/>
              <w:spacing w:after="0"/>
              <w:rPr>
                <w:sz w:val="20"/>
                <w:szCs w:val="20"/>
                <w:color w:val="auto"/>
              </w:rPr>
            </w:pPr>
            <w:r>
              <w:rPr>
                <w:rFonts w:ascii="Arial" w:cs="Arial" w:eastAsia="Arial" w:hAnsi="Arial"/>
                <w:sz w:val="18"/>
                <w:szCs w:val="18"/>
                <w:color w:val="auto"/>
                <w:w w:val="93"/>
              </w:rPr>
              <w:t>(23)</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Gulf Coast region</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center"/>
              <w:ind w:left="334"/>
              <w:spacing w:after="0"/>
              <w:rPr>
                <w:sz w:val="20"/>
                <w:szCs w:val="20"/>
                <w:color w:val="auto"/>
              </w:rPr>
            </w:pPr>
            <w:r>
              <w:rPr>
                <w:rFonts w:ascii="Arial" w:cs="Arial" w:eastAsia="Arial" w:hAnsi="Arial"/>
                <w:sz w:val="18"/>
                <w:szCs w:val="18"/>
                <w:color w:val="auto"/>
                <w:w w:val="93"/>
              </w:rPr>
              <w:t>(10)</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Rocky Mountain region</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34"/>
              <w:spacing w:after="0"/>
              <w:rPr>
                <w:sz w:val="20"/>
                <w:szCs w:val="20"/>
                <w:color w:val="auto"/>
              </w:rPr>
            </w:pPr>
            <w:r>
              <w:rPr>
                <w:rFonts w:ascii="Arial" w:cs="Arial" w:eastAsia="Arial" w:hAnsi="Arial"/>
                <w:sz w:val="18"/>
                <w:szCs w:val="18"/>
                <w:color w:val="auto"/>
                <w:w w:val="93"/>
              </w:rPr>
              <w:t>(10)</w:t>
            </w:r>
          </w:p>
        </w:tc>
        <w:tc>
          <w:tcPr>
            <w:tcW w:w="0" w:type="dxa"/>
            <w:vAlign w:val="bottom"/>
          </w:tcPr>
          <w:p>
            <w:pPr>
              <w:spacing w:after="0"/>
              <w:rPr>
                <w:sz w:val="1"/>
                <w:szCs w:val="1"/>
                <w:color w:val="auto"/>
              </w:rPr>
            </w:pPr>
          </w:p>
        </w:tc>
      </w:tr>
      <w:tr>
        <w:trPr>
          <w:trHeight w:val="176"/>
        </w:trPr>
        <w:tc>
          <w:tcPr>
            <w:tcW w:w="37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regions, NGL pipelines, trucking and</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center"/>
              <w:ind w:left="37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pipeline loss allowance revenue</w:t>
            </w: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variance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center"/>
              <w:ind w:left="334"/>
              <w:spacing w:after="0"/>
              <w:rPr>
                <w:sz w:val="20"/>
                <w:szCs w:val="20"/>
                <w:color w:val="auto"/>
              </w:rPr>
            </w:pPr>
            <w:r>
              <w:rPr>
                <w:rFonts w:ascii="Arial" w:cs="Arial" w:eastAsia="Arial" w:hAnsi="Arial"/>
                <w:sz w:val="18"/>
                <w:szCs w:val="18"/>
                <w:color w:val="auto"/>
                <w:w w:val="93"/>
              </w:rPr>
              <w:t>(91)</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980" w:hanging="324"/>
        <w:spacing w:after="0" w:line="275" w:lineRule="auto"/>
        <w:tabs>
          <w:tab w:leader="none" w:pos="975" w:val="left"/>
        </w:tabs>
        <w:numPr>
          <w:ilvl w:val="0"/>
          <w:numId w:val="31"/>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 xml:space="preserve">Permian Basin region. </w:t>
      </w:r>
      <w:r>
        <w:rPr>
          <w:rFonts w:ascii="Arial" w:cs="Arial" w:eastAsia="Arial" w:hAnsi="Arial"/>
          <w:sz w:val="17"/>
          <w:szCs w:val="17"/>
          <w:color w:val="auto"/>
        </w:rPr>
        <w:t>Revenues, net of purchases and related costs, (“net revenues”) increased by $14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compared to the same period in 2020 primarily due to the recognition of revenue associated with minimum volume commitments in the first and second quarters of 2021. Such favorable impacts were partially offset by lower volumes of crude oil produced in the Permian Basin in the first quarter of 2021, driven by the COVID-19 pandemic-related reset to production and compounded by shut-ins from the extreme winter weather event that occurred in February of 2021 (“Winter Storm Uri”).</w:t>
      </w:r>
    </w:p>
    <w:p>
      <w:pPr>
        <w:spacing w:after="0" w:line="203" w:lineRule="exact"/>
        <w:rPr>
          <w:rFonts w:ascii="Arial" w:cs="Arial" w:eastAsia="Arial" w:hAnsi="Arial"/>
          <w:sz w:val="17"/>
          <w:szCs w:val="17"/>
          <w:b w:val="1"/>
          <w:bCs w:val="1"/>
          <w:i w:val="1"/>
          <w:iCs w:val="1"/>
          <w:color w:val="auto"/>
        </w:rPr>
      </w:pPr>
    </w:p>
    <w:p>
      <w:pPr>
        <w:ind w:left="980" w:right="80"/>
        <w:spacing w:after="0" w:line="301" w:lineRule="auto"/>
        <w:rPr>
          <w:rFonts w:ascii="Arial" w:cs="Arial" w:eastAsia="Arial" w:hAnsi="Arial"/>
          <w:sz w:val="17"/>
          <w:szCs w:val="17"/>
          <w:b w:val="1"/>
          <w:bCs w:val="1"/>
          <w:i w:val="1"/>
          <w:iCs w:val="1"/>
          <w:color w:val="auto"/>
        </w:rPr>
      </w:pPr>
      <w:r>
        <w:rPr>
          <w:rFonts w:ascii="Arial" w:cs="Arial" w:eastAsia="Arial" w:hAnsi="Arial"/>
          <w:sz w:val="16"/>
          <w:szCs w:val="16"/>
          <w:color w:val="auto"/>
        </w:rPr>
        <w:t>Equity earnings decreased for the three and nine months ended September 30, 2021 compared to the same periods in 2020 primarily due to depreciation expense and transition costs associated with phase one of the Wink to Webster pipeline being placed into service during the first quarter of 2021, long-haul volumes shipped at lower rates and our proportionate share of the write-off of costs associated with a capital project canceled during the second quarter of 2021, partially offset by lower power costs related to Winter Storm Uri.</w:t>
      </w:r>
    </w:p>
    <w:p>
      <w:pPr>
        <w:spacing w:after="0" w:line="184" w:lineRule="exact"/>
        <w:rPr>
          <w:rFonts w:ascii="Arial" w:cs="Arial" w:eastAsia="Arial" w:hAnsi="Arial"/>
          <w:sz w:val="17"/>
          <w:szCs w:val="17"/>
          <w:b w:val="1"/>
          <w:bCs w:val="1"/>
          <w:i w:val="1"/>
          <w:iCs w:val="1"/>
          <w:color w:val="auto"/>
        </w:rPr>
      </w:pPr>
    </w:p>
    <w:p>
      <w:pPr>
        <w:jc w:val="both"/>
        <w:ind w:left="980" w:right="80" w:hanging="324"/>
        <w:spacing w:after="0" w:line="263" w:lineRule="auto"/>
        <w:tabs>
          <w:tab w:leader="none" w:pos="975"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South Texas / Eagle Ford region. </w:t>
      </w:r>
      <w:r>
        <w:rPr>
          <w:rFonts w:ascii="Arial" w:cs="Arial" w:eastAsia="Arial" w:hAnsi="Arial"/>
          <w:sz w:val="18"/>
          <w:szCs w:val="18"/>
          <w:color w:val="auto"/>
        </w:rPr>
        <w:t>Revenues and volumes decreased for the three and nine months ended September 30, 2021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periods in 2020 due to lower production, including, for the nine-month period, the impact of curtailments from Winter Storm Uri in the first quarter of 2021.</w:t>
      </w:r>
    </w:p>
    <w:p>
      <w:pPr>
        <w:spacing w:after="0" w:line="210" w:lineRule="exact"/>
        <w:rPr>
          <w:rFonts w:ascii="Arial" w:cs="Arial" w:eastAsia="Arial" w:hAnsi="Arial"/>
          <w:sz w:val="18"/>
          <w:szCs w:val="18"/>
          <w:b w:val="1"/>
          <w:bCs w:val="1"/>
          <w:i w:val="1"/>
          <w:iCs w:val="1"/>
          <w:color w:val="auto"/>
        </w:rPr>
      </w:pPr>
    </w:p>
    <w:p>
      <w:pPr>
        <w:ind w:left="980"/>
        <w:spacing w:after="0" w:line="263" w:lineRule="auto"/>
        <w:rPr>
          <w:rFonts w:ascii="Arial" w:cs="Arial" w:eastAsia="Arial" w:hAnsi="Arial"/>
          <w:sz w:val="18"/>
          <w:szCs w:val="18"/>
          <w:b w:val="1"/>
          <w:bCs w:val="1"/>
          <w:i w:val="1"/>
          <w:iCs w:val="1"/>
          <w:color w:val="auto"/>
        </w:rPr>
      </w:pPr>
      <w:r>
        <w:rPr>
          <w:rFonts w:ascii="Arial" w:cs="Arial" w:eastAsia="Arial" w:hAnsi="Arial"/>
          <w:sz w:val="18"/>
          <w:szCs w:val="18"/>
          <w:color w:val="auto"/>
        </w:rPr>
        <w:t>Equity earnings decreased for the nine months ended September 30, 2021 compared to the same period in 2020 due to a combination of lower joint tariff volumes from our Permian Basin long-haul system, and to a lesser extent, lower regional receipts, partially offset by the recognition of previously deferred revenue associated with minimum volume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40" w:hanging="324"/>
        <w:spacing w:after="0" w:line="311" w:lineRule="auto"/>
        <w:tabs>
          <w:tab w:leader="none" w:pos="975"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Central region. </w:t>
      </w:r>
      <w:r>
        <w:rPr>
          <w:rFonts w:ascii="Arial" w:cs="Arial" w:eastAsia="Arial" w:hAnsi="Arial"/>
          <w:sz w:val="16"/>
          <w:szCs w:val="16"/>
          <w:color w:val="auto"/>
        </w:rPr>
        <w:t>Revenues increased for the three and nine months ended September 30, 2021 compared to the same periods in 2020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due to higher volumes on certain of our pipelines in the region, including the Red River pipeline, as a result of (i) additional volume commitments beginning in the third quarter of 2020 and the second quarter of 2021 and (ii) an expansion placed into service in October 2020.</w:t>
      </w:r>
    </w:p>
    <w:p>
      <w:pPr>
        <w:spacing w:after="0" w:line="175" w:lineRule="exact"/>
        <w:rPr>
          <w:rFonts w:ascii="Arial" w:cs="Arial" w:eastAsia="Arial" w:hAnsi="Arial"/>
          <w:sz w:val="16"/>
          <w:szCs w:val="16"/>
          <w:i w:val="1"/>
          <w:iCs w:val="1"/>
          <w:color w:val="auto"/>
        </w:rPr>
      </w:pPr>
    </w:p>
    <w:p>
      <w:pPr>
        <w:ind w:left="980" w:right="260"/>
        <w:spacing w:after="0" w:line="263" w:lineRule="auto"/>
        <w:rPr>
          <w:rFonts w:ascii="Arial" w:cs="Arial" w:eastAsia="Arial" w:hAnsi="Arial"/>
          <w:sz w:val="16"/>
          <w:szCs w:val="16"/>
          <w:i w:val="1"/>
          <w:iCs w:val="1"/>
          <w:color w:val="auto"/>
        </w:rPr>
      </w:pPr>
      <w:r>
        <w:rPr>
          <w:rFonts w:ascii="Arial" w:cs="Arial" w:eastAsia="Arial" w:hAnsi="Arial"/>
          <w:sz w:val="18"/>
          <w:szCs w:val="18"/>
          <w:color w:val="auto"/>
        </w:rPr>
        <w:t>Equity earnings decreased for the nine months ended September 30, 2021 compared to the same period in 2020 primarily due to our proportionate share of Diamond Pipeline’s write-off of costs associated with the cancellation of the project to connect Diamond Pipeline to Capline Pipeline (the Byhalia Connection) during the second quarter of 2021.</w:t>
      </w:r>
    </w:p>
    <w:p>
      <w:pPr>
        <w:spacing w:after="0" w:line="210" w:lineRule="exact"/>
        <w:rPr>
          <w:rFonts w:ascii="Arial" w:cs="Arial" w:eastAsia="Arial" w:hAnsi="Arial"/>
          <w:sz w:val="16"/>
          <w:szCs w:val="16"/>
          <w:i w:val="1"/>
          <w:iCs w:val="1"/>
          <w:color w:val="auto"/>
        </w:rPr>
      </w:pPr>
    </w:p>
    <w:p>
      <w:pPr>
        <w:ind w:left="980" w:right="380" w:hanging="324"/>
        <w:spacing w:after="0" w:line="277" w:lineRule="auto"/>
        <w:tabs>
          <w:tab w:leader="none" w:pos="975"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Gulf Coast region. </w:t>
      </w:r>
      <w:r>
        <w:rPr>
          <w:rFonts w:ascii="Arial" w:cs="Arial" w:eastAsia="Arial" w:hAnsi="Arial"/>
          <w:sz w:val="18"/>
          <w:szCs w:val="18"/>
          <w:color w:val="auto"/>
        </w:rPr>
        <w:t>Revenues increased slightly for the three and nine months ended September 30, 2021 compared to the same periods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due to higher movements on a low tariff pipeline.</w:t>
      </w:r>
    </w:p>
    <w:p>
      <w:pPr>
        <w:spacing w:after="0" w:line="197" w:lineRule="exact"/>
        <w:rPr>
          <w:rFonts w:ascii="Arial" w:cs="Arial" w:eastAsia="Arial" w:hAnsi="Arial"/>
          <w:sz w:val="18"/>
          <w:szCs w:val="18"/>
          <w:i w:val="1"/>
          <w:iCs w:val="1"/>
          <w:color w:val="auto"/>
        </w:rPr>
      </w:pPr>
    </w:p>
    <w:p>
      <w:pPr>
        <w:ind w:left="980" w:right="38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Equity earnings decreased for the nine months ended September 30, 2021 compared to the same period in 2020 primarily due to our proportionate share of Capline Pipeline’s write-off of costs associated with the cancellation of the project to connect Diamond Pipeline to Capline Pipeline (the Byhalia Connection) during the second quarter of 2021.</w:t>
      </w:r>
    </w:p>
    <w:p>
      <w:pPr>
        <w:spacing w:after="0" w:line="210" w:lineRule="exact"/>
        <w:rPr>
          <w:rFonts w:ascii="Arial" w:cs="Arial" w:eastAsia="Arial" w:hAnsi="Arial"/>
          <w:sz w:val="18"/>
          <w:szCs w:val="18"/>
          <w:i w:val="1"/>
          <w:iCs w:val="1"/>
          <w:color w:val="auto"/>
        </w:rPr>
      </w:pPr>
    </w:p>
    <w:p>
      <w:pPr>
        <w:ind w:left="980" w:right="160" w:hanging="324"/>
        <w:spacing w:after="0" w:line="342" w:lineRule="auto"/>
        <w:tabs>
          <w:tab w:leader="none" w:pos="975"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Rocky Mountain region. </w:t>
      </w:r>
      <w:r>
        <w:rPr>
          <w:rFonts w:ascii="Arial" w:cs="Arial" w:eastAsia="Arial" w:hAnsi="Arial"/>
          <w:sz w:val="16"/>
          <w:szCs w:val="16"/>
          <w:color w:val="auto"/>
        </w:rPr>
        <w:t>Revenues increased for the three and nine months ended September 30, 2021 compared to the same periods in 2020</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(i) increased movements on our cross-border pipelines and (ii) a new joint tariff movement to Cushing, Oklahoma.</w:t>
      </w:r>
    </w:p>
    <w:p>
      <w:pPr>
        <w:spacing w:after="0" w:line="151" w:lineRule="exact"/>
        <w:rPr>
          <w:sz w:val="20"/>
          <w:szCs w:val="20"/>
          <w:color w:val="auto"/>
        </w:rPr>
      </w:pPr>
    </w:p>
    <w:p>
      <w:pPr>
        <w:ind w:left="980"/>
        <w:spacing w:after="0" w:line="263" w:lineRule="auto"/>
        <w:rPr>
          <w:sz w:val="20"/>
          <w:szCs w:val="20"/>
          <w:color w:val="auto"/>
        </w:rPr>
      </w:pPr>
      <w:r>
        <w:rPr>
          <w:rFonts w:ascii="Arial" w:cs="Arial" w:eastAsia="Arial" w:hAnsi="Arial"/>
          <w:sz w:val="18"/>
          <w:szCs w:val="18"/>
          <w:color w:val="auto"/>
        </w:rPr>
        <w:t>Equity earnings decreased for the nine months ended September 30, 2021 compared to the same period in 2020 primarily due to the expiration of higher-tariff volume commitments in the current period on the White Cliffs pipeline, partially offset by higher volumes from committed shippers on the Saddlehorn pipeline.</w:t>
      </w:r>
    </w:p>
    <w:p>
      <w:pPr>
        <w:spacing w:after="0" w:line="21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 xml:space="preserve">Adjustments: Deficiencies under minimum volume commitments, net. </w:t>
      </w:r>
      <w:r>
        <w:rPr>
          <w:rFonts w:ascii="Arial" w:cs="Arial" w:eastAsia="Arial" w:hAnsi="Arial"/>
          <w:sz w:val="16"/>
          <w:szCs w:val="16"/>
          <w:color w:val="auto"/>
        </w:rPr>
        <w:t>Many industry infrastructure projects developed and completed over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years were underpinned by long-term minimum volume commitment contracts whereby the shipper agreed to either: (i) ship and pay for certain stated volumes or (ii) pay the agreed upon price for a minimum contract quantity. Some of these agreements include make-up rights if the minimum volume is not met. If a counterparty has a make-up right associated with a deficiency, we bill the counterparty and defer the revenue attributable to the counterparty’s make-up right but record an adjustment to reflect such amount associated with the current period activity in Segment Adjusted EBITDA. We subsequently recognize the revenue, and record a corresponding reversal of the adjustment, at the earlier of when the deficiency volume is delivered or shipped, when the make-up right expires or when it is determined that the counterparty’s ability to utilize the make-up right is remote.</w:t>
      </w:r>
    </w:p>
    <w:p>
      <w:pPr>
        <w:spacing w:after="0" w:line="193"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For each of the three and nine month periods ended September 30, 2021 and 2020, we billed and deferred amounts from counterparties associated with deficiencies under minimum volume commitments. In each of the periods presented, the amount we billed was in excess of the amount we recognized into revenue.</w:t>
      </w:r>
    </w:p>
    <w:p>
      <w:pPr>
        <w:spacing w:after="0" w:line="21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nine months ended September 30, 2021 compared to the same period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(i) lower power costs, including the impact of gains related to hedged power costs resulting from Winter Storm Uri and (ii) streamlining efforts which have resulted in decreases in variable costs and maintenance and chemicals and additives costs. These favorable impacts were partially offset by increased field operating costs for the three months ended September 30, 2021 compared to the three months ended September 30, 2020 due to (i) higher compensation costs, including lower wage subsidies received by our Canadian subsidiary, and (ii) an increase in power costs due to higher volumes.</w:t>
      </w:r>
    </w:p>
    <w:p>
      <w:pPr>
        <w:spacing w:after="0" w:line="21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increase in segment general and administrative expenses for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compared to the same periods in 2020 was primarily due to increased information systems costs and reduced wage subsidies received by our Canadian subsidiary in the current periods. The nine-month comparative period was further unfavorably impacted by an increase in equity-indexed compensation expense on liability-classified awards (which are not included as an “Adjustment” in the table above) due to an increase in PAA’s common unit price.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Maintenance Capital</w:t>
      </w:r>
      <w:r>
        <w:rPr>
          <w:rFonts w:ascii="Arial" w:cs="Arial" w:eastAsia="Arial" w:hAnsi="Arial"/>
          <w:sz w:val="17"/>
          <w:szCs w:val="17"/>
          <w:color w:val="auto"/>
        </w:rPr>
        <w:t>. Maintenance capital consists of capital expenditures for the replacement and/or refurbishment of partially or fully</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depreciated assets in order to maintain the operating and/or earnings capacity of our existing assets. The decrease in maintenance capital spending for the three and nine months ended September 30, 2021 compared to the same periods in 2020 was primarily due to timing changes, the completion of multi-year reliability improvement programs and application of updated regulatory guidance, among other factors.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primarily for crude oil and NGL, as well as NGL fractionation and isomerization services and natural gas and condensate processing services. The Facilities segment generates revenue through a combination of month-to-month and multi-year agreements.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140" w:type="dxa"/>
            <w:vAlign w:val="bottom"/>
          </w:tcPr>
          <w:p>
            <w:pPr>
              <w:spacing w:after="0"/>
              <w:rPr>
                <w:sz w:val="14"/>
                <w:szCs w:val="14"/>
                <w:color w:val="auto"/>
              </w:rPr>
            </w:pPr>
          </w:p>
        </w:tc>
        <w:tc>
          <w:tcPr>
            <w:tcW w:w="170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02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w w:val="95"/>
              </w:rPr>
              <w:t>Variance</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9"/>
          </w:tcPr>
          <w:p>
            <w:pPr>
              <w:ind w:left="8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18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9"/>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020" w:type="dxa"/>
            <w:vAlign w:val="bottom"/>
            <w:gridSpan w:val="5"/>
            <w:vMerge w:val="continue"/>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9"/>
          </w:tcPr>
          <w:p>
            <w:pPr>
              <w:ind w:left="2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180" w:type="dxa"/>
            <w:vAlign w:val="bottom"/>
            <w:gridSpan w:val="4"/>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4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gridSpan w:val="2"/>
          </w:tcPr>
          <w:p>
            <w:pPr>
              <w:jc w:val="right"/>
              <w:ind w:right="10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4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Purchases and related costs</w:t>
            </w:r>
          </w:p>
        </w:tc>
        <w:tc>
          <w:tcPr>
            <w:tcW w:w="14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50 %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6"/>
        </w:trPr>
        <w:tc>
          <w:tcPr>
            <w:tcW w:w="3540" w:type="dxa"/>
            <w:vAlign w:val="bottom"/>
            <w:gridSpan w:val="4"/>
          </w:tcPr>
          <w:p>
            <w:pPr>
              <w:ind w:left="20"/>
              <w:spacing w:after="0" w:line="176" w:lineRule="exact"/>
              <w:rPr>
                <w:sz w:val="20"/>
                <w:szCs w:val="20"/>
                <w:color w:val="auto"/>
              </w:rPr>
            </w:pPr>
            <w:r>
              <w:rPr>
                <w:rFonts w:ascii="Arial" w:cs="Arial" w:eastAsia="Arial" w:hAnsi="Arial"/>
                <w:sz w:val="18"/>
                <w:szCs w:val="18"/>
                <w:color w:val="auto"/>
                <w:w w:val="94"/>
              </w:rPr>
              <w:t>Segment general and administrative expenses</w:t>
            </w:r>
          </w:p>
        </w:tc>
        <w:tc>
          <w:tcPr>
            <w:tcW w:w="140" w:type="dxa"/>
            <w:vAlign w:val="bottom"/>
          </w:tcPr>
          <w:p>
            <w:pPr>
              <w:spacing w:after="0"/>
              <w:rPr>
                <w:sz w:val="15"/>
                <w:szCs w:val="15"/>
                <w:color w:val="auto"/>
              </w:rPr>
            </w:pPr>
          </w:p>
        </w:tc>
        <w:tc>
          <w:tcPr>
            <w:tcW w:w="6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162"/>
        </w:trPr>
        <w:tc>
          <w:tcPr>
            <w:tcW w:w="3360" w:type="dxa"/>
            <w:vAlign w:val="bottom"/>
          </w:tcPr>
          <w:p>
            <w:pPr>
              <w:ind w:left="18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40" w:type="dxa"/>
            <w:vAlign w:val="bottom"/>
            <w:gridSpan w:val="4"/>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40" w:type="dxa"/>
            <w:vAlign w:val="bottom"/>
          </w:tcPr>
          <w:p>
            <w:pPr>
              <w:spacing w:after="0"/>
              <w:rPr>
                <w:sz w:val="15"/>
                <w:szCs w:val="15"/>
                <w:color w:val="auto"/>
              </w:rPr>
            </w:pPr>
          </w:p>
        </w:tc>
        <w:tc>
          <w:tcPr>
            <w:tcW w:w="6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5"/>
            <w:vMerge w:val="restart"/>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4"/>
            <w:vMerge w:val="restart"/>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gridSpan w:val="4"/>
          </w:tcPr>
          <w:p>
            <w:pPr>
              <w:ind w:left="360"/>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spacing w:after="0"/>
              <w:rPr>
                <w:sz w:val="19"/>
                <w:szCs w:val="19"/>
                <w:color w:val="auto"/>
              </w:rPr>
            </w:pPr>
          </w:p>
        </w:tc>
        <w:tc>
          <w:tcPr>
            <w:tcW w:w="6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5"/>
            <w:vMerge w:val="continue"/>
          </w:tcPr>
          <w:p>
            <w:pPr>
              <w:spacing w:after="0"/>
              <w:rPr>
                <w:sz w:val="19"/>
                <w:szCs w:val="19"/>
                <w:color w:val="auto"/>
              </w:rPr>
            </w:pPr>
          </w:p>
        </w:tc>
        <w:tc>
          <w:tcPr>
            <w:tcW w:w="74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(Gains)/losses from derivative activities</w:t>
            </w: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40" w:type="dxa"/>
            <w:vAlign w:val="bottom"/>
            <w:gridSpan w:val="4"/>
          </w:tcPr>
          <w:p>
            <w:pPr>
              <w:ind w:left="180"/>
              <w:spacing w:after="0" w:line="176" w:lineRule="exact"/>
              <w:rPr>
                <w:sz w:val="20"/>
                <w:szCs w:val="20"/>
                <w:color w:val="auto"/>
              </w:rPr>
            </w:pPr>
            <w:r>
              <w:rPr>
                <w:rFonts w:ascii="Arial" w:cs="Arial" w:eastAsia="Arial" w:hAnsi="Arial"/>
                <w:sz w:val="18"/>
                <w:szCs w:val="18"/>
                <w:color w:val="auto"/>
              </w:rPr>
              <w:t>Deficiencies under minimum volume</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gridSpan w:val="4"/>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60" w:type="dxa"/>
            <w:vAlign w:val="bottom"/>
            <w:gridSpan w:val="4"/>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20" w:type="dxa"/>
            <w:vAlign w:val="bottom"/>
            <w:gridSpan w:val="5"/>
            <w:vMerge w:val="restart"/>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gridSpan w:val="4"/>
          </w:tcPr>
          <w:p>
            <w:pPr>
              <w:ind w:left="360"/>
              <w:spacing w:after="0"/>
              <w:rPr>
                <w:sz w:val="20"/>
                <w:szCs w:val="20"/>
                <w:color w:val="auto"/>
              </w:rPr>
            </w:pPr>
            <w:r>
              <w:rPr>
                <w:rFonts w:ascii="Arial" w:cs="Arial" w:eastAsia="Arial" w:hAnsi="Arial"/>
                <w:sz w:val="18"/>
                <w:szCs w:val="18"/>
                <w:color w:val="auto"/>
              </w:rPr>
              <w:t>commitments, net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4"/>
            <w:vMerge w:val="continue"/>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4"/>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5"/>
            <w:vMerge w:val="continue"/>
          </w:tcPr>
          <w:p>
            <w:pPr>
              <w:spacing w:after="0"/>
              <w:rPr>
                <w:sz w:val="19"/>
                <w:szCs w:val="19"/>
                <w:color w:val="auto"/>
              </w:rPr>
            </w:pPr>
          </w:p>
        </w:tc>
        <w:tc>
          <w:tcPr>
            <w:tcW w:w="74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Equity-indexed compensation expense</w:t>
            </w:r>
          </w:p>
        </w:tc>
        <w:tc>
          <w:tcPr>
            <w:tcW w:w="1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80 %</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540" w:type="dxa"/>
            <w:vAlign w:val="bottom"/>
            <w:gridSpan w:val="4"/>
          </w:tcPr>
          <w:p>
            <w:pPr>
              <w:ind w:left="20"/>
              <w:spacing w:after="0" w:line="203" w:lineRule="exact"/>
              <w:rPr>
                <w:sz w:val="20"/>
                <w:szCs w:val="20"/>
                <w:color w:val="auto"/>
              </w:rPr>
            </w:pPr>
            <w:r>
              <w:rPr>
                <w:rFonts w:ascii="Arial" w:cs="Arial" w:eastAsia="Arial" w:hAnsi="Arial"/>
                <w:sz w:val="18"/>
                <w:szCs w:val="18"/>
                <w:color w:val="auto"/>
              </w:rPr>
              <w:t>Segment Adjusted EBITDA per barrel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3"/>
          </w:tcPr>
          <w:p>
            <w:pPr>
              <w:jc w:val="right"/>
              <w:ind w:right="60"/>
              <w:spacing w:after="0" w:line="203" w:lineRule="exact"/>
              <w:rPr>
                <w:sz w:val="20"/>
                <w:szCs w:val="20"/>
                <w:color w:val="auto"/>
              </w:rPr>
            </w:pPr>
            <w:r>
              <w:rPr>
                <w:rFonts w:ascii="Arial" w:cs="Arial" w:eastAsia="Arial" w:hAnsi="Arial"/>
                <w:sz w:val="18"/>
                <w:szCs w:val="18"/>
                <w:color w:val="auto"/>
              </w:rPr>
              <w:t>0.35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bottom w:val="single" w:sz="8" w:color="auto"/>
            </w:tcBorders>
          </w:tcPr>
          <w:p>
            <w:pPr>
              <w:jc w:val="right"/>
              <w:ind w:right="54"/>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(0.12)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right w:val="single" w:sz="8" w:color="auto"/>
            </w:tcBorders>
            <w:gridSpan w:val="2"/>
          </w:tcPr>
          <w:p>
            <w:pPr>
              <w:jc w:val="right"/>
              <w:ind w:right="120"/>
              <w:spacing w:after="0" w:line="203" w:lineRule="exact"/>
              <w:rPr>
                <w:sz w:val="20"/>
                <w:szCs w:val="20"/>
                <w:color w:val="auto"/>
              </w:rPr>
            </w:pPr>
            <w:r>
              <w:rPr>
                <w:rFonts w:ascii="Arial" w:cs="Arial" w:eastAsia="Arial" w:hAnsi="Arial"/>
                <w:sz w:val="18"/>
                <w:szCs w:val="18"/>
                <w:color w:val="auto"/>
              </w:rPr>
              <w:t>(26)%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0.42</w:t>
            </w:r>
          </w:p>
        </w:tc>
        <w:tc>
          <w:tcPr>
            <w:tcW w:w="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0.50</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94"/>
        </w:trPr>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10"/>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24"/>
                <w:szCs w:val="24"/>
                <w:color w:val="auto"/>
              </w:rPr>
            </w:pPr>
          </w:p>
        </w:tc>
        <w:tc>
          <w:tcPr>
            <w:tcW w:w="102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Variance</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w w:val="97"/>
              </w:rPr>
              <w:t>Nine Months Ended</w:t>
            </w:r>
          </w:p>
        </w:tc>
        <w:tc>
          <w:tcPr>
            <w:tcW w:w="120" w:type="dxa"/>
            <w:vAlign w:val="bottom"/>
          </w:tcPr>
          <w:p>
            <w:pPr>
              <w:spacing w:after="0"/>
              <w:rPr>
                <w:sz w:val="24"/>
                <w:szCs w:val="24"/>
                <w:color w:val="auto"/>
              </w:rPr>
            </w:pPr>
          </w:p>
        </w:tc>
        <w:tc>
          <w:tcPr>
            <w:tcW w:w="118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9"/>
          </w:tcPr>
          <w:p>
            <w:pPr>
              <w:jc w:val="center"/>
              <w:ind w:right="58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020" w:type="dxa"/>
            <w:vAlign w:val="bottom"/>
            <w:gridSpan w:val="5"/>
            <w:vMerge w:val="continue"/>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9"/>
          </w:tcPr>
          <w:p>
            <w:pPr>
              <w:ind w:left="2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180" w:type="dxa"/>
            <w:vAlign w:val="bottom"/>
            <w:gridSpan w:val="4"/>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80" w:type="dxa"/>
            <w:vAlign w:val="bottom"/>
            <w:gridSpan w:val="3"/>
          </w:tcPr>
          <w:p>
            <w:pPr>
              <w:ind w:left="20"/>
              <w:spacing w:after="0" w:line="184" w:lineRule="exact"/>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8"/>
                <w:szCs w:val="18"/>
                <w:b w:val="1"/>
                <w:bCs w:val="1"/>
                <w:color w:val="auto"/>
                <w:vertAlign w:val="superscript"/>
              </w:rPr>
              <w:t>(4)</w:t>
            </w: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gridSpan w:val="2"/>
          </w:tcPr>
          <w:p>
            <w:pPr>
              <w:jc w:val="right"/>
              <w:ind w:right="18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Volumes</w:t>
            </w:r>
          </w:p>
        </w:tc>
        <w:tc>
          <w:tcPr>
            <w:tcW w:w="6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Volumes</w:t>
            </w:r>
          </w:p>
        </w:tc>
        <w:tc>
          <w:tcPr>
            <w:tcW w:w="6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33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3"/>
              </w:rPr>
              <w:t>Liquids storage (average monthly capacity in</w:t>
            </w:r>
          </w:p>
        </w:tc>
        <w:tc>
          <w:tcPr>
            <w:tcW w:w="12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54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millions of barrels) </w:t>
            </w:r>
            <w:r>
              <w:rPr>
                <w:rFonts w:ascii="Arial" w:cs="Arial" w:eastAsia="Arial" w:hAnsi="Arial"/>
                <w:sz w:val="23"/>
                <w:szCs w:val="23"/>
                <w:color w:val="auto"/>
                <w:vertAlign w:val="superscript"/>
              </w:rPr>
              <w:t>(5)</w:t>
            </w:r>
          </w:p>
        </w:tc>
        <w:tc>
          <w:tcPr>
            <w:tcW w:w="14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Arial" w:cs="Arial" w:eastAsia="Arial" w:hAnsi="Arial"/>
                <w:sz w:val="18"/>
                <w:szCs w:val="18"/>
                <w:color w:val="auto"/>
              </w:rPr>
              <w:t>Natural gas storage (average monthly</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4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354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working capacity in billions of cubic feet)</w:t>
            </w:r>
          </w:p>
        </w:tc>
        <w:tc>
          <w:tcPr>
            <w:tcW w:w="14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8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6"/>
                <w:szCs w:val="16"/>
                <w:color w:val="auto"/>
              </w:rPr>
              <w:t>NGL fractionation (average volumes in</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354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color w:val="auto"/>
              </w:rPr>
              <w:t>thousands of barrels per day)</w:t>
            </w:r>
          </w:p>
        </w:tc>
        <w:tc>
          <w:tcPr>
            <w:tcW w:w="14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Arial" w:cs="Arial" w:eastAsia="Arial" w:hAnsi="Arial"/>
                <w:sz w:val="18"/>
                <w:szCs w:val="18"/>
                <w:color w:val="auto"/>
              </w:rPr>
              <w:t>Facilities segment total volumes (average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4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54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 xml:space="preserve">monthly volumes in millions of barrels) </w:t>
            </w:r>
            <w:r>
              <w:rPr>
                <w:rFonts w:ascii="Arial" w:cs="Arial" w:eastAsia="Arial" w:hAnsi="Arial"/>
                <w:sz w:val="23"/>
                <w:szCs w:val="23"/>
                <w:color w:val="auto"/>
                <w:vertAlign w:val="superscript"/>
              </w:rPr>
              <w:t>(6)</w:t>
            </w:r>
          </w:p>
        </w:tc>
        <w:tc>
          <w:tcPr>
            <w:tcW w:w="1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40" w:hanging="232"/>
        <w:spacing w:after="0"/>
        <w:tabs>
          <w:tab w:leader="none" w:pos="24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ind w:left="20" w:right="46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Average monthly volumes are calculated as total volumes for the period divided by the number of months in the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facilities owned by unconsolidated entities.</w:t>
      </w:r>
    </w:p>
    <w:p>
      <w:pPr>
        <w:spacing w:after="0" w:line="117" w:lineRule="exact"/>
        <w:rPr>
          <w:sz w:val="20"/>
          <w:szCs w:val="20"/>
          <w:color w:val="auto"/>
        </w:rPr>
      </w:pPr>
    </w:p>
    <w:p>
      <w:pPr>
        <w:ind w:left="20" w:right="80" w:hanging="11"/>
        <w:spacing w:after="0" w:line="291" w:lineRule="auto"/>
        <w:rPr>
          <w:sz w:val="20"/>
          <w:szCs w:val="20"/>
          <w:color w:val="auto"/>
        </w:rPr>
      </w:pPr>
      <w:r>
        <w:rPr>
          <w:rFonts w:ascii="Arial" w:cs="Arial" w:eastAsia="Arial" w:hAnsi="Arial"/>
          <w:sz w:val="16"/>
          <w:szCs w:val="16"/>
          <w:color w:val="auto"/>
        </w:rPr>
        <w:t>Facilities segment total volumes are calculated as the sum of: (i) liquids storage capacity; (ii) natural gas storage working capacity divided by 6 to account for the 6:1 Mcf of natural gas to crude Btu equivalent ratio and further divided by 1,000 to convert to monthly volumes in millions; and</w:t>
      </w:r>
    </w:p>
    <w:p>
      <w:pPr>
        <w:ind w:left="20" w:right="1120" w:hanging="4"/>
        <w:spacing w:after="0" w:line="508"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NGL fractionation volumes multiplied by the number of days in the period and divided by the number of months in the period. The following is a discussion of items impacting Facilities segment operating results.</w:t>
      </w:r>
    </w:p>
    <w:p>
      <w:pPr>
        <w:spacing w:after="0" w:line="1"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ind w:right="50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Variances in net revenues and average monthly volumes were primarily driven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197" w:lineRule="exact"/>
        <w:rPr>
          <w:sz w:val="20"/>
          <w:szCs w:val="20"/>
          <w:color w:val="auto"/>
        </w:rPr>
      </w:pPr>
    </w:p>
    <w:p>
      <w:pPr>
        <w:ind w:left="980" w:right="20" w:hanging="324"/>
        <w:spacing w:after="0" w:line="271" w:lineRule="auto"/>
        <w:tabs>
          <w:tab w:leader="none" w:pos="975" w:val="left"/>
        </w:tabs>
        <w:numPr>
          <w:ilvl w:val="0"/>
          <w:numId w:val="3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NGL Operations. </w:t>
      </w:r>
      <w:r>
        <w:rPr>
          <w:rFonts w:ascii="Arial" w:cs="Arial" w:eastAsia="Arial" w:hAnsi="Arial"/>
          <w:sz w:val="17"/>
          <w:szCs w:val="17"/>
          <w:color w:val="auto"/>
        </w:rPr>
        <w:t>Revenues from our NGL operations decreased by $13 million and $70 million for the three and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respectively, compared to the same periods in 2020 primarily due to reduced intersegment facility fees to reflect lower utilization and market rates at certain of our NGL facilities (which had an offsetting favorable impact on our Supply and Logistics segment). The nine-month comparative period was further unfavorably impacted by (i) a benefit in the 2020 comparative period from the receipt of a deficiency payment of approximately $20 million upon the expiration of a multi-year contract and (ii) the sale of certain NGL terminals in the second quarter of 2020. Such unfavorable impacts were partially offset for the three- and nine-month comparative periods by more favorable foreign exchange impacts in 2021 of approximately $6 million and $25 million, respectively, and, for the nine-month comparative period, gains at certain of our fractionation facilities in the first quarter of 2021.</w:t>
      </w:r>
    </w:p>
    <w:p>
      <w:pPr>
        <w:spacing w:after="0" w:line="205" w:lineRule="exact"/>
        <w:rPr>
          <w:rFonts w:ascii="Arial" w:cs="Arial" w:eastAsia="Arial" w:hAnsi="Arial"/>
          <w:sz w:val="17"/>
          <w:szCs w:val="17"/>
          <w:i w:val="1"/>
          <w:iCs w:val="1"/>
          <w:color w:val="auto"/>
        </w:rPr>
      </w:pPr>
    </w:p>
    <w:p>
      <w:pPr>
        <w:ind w:left="980" w:right="40" w:hanging="324"/>
        <w:spacing w:after="0" w:line="275" w:lineRule="auto"/>
        <w:tabs>
          <w:tab w:leader="none" w:pos="975" w:val="left"/>
        </w:tabs>
        <w:numPr>
          <w:ilvl w:val="0"/>
          <w:numId w:val="3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Crude Oil Operations. </w:t>
      </w:r>
      <w:r>
        <w:rPr>
          <w:rFonts w:ascii="Arial" w:cs="Arial" w:eastAsia="Arial" w:hAnsi="Arial"/>
          <w:sz w:val="17"/>
          <w:szCs w:val="17"/>
          <w:color w:val="auto"/>
        </w:rPr>
        <w:t>Revenues from our crude oil storage operations decreased by $8 million and $39 million for the three and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2021, respectively, compared to the same periods in 2020 primarily due to the sale of our Los Angeles Basin terminals in October of 2020, partially offset by increased capacity and activity at certain of our Mid-Continent area terminals. In addition, revenues from our crude oil rail operations decreased by $4 million and $11 million for the three and nine months ended September 30, 2021, respectively, compared to the same periods in 2020 due to decreased movements and expiration of contracts.</w:t>
      </w:r>
    </w:p>
    <w:p>
      <w:pPr>
        <w:spacing w:after="0" w:line="203" w:lineRule="exact"/>
        <w:rPr>
          <w:rFonts w:ascii="Arial" w:cs="Arial" w:eastAsia="Arial" w:hAnsi="Arial"/>
          <w:sz w:val="17"/>
          <w:szCs w:val="17"/>
          <w:i w:val="1"/>
          <w:iCs w:val="1"/>
          <w:color w:val="auto"/>
        </w:rPr>
      </w:pPr>
    </w:p>
    <w:p>
      <w:pPr>
        <w:ind w:left="980" w:right="80" w:hanging="324"/>
        <w:spacing w:after="0" w:line="279" w:lineRule="auto"/>
        <w:tabs>
          <w:tab w:leader="none" w:pos="975" w:val="left"/>
        </w:tabs>
        <w:numPr>
          <w:ilvl w:val="0"/>
          <w:numId w:val="3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Natural Gas Storage. </w:t>
      </w:r>
      <w:r>
        <w:rPr>
          <w:rFonts w:ascii="Arial" w:cs="Arial" w:eastAsia="Arial" w:hAnsi="Arial"/>
          <w:sz w:val="17"/>
          <w:szCs w:val="17"/>
          <w:color w:val="auto"/>
        </w:rPr>
        <w:t>Net revenues decreased by $18 million for the three months ended September 30, 2021 compared to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2020 due to the sale of our natural gas storage facilities in August 2021. The impact on net revenues of the sale of these facilities was nearly entirely offset for the nine months ended September 30, 2021 compared to the same period in 2020 primarily due to increased margins from hub activities in the first quarter of 2021 related to Winter Storm Uri.</w:t>
      </w:r>
    </w:p>
    <w:p>
      <w:pPr>
        <w:spacing w:after="0" w:line="1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for the three and nine months ended September 30, 2021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in 2020 was primarily due to (i) higher compensation costs, including lower wage subsidies received by our Canadian subsidiary in the 2021 periods, (ii) costs associated with a fire at our Fort Saskatchewan facility, and (iii) higher power costs due to increased volumes at our NGL fractionation plants. These unfavorable impacts were partially offset for the (i) three and nine months due to the sale of our Los Angeles Basin terminals in October 2020 and natural gas storage facilities in August 2021 and reduced activity at our rail terminals and (ii) nine months due to the sale of certain NGL terminals in the second quarter of 2020.</w:t>
      </w:r>
    </w:p>
    <w:p>
      <w:pPr>
        <w:spacing w:after="0" w:line="21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increase in maintenance capital spending for the three months ended September 30, 2021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2020 was primarily due to timing of certain projects across multiple facilities.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including regional differentials, (iii) the relationship between NGL prices and natural gas prices and (iv) the effects of competition on our lease gathering and NGL margins. In addition, the execution of our risk management strategies in conjunction with our assets can provide upside in certain markets.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120" w:type="dxa"/>
            <w:vAlign w:val="bottom"/>
          </w:tcPr>
          <w:p>
            <w:pPr>
              <w:spacing w:after="0"/>
              <w:rPr>
                <w:sz w:val="14"/>
                <w:szCs w:val="14"/>
                <w:color w:val="auto"/>
              </w:rPr>
            </w:pPr>
          </w:p>
        </w:tc>
        <w:tc>
          <w:tcPr>
            <w:tcW w:w="174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16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7"/>
          </w:tcPr>
          <w:p>
            <w:pPr>
              <w:ind w:left="1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1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8"/>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c>
          <w:tcPr>
            <w:tcW w:w="1160" w:type="dxa"/>
            <w:vAlign w:val="bottom"/>
            <w:gridSpan w:val="5"/>
            <w:vMerge w:val="continue"/>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7"/>
          </w:tcPr>
          <w:p>
            <w:pPr>
              <w:ind w:left="3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4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10,515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11,851</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29"/>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Purchases and related costs</w:t>
            </w:r>
          </w:p>
        </w:tc>
        <w:tc>
          <w:tcPr>
            <w:tcW w:w="1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(10,488)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(5,510)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(4,978)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(27,985)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(16,227)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(11,758)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175"/>
        </w:trPr>
        <w:tc>
          <w:tcPr>
            <w:tcW w:w="350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3"/>
              </w:rPr>
              <w:t>Segment general and administrative expenses</w:t>
            </w:r>
          </w:p>
        </w:tc>
        <w:tc>
          <w:tcPr>
            <w:tcW w:w="120" w:type="dxa"/>
            <w:vAlign w:val="bottom"/>
          </w:tcPr>
          <w:p>
            <w:pPr>
              <w:spacing w:after="0"/>
              <w:rPr>
                <w:sz w:val="15"/>
                <w:szCs w:val="15"/>
                <w:color w:val="auto"/>
              </w:rPr>
            </w:pPr>
          </w:p>
        </w:tc>
        <w:tc>
          <w:tcPr>
            <w:tcW w:w="700" w:type="dxa"/>
            <w:vAlign w:val="bottom"/>
            <w:gridSpan w:val="3"/>
            <w:vMerge w:val="restart"/>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2"/>
        </w:trPr>
        <w:tc>
          <w:tcPr>
            <w:tcW w:w="3300" w:type="dxa"/>
            <w:vAlign w:val="bottom"/>
          </w:tcPr>
          <w:p>
            <w:pPr>
              <w:ind w:left="18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50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00" w:type="dxa"/>
            <w:vAlign w:val="bottom"/>
            <w:gridSpan w:val="3"/>
            <w:shd w:val="clear" w:color="auto" w:fill="CCEEFF"/>
          </w:tcPr>
          <w:p>
            <w:pPr>
              <w:ind w:left="180"/>
              <w:spacing w:after="0" w:line="176" w:lineRule="exact"/>
              <w:rPr>
                <w:sz w:val="20"/>
                <w:szCs w:val="20"/>
                <w:color w:val="auto"/>
              </w:rPr>
            </w:pPr>
            <w:r>
              <w:rPr>
                <w:rFonts w:ascii="Arial" w:cs="Arial" w:eastAsia="Arial" w:hAnsi="Arial"/>
                <w:sz w:val="18"/>
                <w:szCs w:val="18"/>
                <w:color w:val="auto"/>
                <w:w w:val="95"/>
              </w:rPr>
              <w:t>(Gains)/losses from derivative activities and</w:t>
            </w:r>
          </w:p>
        </w:tc>
        <w:tc>
          <w:tcPr>
            <w:tcW w:w="120" w:type="dxa"/>
            <w:vAlign w:val="bottom"/>
            <w:shd w:val="clear" w:color="auto" w:fill="CCEEFF"/>
          </w:tcPr>
          <w:p>
            <w:pPr>
              <w:spacing w:after="0"/>
              <w:rPr>
                <w:sz w:val="15"/>
                <w:szCs w:val="15"/>
                <w:color w:val="auto"/>
              </w:rPr>
            </w:pPr>
          </w:p>
        </w:tc>
        <w:tc>
          <w:tcPr>
            <w:tcW w:w="7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inventory valuation adjustments</w:t>
            </w:r>
          </w:p>
        </w:tc>
        <w:tc>
          <w:tcPr>
            <w:tcW w:w="120" w:type="dxa"/>
            <w:vAlign w:val="bottom"/>
            <w:shd w:val="clear" w:color="auto" w:fill="CCEEFF"/>
          </w:tcPr>
          <w:p>
            <w:pPr>
              <w:spacing w:after="0"/>
              <w:rPr>
                <w:sz w:val="19"/>
                <w:szCs w:val="19"/>
                <w:color w:val="auto"/>
              </w:rPr>
            </w:pPr>
          </w:p>
        </w:tc>
        <w:tc>
          <w:tcPr>
            <w:tcW w:w="70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3"/>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00" w:type="dxa"/>
            <w:vAlign w:val="bottom"/>
            <w:gridSpan w:val="3"/>
          </w:tcPr>
          <w:p>
            <w:pPr>
              <w:ind w:left="180"/>
              <w:spacing w:after="0" w:line="176" w:lineRule="exact"/>
              <w:rPr>
                <w:sz w:val="20"/>
                <w:szCs w:val="20"/>
                <w:color w:val="auto"/>
              </w:rPr>
            </w:pPr>
            <w:r>
              <w:rPr>
                <w:rFonts w:ascii="Arial" w:cs="Arial" w:eastAsia="Arial" w:hAnsi="Arial"/>
                <w:sz w:val="18"/>
                <w:szCs w:val="18"/>
                <w:color w:val="auto"/>
              </w:rPr>
              <w:t>Net (gain)/loss on foreign currency</w:t>
            </w:r>
          </w:p>
        </w:tc>
        <w:tc>
          <w:tcPr>
            <w:tcW w:w="120" w:type="dxa"/>
            <w:vAlign w:val="bottom"/>
          </w:tcPr>
          <w:p>
            <w:pPr>
              <w:spacing w:after="0"/>
              <w:rPr>
                <w:sz w:val="15"/>
                <w:szCs w:val="15"/>
                <w:color w:val="auto"/>
              </w:rPr>
            </w:pPr>
          </w:p>
        </w:tc>
        <w:tc>
          <w:tcPr>
            <w:tcW w:w="70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3"/>
          </w:tcPr>
          <w:p>
            <w:pPr>
              <w:ind w:left="360"/>
              <w:spacing w:after="0"/>
              <w:rPr>
                <w:sz w:val="20"/>
                <w:szCs w:val="20"/>
                <w:color w:val="auto"/>
              </w:rPr>
            </w:pPr>
            <w:r>
              <w:rPr>
                <w:rFonts w:ascii="Arial" w:cs="Arial" w:eastAsia="Arial" w:hAnsi="Arial"/>
                <w:sz w:val="18"/>
                <w:szCs w:val="18"/>
                <w:color w:val="auto"/>
              </w:rPr>
              <w:t>revaluation</w:t>
            </w:r>
          </w:p>
        </w:tc>
        <w:tc>
          <w:tcPr>
            <w:tcW w:w="120" w:type="dxa"/>
            <w:vAlign w:val="bottom"/>
          </w:tcPr>
          <w:p>
            <w:pPr>
              <w:spacing w:after="0"/>
              <w:rPr>
                <w:sz w:val="19"/>
                <w:szCs w:val="19"/>
                <w:color w:val="auto"/>
              </w:rPr>
            </w:pPr>
          </w:p>
        </w:tc>
        <w:tc>
          <w:tcPr>
            <w:tcW w:w="7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Significant transaction-related expenses</w:t>
            </w: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(138)%</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50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Segment Adjusted EBITDA per barrel</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(0.17)</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tcPr>
          <w:p>
            <w:pPr>
              <w:jc w:val="right"/>
              <w:ind w:right="80"/>
              <w:spacing w:after="0" w:line="203" w:lineRule="exact"/>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(131)%</w:t>
            </w: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(0.65)</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(114)%</w:t>
            </w:r>
          </w:p>
        </w:tc>
        <w:tc>
          <w:tcPr>
            <w:tcW w:w="0" w:type="dxa"/>
            <w:vAlign w:val="bottom"/>
          </w:tcPr>
          <w:p>
            <w:pPr>
              <w:spacing w:after="0"/>
              <w:rPr>
                <w:sz w:val="1"/>
                <w:szCs w:val="1"/>
                <w:color w:val="auto"/>
              </w:rPr>
            </w:pPr>
          </w:p>
        </w:tc>
      </w:tr>
      <w:tr>
        <w:trPr>
          <w:trHeight w:val="493"/>
        </w:trPr>
        <w:tc>
          <w:tcPr>
            <w:tcW w:w="3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18"/>
                <w:szCs w:val="18"/>
                <w:b w:val="1"/>
                <w:bCs w:val="1"/>
                <w:color w:val="auto"/>
                <w:vertAlign w:val="superscript"/>
              </w:rPr>
              <w:t>(4)</w:t>
            </w:r>
          </w:p>
        </w:tc>
        <w:tc>
          <w:tcPr>
            <w:tcW w:w="120" w:type="dxa"/>
            <w:vAlign w:val="bottom"/>
          </w:tcPr>
          <w:p>
            <w:pPr>
              <w:spacing w:after="0"/>
              <w:rPr>
                <w:sz w:val="24"/>
                <w:szCs w:val="24"/>
                <w:color w:val="auto"/>
              </w:rPr>
            </w:pPr>
          </w:p>
        </w:tc>
        <w:tc>
          <w:tcPr>
            <w:tcW w:w="1740" w:type="dxa"/>
            <w:vAlign w:val="bottom"/>
            <w:gridSpan w:val="9"/>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24"/>
                <w:szCs w:val="24"/>
                <w:color w:val="auto"/>
              </w:rPr>
            </w:pPr>
          </w:p>
        </w:tc>
        <w:tc>
          <w:tcPr>
            <w:tcW w:w="116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7"/>
          </w:tcPr>
          <w:p>
            <w:pPr>
              <w:ind w:left="1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24"/>
                <w:szCs w:val="24"/>
                <w:color w:val="auto"/>
              </w:rPr>
            </w:pPr>
          </w:p>
        </w:tc>
        <w:tc>
          <w:tcPr>
            <w:tcW w:w="11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9"/>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c>
          <w:tcPr>
            <w:tcW w:w="1160" w:type="dxa"/>
            <w:vAlign w:val="bottom"/>
            <w:gridSpan w:val="5"/>
            <w:vMerge w:val="continue"/>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7"/>
          </w:tcPr>
          <w:p>
            <w:pPr>
              <w:ind w:left="3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4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of barrels per day)</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Volumes</w:t>
            </w:r>
          </w:p>
        </w:tc>
        <w:tc>
          <w:tcPr>
            <w:tcW w:w="62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Volumes</w:t>
            </w:r>
          </w:p>
        </w:tc>
        <w:tc>
          <w:tcPr>
            <w:tcW w:w="6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Crude oil lease gathering purchases</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1,372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20 %</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NGL sales</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87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5 %</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3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8"/>
              </w:rPr>
              <w:t>Supply and Logistics segment total volumes</w:t>
            </w:r>
          </w:p>
        </w:tc>
        <w:tc>
          <w:tcPr>
            <w:tcW w:w="1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1,459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19 %</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2"/>
          <w:szCs w:val="1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jc w:val="right"/>
        <w:ind w:right="6880"/>
        <w:spacing w:after="0"/>
        <w:rPr>
          <w:sz w:val="20"/>
          <w:szCs w:val="20"/>
          <w:color w:val="auto"/>
        </w:rPr>
      </w:pPr>
      <w:r>
        <w:rPr>
          <w:rFonts w:ascii="Arial" w:cs="Arial" w:eastAsia="Arial" w:hAnsi="Arial"/>
          <w:sz w:val="16"/>
          <w:szCs w:val="16"/>
          <w:color w:val="auto"/>
        </w:rPr>
        <w:t>Indicates that variance as a percentage is not meaningful.</w:t>
      </w:r>
    </w:p>
    <w:p>
      <w:pPr>
        <w:spacing w:after="0" w:line="140" w:lineRule="exact"/>
        <w:rPr>
          <w:sz w:val="20"/>
          <w:szCs w:val="20"/>
          <w:color w:val="auto"/>
        </w:rPr>
      </w:pPr>
    </w:p>
    <w:p>
      <w:pPr>
        <w:jc w:val="right"/>
        <w:ind w:right="6940"/>
        <w:spacing w:after="0"/>
        <w:rPr>
          <w:sz w:val="20"/>
          <w:szCs w:val="20"/>
          <w:color w:val="auto"/>
        </w:rPr>
      </w:pPr>
      <w:r>
        <w:rPr>
          <w:rFonts w:ascii="Arial" w:cs="Arial" w:eastAsia="Arial" w:hAnsi="Arial"/>
          <w:sz w:val="17"/>
          <w:szCs w:val="17"/>
          <w:color w:val="auto"/>
        </w:rPr>
        <w:t>Revenues and costs include intersegment amounts.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72" w:lineRule="exact"/>
        <w:rPr>
          <w:sz w:val="20"/>
          <w:szCs w:val="20"/>
          <w:color w:val="auto"/>
        </w:rPr>
      </w:pPr>
    </w:p>
    <w:p>
      <w:pPr>
        <w:sectPr>
          <w:pgSz w:w="11900" w:h="16838" w:orient="portrait"/>
          <w:cols w:equalWidth="0" w:num="2">
            <w:col w:w="140" w:space="100"/>
            <w:col w:w="11000"/>
          </w:cols>
          <w:pgMar w:left="320" w:top="125" w:right="339" w:bottom="1440" w:gutter="0" w:footer="0" w:header="0"/>
          <w:type w:val="continuous"/>
        </w:sectPr>
      </w:pPr>
    </w:p>
    <w:p>
      <w:pPr>
        <w:ind w:left="660" w:right="480" w:hanging="652"/>
        <w:spacing w:after="0" w:line="227" w:lineRule="auto"/>
        <w:tabs>
          <w:tab w:leader="none" w:pos="648"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5"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Average daily volumes are calculated as the total volumes for the period divided by the number of days in the period.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range of the NYMEX WTI benchmark price of crude oil (in dollars per barrel):</w:t>
      </w:r>
    </w:p>
    <w:p>
      <w:pPr>
        <w:spacing w:after="0" w:line="274"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NYMEX WTI</w:t>
      </w:r>
    </w:p>
    <w:p>
      <w:pPr>
        <w:ind w:left="9240"/>
        <w:spacing w:after="0"/>
        <w:rPr>
          <w:sz w:val="20"/>
          <w:szCs w:val="20"/>
          <w:color w:val="auto"/>
        </w:rPr>
      </w:pPr>
      <w:r>
        <w:rPr>
          <w:rFonts w:ascii="Arial" w:cs="Arial" w:eastAsia="Arial" w:hAnsi="Arial"/>
          <w:sz w:val="14"/>
          <w:szCs w:val="14"/>
          <w:b w:val="1"/>
          <w:bCs w:val="1"/>
          <w:color w:val="auto"/>
        </w:rPr>
        <w:t>Crude Oil Price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Low</w:t>
            </w: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High</w:t>
            </w:r>
          </w:p>
        </w:tc>
      </w:tr>
      <w:tr>
        <w:trPr>
          <w:trHeight w:val="224"/>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2021</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center"/>
              <w:ind w:left="674"/>
              <w:spacing w:after="0"/>
              <w:rPr>
                <w:sz w:val="20"/>
                <w:szCs w:val="20"/>
                <w:color w:val="auto"/>
              </w:rPr>
            </w:pPr>
            <w:r>
              <w:rPr>
                <w:rFonts w:ascii="Arial" w:cs="Arial" w:eastAsia="Arial" w:hAnsi="Arial"/>
                <w:sz w:val="18"/>
                <w:szCs w:val="18"/>
                <w:color w:val="auto"/>
                <w:w w:val="89"/>
              </w:rPr>
              <w:t>62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Three Months Ended September 30, 2020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674"/>
              <w:spacing w:after="0"/>
              <w:rPr>
                <w:sz w:val="20"/>
                <w:szCs w:val="20"/>
                <w:color w:val="auto"/>
              </w:rPr>
            </w:pPr>
            <w:r>
              <w:rPr>
                <w:rFonts w:ascii="Arial" w:cs="Arial" w:eastAsia="Arial" w:hAnsi="Arial"/>
                <w:sz w:val="18"/>
                <w:szCs w:val="18"/>
                <w:color w:val="auto"/>
                <w:w w:val="89"/>
              </w:rPr>
              <w:t>37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Nine Months Ended September 30, 2021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674"/>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2020</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93"/>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bl>
    <w:p>
      <w:pPr>
        <w:spacing w:after="0" w:line="323"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Our crude oil and NGL supply, logistics and distribution operations are not directly affected by the absolute level of prices. 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Additionally, net revenues are impacted by net gains and losses from certain derivative activities and inventory valuation and costing adjustments.</w:t>
      </w:r>
    </w:p>
    <w:p>
      <w:pPr>
        <w:spacing w:after="0" w:line="157" w:lineRule="exact"/>
        <w:rPr>
          <w:sz w:val="20"/>
          <w:szCs w:val="20"/>
          <w:color w:val="auto"/>
        </w:rPr>
      </w:pPr>
    </w:p>
    <w:p>
      <w:pPr>
        <w:ind w:right="640" w:firstLine="648"/>
        <w:spacing w:after="0" w:line="263"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The following summarizes the significant items impacting our Supply and Logistics Segment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w:t>
      </w:r>
    </w:p>
    <w:p>
      <w:pPr>
        <w:spacing w:after="0" w:line="197" w:lineRule="exact"/>
        <w:rPr>
          <w:sz w:val="20"/>
          <w:szCs w:val="20"/>
          <w:color w:val="auto"/>
        </w:rPr>
      </w:pPr>
    </w:p>
    <w:p>
      <w:pPr>
        <w:ind w:left="980" w:right="500" w:hanging="324"/>
        <w:spacing w:after="0" w:line="342" w:lineRule="auto"/>
        <w:tabs>
          <w:tab w:leader="none" w:pos="975"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Crude Oil Operations. </w:t>
      </w:r>
      <w:r>
        <w:rPr>
          <w:rFonts w:ascii="Arial" w:cs="Arial" w:eastAsia="Arial" w:hAnsi="Arial"/>
          <w:sz w:val="16"/>
          <w:szCs w:val="16"/>
          <w:color w:val="auto"/>
        </w:rPr>
        <w:t>Net revenues from our crude oil operations were lower for the three and nine months ended September 30, 2021</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periods in 2020 due to the impact of more favorable market conditions in 2020, primarily on contango margins.</w:t>
      </w:r>
    </w:p>
    <w:p>
      <w:pPr>
        <w:spacing w:after="0" w:line="150" w:lineRule="exact"/>
        <w:rPr>
          <w:rFonts w:ascii="Arial" w:cs="Arial" w:eastAsia="Arial" w:hAnsi="Arial"/>
          <w:sz w:val="16"/>
          <w:szCs w:val="16"/>
          <w:i w:val="1"/>
          <w:iCs w:val="1"/>
          <w:color w:val="auto"/>
        </w:rPr>
      </w:pPr>
    </w:p>
    <w:p>
      <w:pPr>
        <w:ind w:left="980" w:right="40" w:hanging="324"/>
        <w:spacing w:after="0" w:line="259" w:lineRule="auto"/>
        <w:tabs>
          <w:tab w:leader="none" w:pos="975"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Net revenues from our NGL operations were higher for the three and nine months ended September 30, 2021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periods in 2020 due to (i) a decrease in intersegment fees in 2021 to reflect lower utilization and market rates (which had an offsetting unfavorable impact on our Facilities and Transportation segments) and (ii) higher realized margins associated with NGL processing and fractionation activities in the third quarter of 2021.</w:t>
      </w:r>
    </w:p>
    <w:p>
      <w:pPr>
        <w:spacing w:after="0" w:line="186" w:lineRule="exact"/>
        <w:rPr>
          <w:rFonts w:ascii="Arial" w:cs="Arial" w:eastAsia="Arial" w:hAnsi="Arial"/>
          <w:sz w:val="18"/>
          <w:szCs w:val="18"/>
          <w:i w:val="1"/>
          <w:iCs w:val="1"/>
          <w:color w:val="auto"/>
        </w:rPr>
      </w:pPr>
    </w:p>
    <w:p>
      <w:pPr>
        <w:ind w:left="980" w:right="100" w:hanging="324"/>
        <w:spacing w:after="0" w:line="254" w:lineRule="auto"/>
        <w:tabs>
          <w:tab w:leader="none" w:pos="975"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Impact from Certain Derivative Activities and Inventory Valuation Adjustments. </w:t>
      </w:r>
      <w:r>
        <w:rPr>
          <w:rFonts w:ascii="Arial" w:cs="Arial" w:eastAsia="Arial" w:hAnsi="Arial"/>
          <w:sz w:val="18"/>
          <w:szCs w:val="18"/>
          <w:color w:val="auto"/>
        </w:rPr>
        <w:t>The impact from certain derivative activities on our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includes mark-to-market and other gains and losses resulting from certain derivative instruments that are related to underlying activities in another period (or the reversal of mark-to-market gains and losses from a prior period), gains and losses on derivatives that are related to investing activities (such as the purchase of linefill) and inventory valuation adjustments, as applicable. See Note 8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221" w:lineRule="exact"/>
        <w:rPr>
          <w:rFonts w:ascii="Arial" w:cs="Arial" w:eastAsia="Arial" w:hAnsi="Arial"/>
          <w:sz w:val="18"/>
          <w:szCs w:val="18"/>
          <w:i w:val="1"/>
          <w:iCs w:val="1"/>
          <w:color w:val="auto"/>
        </w:rPr>
      </w:pPr>
    </w:p>
    <w:p>
      <w:pPr>
        <w:ind w:left="980" w:right="20" w:hanging="324"/>
        <w:spacing w:after="0" w:line="255"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Inventory Costing Adjustments. </w:t>
      </w:r>
      <w:r>
        <w:rPr>
          <w:rFonts w:ascii="Arial" w:cs="Arial" w:eastAsia="Arial" w:hAnsi="Arial"/>
          <w:sz w:val="18"/>
          <w:szCs w:val="18"/>
          <w:color w:val="auto"/>
        </w:rPr>
        <w:t>Our net revenues are impacted by changes in the weighted average cost of our crude oil and NGL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219" w:lineRule="exact"/>
        <w:rPr>
          <w:rFonts w:ascii="Arial" w:cs="Arial" w:eastAsia="Arial" w:hAnsi="Arial"/>
          <w:sz w:val="18"/>
          <w:szCs w:val="18"/>
          <w:color w:val="auto"/>
        </w:rPr>
      </w:pPr>
    </w:p>
    <w:p>
      <w:pPr>
        <w:ind w:left="980" w:right="60" w:hanging="324"/>
        <w:spacing w:after="0" w:line="279" w:lineRule="auto"/>
        <w:tabs>
          <w:tab w:leader="none" w:pos="975"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Foreign Exchange Impacts. </w:t>
      </w:r>
      <w:r>
        <w:rPr>
          <w:rFonts w:ascii="Arial" w:cs="Arial" w:eastAsia="Arial" w:hAnsi="Arial"/>
          <w:sz w:val="17"/>
          <w:szCs w:val="17"/>
          <w:color w:val="auto"/>
        </w:rPr>
        <w:t>Our net revenues are impacted by fluctuations in the value of CAD to USD, resulting in the realization of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gains and losses on the settlement of foreign currency transactions as well as the revaluation of monetary assets and liabilities denominated in a foreign currency within our Canadian operations. These gains and losses impact our net revenues but are excluded from Segment Adjusted EBITDA and thus are reflected as an “Adjustment” in the table above.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80" w:right="140" w:hanging="324"/>
        <w:spacing w:after="0" w:line="263" w:lineRule="auto"/>
        <w:tabs>
          <w:tab w:leader="none" w:pos="975"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nine months ended September 30, 2021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was primarily driven by lower trucking costs due to more supply connected to pipelines resulting in lower trucking activity in the 2021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increase in depreciation and amortization expense for the three and nine months ended September 30, 2021 compared to the same periods in 2020 was largely driven by a reduction in the useful lives of certain assets. See Note 2 to our Condensed Consolidated Financial Statements for additional information.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5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net losses on asset sales and asset impairments for 2021 primarily include (i) an approximate $220 million non-cash impairment charge recognized in the third quarter related to the write-down of certain crude oil storage terminal assets as a result of decreased demand for our services due to changing market conditions, (ii) an approximate $475 million non-cash impairment charge related to the write-down of our Pine Prairie and Southern Pines natural gas storage facilities upon classification as held for sale during the second quarter, which were sold on August 2, 2021, and (iii) a gain of $106 million recognized in the second quarter related to the Asset Exchange transaction. See Note 12 to our Condensed Consolidated Financial Statements for additional information. The net loss on asset sales and asset impairments for the nine months ended September 30, 2020 was largely driven by (i) non-cash impairment losses of approximately $446 million recognized in the first quarter related to the write-down of certain pipeline and other long-lived assets due to macroeconomic and geopolitical conditions including the collapse of oil prices driven by both the decrease in demand caused by the COVID-19 pandemic and excess supply, as well as changing market conditions and expected lower crude oil production in certain regions, and (ii) approximately $167 million of impairment losses recognized on assets upon classification as held for sale during the first quarter, which were subsequently sold.</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Goodwill Impairment Losses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first quarter of 2020, we recognized a goodwill impairment charge of $2.515 billion, representing the entire balance of goodwill.</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on/(Impairment of) Investments in Unconsolidated Entities, Net</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During the three and nine months ended September 30, 2020, we recognized losses of $91 million and $202 million, respectively, related to the write-down of certain of our investments in unconsolidated entities. Additionally, during the nine months ended September 30, 2020, we recognized a gain of $21 million related to our sale of a 10% interest in Saddlehorn Pipeline Company, LLC.</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decrease in interest expense for the three and nine months ended September 30, 2021 compared to the three and nine months ended September 30, 2020 was primarily due to a lower weighted average debt balance and lower average rates during the 2021 periods.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expense, net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80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9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7"/>
        </w:trPr>
        <w:tc>
          <w:tcPr>
            <w:tcW w:w="68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color w:val="auto"/>
                <w:w w:val="95"/>
              </w:rPr>
              <w:t>Gain/(loss) related to mark-to-market adjustment of the Preferred Distribution Rate Reset</w:t>
            </w:r>
          </w:p>
        </w:tc>
        <w:tc>
          <w:tcPr>
            <w:tcW w:w="680" w:type="dxa"/>
            <w:vAlign w:val="bottom"/>
            <w:vMerge w:val="restart"/>
            <w:shd w:val="clear" w:color="auto" w:fill="CCEEFF"/>
          </w:tcPr>
          <w:p>
            <w:pPr>
              <w:jc w:val="right"/>
              <w:ind w:right="481"/>
              <w:spacing w:after="0"/>
              <w:rPr>
                <w:sz w:val="20"/>
                <w:szCs w:val="20"/>
                <w:color w:val="auto"/>
              </w:rPr>
            </w:pPr>
            <w:r>
              <w:rPr>
                <w:rFonts w:ascii="Arial" w:cs="Arial" w:eastAsia="Arial" w:hAnsi="Arial"/>
                <w:sz w:val="18"/>
                <w:szCs w:val="18"/>
                <w:color w:val="auto"/>
                <w:w w:val="99"/>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(10)</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Option </w:t>
            </w:r>
            <w:r>
              <w:rPr>
                <w:rFonts w:ascii="Arial" w:cs="Arial" w:eastAsia="Arial" w:hAnsi="Arial"/>
                <w:sz w:val="23"/>
                <w:szCs w:val="23"/>
                <w:color w:val="auto"/>
                <w:vertAlign w:val="superscript"/>
              </w:rPr>
              <w:t>(1)</w:t>
            </w:r>
          </w:p>
        </w:tc>
        <w:tc>
          <w:tcPr>
            <w:tcW w:w="68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(2)</w:t>
            </w: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(15)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680" w:type="dxa"/>
            <w:vAlign w:val="bottom"/>
            <w:tcBorders>
              <w:bottom w:val="single" w:sz="8" w:color="auto"/>
            </w:tcBorders>
          </w:tcPr>
          <w:p>
            <w:pPr>
              <w:jc w:val="right"/>
              <w:ind w:right="48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2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See Note 8 to our Condensed Consolidated Financial Statements for additional information.</w:t>
      </w:r>
    </w:p>
    <w:p>
      <w:pPr>
        <w:spacing w:after="0" w:line="117" w:lineRule="exact"/>
        <w:rPr>
          <w:sz w:val="20"/>
          <w:szCs w:val="20"/>
          <w:color w:val="auto"/>
        </w:rPr>
      </w:pPr>
    </w:p>
    <w:p>
      <w:pPr>
        <w:ind w:left="20" w:right="580" w:hanging="11"/>
        <w:spacing w:after="0" w:line="277" w:lineRule="auto"/>
        <w:rPr>
          <w:sz w:val="20"/>
          <w:szCs w:val="20"/>
          <w:color w:val="auto"/>
        </w:rPr>
      </w:pPr>
      <w:r>
        <w:rPr>
          <w:rFonts w:ascii="Arial" w:cs="Arial" w:eastAsia="Arial" w:hAnsi="Arial"/>
          <w:sz w:val="18"/>
          <w:szCs w:val="18"/>
          <w:color w:val="auto"/>
        </w:rPr>
        <w:t>The activity during the periods presented was primarily related to the impact from the change in the United States dollar to Canadian dollar exchange rate on the portion of our intercompany net investment that is not long-term in nature.</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 (Expense)/Benefit</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net favorable income tax variance for the three months ended September 30, 2021 compared to the three months ended September 30, 2020 was primarily due to the impact of lower earnings at PAA on income attributable to PAGP.</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net unfavorable income tax variance for the nine months ended September 30, 2021 compared to the nine months ended September 30, 2020 was primarily due to the impact of higher earnings at PAA on income attributable to PAGP.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a consolidated basis, our primary sources of liquidity are (i) cash flow from operating activities and (ii) borrowings under PAA’s credit facilities or the PAA commercial paper program. In addition, we may supplement these primary sources of liquidity with proceeds from our divestiture program and in the past we have utilized funds received from sales of equity and debt securities. Our primary cash requirements include, but are not limited to, (i) ordinary course of business uses, such as the payment of amounts related to the purchase of crude oil, NGL and other products, other expenses and interest payments on outstanding debt, (ii) investment and maintenance capital activities, (iii) acquisitions of assets or businesses, (iv) repayment of principal on long-term debt and (v) distributions to our Class A shareholders and noncontrolling interests. In addition, we may use cash for repurchases of common equity. We generally expect to fund our short-term cash requirements through cash flow generated from operating activities and/or borrowings under the PAA commercial paper program or PAA’s credit facilities. In addition, we generally expect to fund our long-term needs, such as those resulting from investment capital activities or acquisitions and refinancing long-term debt, through a variety of sources (either separately or in combination), which may include the sources mentioned above as funding for short-term needs and/or the issuance of additional equity or debt securities and the sale of assets.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40" w:firstLine="648"/>
        <w:spacing w:after="0" w:line="284" w:lineRule="auto"/>
        <w:rPr>
          <w:sz w:val="20"/>
          <w:szCs w:val="20"/>
          <w:color w:val="auto"/>
        </w:rPr>
      </w:pPr>
      <w:r>
        <w:rPr>
          <w:rFonts w:ascii="Arial" w:cs="Arial" w:eastAsia="Arial" w:hAnsi="Arial"/>
          <w:sz w:val="17"/>
          <w:szCs w:val="17"/>
          <w:color w:val="auto"/>
        </w:rPr>
        <w:t>As of September 30, 2021, although we had a working capital deficit of $522 million, we had approximately $2.8 billion of liquidity available to meet our ongoing operating, investing and financing needs, subject to continued covenant compliance, as noted below (in millions):</w:t>
      </w:r>
    </w:p>
    <w:p>
      <w:pPr>
        <w:sectPr>
          <w:pgSz w:w="11900" w:h="16838" w:orient="portrait"/>
          <w:cols w:equalWidth="0" w:num="1">
            <w:col w:w="11220"/>
          </w:cols>
          <w:pgMar w:left="320" w:top="125" w:right="359" w:bottom="1440" w:gutter="0" w:footer="0" w:header="0"/>
        </w:sectPr>
      </w:pPr>
    </w:p>
    <w:p>
      <w:pPr>
        <w:spacing w:after="0" w:line="34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 xml:space="preserve">Availability under PAA senior unsecured revolving credit facility </w:t>
      </w:r>
      <w:r>
        <w:rPr>
          <w:rFonts w:ascii="Arial" w:cs="Arial" w:eastAsia="Arial" w:hAnsi="Arial"/>
          <w:sz w:val="20"/>
          <w:szCs w:val="20"/>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15175"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6"/>
          <w:szCs w:val="16"/>
          <w:color w:val="auto"/>
        </w:rPr>
        <w:t xml:space="preserve">Availability under PAA senior secured hedged inventory facility </w:t>
      </w:r>
      <w:r>
        <w:rPr>
          <w:rFonts w:ascii="Arial" w:cs="Arial" w:eastAsia="Arial" w:hAnsi="Arial"/>
          <w:sz w:val="20"/>
          <w:szCs w:val="20"/>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15175"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Amounts outstanding under PAA commercial paper program</w:t>
      </w:r>
    </w:p>
    <w:p>
      <w:pPr>
        <w:spacing w:after="0" w:line="20" w:lineRule="exact"/>
        <w:rPr>
          <w:sz w:val="20"/>
          <w:szCs w:val="20"/>
          <w:color w:val="auto"/>
        </w:rPr>
      </w:pPr>
      <w:r>
        <w:rPr>
          <w:sz w:val="20"/>
          <w:szCs w:val="20"/>
          <w:color w:val="auto"/>
        </w:rPr>
        <w:br w:type="column"/>
      </w:r>
    </w:p>
    <w:p>
      <w:pPr>
        <w:ind w:left="760"/>
        <w:spacing w:after="0" w:line="227" w:lineRule="auto"/>
        <w:rPr>
          <w:sz w:val="20"/>
          <w:szCs w:val="20"/>
          <w:color w:val="auto"/>
        </w:rPr>
      </w:pPr>
      <w:r>
        <w:rPr>
          <w:rFonts w:ascii="Arial" w:cs="Arial" w:eastAsia="Arial" w:hAnsi="Arial"/>
          <w:sz w:val="14"/>
          <w:szCs w:val="14"/>
          <w:b w:val="1"/>
          <w:bCs w:val="1"/>
          <w:color w:val="auto"/>
        </w:rPr>
        <w:t>As of</w:t>
      </w:r>
    </w:p>
    <w:p>
      <w:pPr>
        <w:spacing w:after="0"/>
        <w:rPr>
          <w:sz w:val="20"/>
          <w:szCs w:val="20"/>
          <w:color w:val="auto"/>
        </w:rPr>
      </w:pPr>
      <w:r>
        <w:rPr>
          <w:rFonts w:ascii="Arial" w:cs="Arial" w:eastAsia="Arial" w:hAnsi="Arial"/>
          <w:sz w:val="14"/>
          <w:szCs w:val="14"/>
          <w:b w:val="1"/>
          <w:bCs w:val="1"/>
          <w:color w:val="auto"/>
        </w:rPr>
        <w:t>September 30, 2021</w:t>
      </w:r>
    </w:p>
    <w:p>
      <w:pPr>
        <w:spacing w:after="0" w:line="34" w:lineRule="exact"/>
        <w:rPr>
          <w:sz w:val="20"/>
          <w:szCs w:val="20"/>
          <w:color w:val="auto"/>
        </w:rPr>
      </w:pPr>
    </w:p>
    <w:p>
      <w:pPr>
        <w:ind w:left="1300" w:hanging="1197"/>
        <w:spacing w:after="0"/>
        <w:tabs>
          <w:tab w:leader="none" w:pos="13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1,293</w:t>
      </w:r>
    </w:p>
    <w:p>
      <w:pPr>
        <w:spacing w:after="0" w:line="57" w:lineRule="exact"/>
        <w:rPr>
          <w:rFonts w:ascii="Arial" w:cs="Arial" w:eastAsia="Arial" w:hAnsi="Arial"/>
          <w:sz w:val="15"/>
          <w:szCs w:val="15"/>
          <w:color w:val="auto"/>
        </w:rPr>
      </w:pPr>
    </w:p>
    <w:p>
      <w:pPr>
        <w:ind w:left="1300"/>
        <w:spacing w:after="0"/>
        <w:rPr>
          <w:rFonts w:ascii="Arial" w:cs="Arial" w:eastAsia="Arial" w:hAnsi="Arial"/>
          <w:sz w:val="15"/>
          <w:szCs w:val="15"/>
          <w:color w:val="auto"/>
        </w:rPr>
      </w:pPr>
      <w:r>
        <w:rPr>
          <w:rFonts w:ascii="Arial" w:cs="Arial" w:eastAsia="Arial" w:hAnsi="Arial"/>
          <w:sz w:val="15"/>
          <w:szCs w:val="15"/>
          <w:color w:val="auto"/>
        </w:rPr>
        <w:t>1,343</w:t>
      </w:r>
    </w:p>
    <w:p>
      <w:pPr>
        <w:spacing w:after="0" w:line="57" w:lineRule="exact"/>
        <w:rPr>
          <w:rFonts w:ascii="Arial" w:cs="Arial" w:eastAsia="Arial" w:hAnsi="Arial"/>
          <w:sz w:val="15"/>
          <w:szCs w:val="15"/>
          <w:color w:val="auto"/>
        </w:rPr>
      </w:pPr>
    </w:p>
    <w:p>
      <w:pPr>
        <w:ind w:left="1520"/>
        <w:spacing w:after="0"/>
        <w:rPr>
          <w:rFonts w:ascii="Arial" w:cs="Arial" w:eastAsia="Arial" w:hAnsi="Arial"/>
          <w:sz w:val="15"/>
          <w:szCs w:val="15"/>
          <w:color w:val="auto"/>
        </w:rPr>
      </w:pPr>
      <w:r>
        <w:rPr>
          <w:rFonts w:ascii="Arial" w:cs="Arial" w:eastAsia="Arial" w:hAnsi="Arial"/>
          <w:sz w:val="18"/>
          <w:szCs w:val="18"/>
          <w:color w:val="auto"/>
        </w:rPr>
        <w:t>—</w:t>
      </w:r>
    </w:p>
    <w:p>
      <w:pPr>
        <w:spacing w:after="0" w:line="22" w:lineRule="exact"/>
        <w:rPr>
          <w:sz w:val="20"/>
          <w:szCs w:val="20"/>
          <w:color w:val="auto"/>
        </w:rPr>
      </w:pPr>
    </w:p>
    <w:p>
      <w:pPr>
        <w:sectPr>
          <w:pgSz w:w="11900" w:h="16838" w:orient="portrait"/>
          <w:cols w:equalWidth="0" w:num="2">
            <w:col w:w="8720" w:space="720"/>
            <w:col w:w="1780"/>
          </w:cols>
          <w:pgMar w:left="320" w:top="125" w:right="35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880" w:type="dxa"/>
            <w:vAlign w:val="bottom"/>
            <w:gridSpan w:val="2"/>
          </w:tcPr>
          <w:p>
            <w:pPr>
              <w:ind w:left="800"/>
              <w:spacing w:after="0"/>
              <w:rPr>
                <w:sz w:val="20"/>
                <w:szCs w:val="20"/>
                <w:color w:val="auto"/>
              </w:rPr>
            </w:pPr>
            <w:r>
              <w:rPr>
                <w:rFonts w:ascii="Arial" w:cs="Arial" w:eastAsia="Arial" w:hAnsi="Arial"/>
                <w:sz w:val="18"/>
                <w:szCs w:val="18"/>
                <w:color w:val="auto"/>
              </w:rPr>
              <w:t>Subtotal</w:t>
            </w:r>
          </w:p>
        </w:tc>
        <w:tc>
          <w:tcPr>
            <w:tcW w:w="1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2,636</w:t>
            </w:r>
          </w:p>
        </w:tc>
      </w:tr>
      <w:tr>
        <w:trPr>
          <w:trHeight w:val="229"/>
        </w:trPr>
        <w:tc>
          <w:tcPr>
            <w:tcW w:w="88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Cash and cash equivalents</w:t>
            </w:r>
          </w:p>
        </w:tc>
        <w:tc>
          <w:tcPr>
            <w:tcW w:w="1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3"/>
        </w:trPr>
        <w:tc>
          <w:tcPr>
            <w:tcW w:w="8880" w:type="dxa"/>
            <w:vAlign w:val="bottom"/>
            <w:gridSpan w:val="2"/>
          </w:tcPr>
          <w:p>
            <w:pPr>
              <w:ind w:left="80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w:t>
            </w:r>
          </w:p>
        </w:tc>
      </w:tr>
      <w:tr>
        <w:trPr>
          <w:trHeight w:val="20"/>
        </w:trPr>
        <w:tc>
          <w:tcPr>
            <w:tcW w:w="38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5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121" w:lineRule="exact"/>
        <w:rPr>
          <w:sz w:val="20"/>
          <w:szCs w:val="20"/>
          <w:color w:val="auto"/>
        </w:rPr>
      </w:pPr>
    </w:p>
    <w:p>
      <w:pPr>
        <w:sectPr>
          <w:pgSz w:w="11900" w:h="16838" w:orient="portrait"/>
          <w:cols w:equalWidth="0" w:num="1">
            <w:col w:w="11220"/>
          </w:cols>
          <w:pgMar w:left="320" w:top="125" w:right="35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ind w:right="620" w:hanging="11"/>
        <w:spacing w:after="0" w:line="277" w:lineRule="auto"/>
        <w:rPr>
          <w:sz w:val="20"/>
          <w:szCs w:val="20"/>
          <w:color w:val="auto"/>
        </w:rPr>
      </w:pPr>
      <w:r>
        <w:rPr>
          <w:rFonts w:ascii="Arial" w:cs="Arial" w:eastAsia="Arial" w:hAnsi="Arial"/>
          <w:sz w:val="18"/>
          <w:szCs w:val="18"/>
          <w:color w:val="auto"/>
        </w:rPr>
        <w:t>Represents availability prior to giving effect to borrowings outstanding under the PAA commercial paper program, which reduce available capacity under the facilities.</w:t>
      </w:r>
    </w:p>
    <w:p>
      <w:pPr>
        <w:spacing w:after="0" w:line="62" w:lineRule="exact"/>
        <w:rPr>
          <w:sz w:val="20"/>
          <w:szCs w:val="20"/>
          <w:color w:val="auto"/>
        </w:rPr>
      </w:pPr>
    </w:p>
    <w:p>
      <w:pPr>
        <w:ind w:right="80" w:hanging="11"/>
        <w:spacing w:after="0" w:line="277" w:lineRule="auto"/>
        <w:rPr>
          <w:sz w:val="20"/>
          <w:szCs w:val="20"/>
          <w:color w:val="auto"/>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$57 million and $7 million, respectively.</w:t>
      </w:r>
    </w:p>
    <w:p>
      <w:pPr>
        <w:spacing w:after="0" w:line="197" w:lineRule="exact"/>
        <w:rPr>
          <w:sz w:val="20"/>
          <w:szCs w:val="20"/>
          <w:color w:val="auto"/>
        </w:rPr>
      </w:pPr>
    </w:p>
    <w:p>
      <w:pPr>
        <w:sectPr>
          <w:pgSz w:w="11900" w:h="16838" w:orient="portrait"/>
          <w:cols w:equalWidth="0" w:num="2">
            <w:col w:w="140" w:space="520"/>
            <w:col w:w="10560"/>
          </w:cols>
          <w:pgMar w:left="320" w:top="125" w:right="359" w:bottom="1440" w:gutter="0" w:footer="0" w:header="0"/>
          <w:type w:val="continuous"/>
        </w:sectPr>
      </w:pPr>
    </w:p>
    <w:p>
      <w:pPr>
        <w:ind w:right="40" w:firstLine="648"/>
        <w:spacing w:after="0" w:line="271" w:lineRule="auto"/>
        <w:rPr>
          <w:sz w:val="20"/>
          <w:szCs w:val="20"/>
          <w:color w:val="auto"/>
        </w:rPr>
      </w:pPr>
      <w:r>
        <w:rPr>
          <w:rFonts w:ascii="Arial" w:cs="Arial" w:eastAsia="Arial" w:hAnsi="Arial"/>
          <w:sz w:val="17"/>
          <w:szCs w:val="17"/>
          <w:color w:val="auto"/>
        </w:rPr>
        <w:t>In August 2021, PAA entered into new and amended credit agreements to facilitate the renewal and extension of its credit facilities. PAA’s $1.6 billion senior unsecured revolving credit facility with a maturity date of August 2024 was replaced with a $1.35 billion senior unsecured revolving credit facility with an initial maturity in August 2026 and its $1.4 billion senior secured hedged inventory facility with a maturity date of August 2022 was replaced with a $1.35 billion senior secured hedged inventory facility with an initial maturity in August 2024. The credit agreements provide for one or more one-year extensions and have accordion features which, subject to receipt of incremental lender approval and other terms and conditions, permit PAA to increase borrowing capacity under the senior unsecured revolving credit facility and senior secured hedged inventory facility to $2.1 billion and $1.9 billion, respectively. The covenants and events of default under the new and amended credit agreements remain substantially unchanged from the previous agreements. See Note 6 to our Condensed Consolidated Financial Statements for additional information.</w:t>
      </w:r>
    </w:p>
    <w:p>
      <w:pPr>
        <w:spacing w:after="0" w:line="20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Usage of PAA’s credit facilities, and, in turn, its commercial paper program, is subject to ongoing compliance with covenants. The credit agreements for PAA’s revolving credit facilities (which impact PAA’s ability to access its commercial paper program because they provide the financial backstop that supports its short-term credit ratings) and the indentures governing its senior notes contain cross-default provisions. A default under PAA’s credit agreements or indentures would permit the lenders to accelerate the maturity of the outstanding debt. Additionally, lack of compliance with the provisions in PAA’s credit agreements may restrict its ability to make distributions of available cash. PAA was in compliance with the covenants contained in its credit agreements and indentures as of September 30, 2021.</w:t>
      </w:r>
    </w:p>
    <w:p>
      <w:pPr>
        <w:spacing w:after="0" w:line="21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associated with the COVID-19 pandemic and/or actions by Organization of Petroleum Exporting Countries (“OPEC”). A prolonged material decrease in our cash flows would likely produce an adverse effect on our borrowing capacity and cost of borrowing. Our borrowing capacity and borrowing costs are also impacted by PAA’s credit rating. See Item 1A. “Risk Factors” included in our 2020 Annual Report on Form 10-K for further discussion regarding risks that may impact our liquidity and capital resources.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2020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80" w:firstLine="648"/>
        <w:spacing w:after="0" w:line="259" w:lineRule="auto"/>
        <w:rPr>
          <w:sz w:val="20"/>
          <w:szCs w:val="20"/>
          <w:color w:val="auto"/>
        </w:rPr>
      </w:pPr>
      <w:r>
        <w:rPr>
          <w:rFonts w:ascii="Arial" w:cs="Arial" w:eastAsia="Arial" w:hAnsi="Arial"/>
          <w:sz w:val="18"/>
          <w:szCs w:val="18"/>
          <w:color w:val="auto"/>
        </w:rPr>
        <w:t>Net cash provided by operating activities for the first nine months of 2021 and 2020 was $1.358 billion and $1.253 billion, respectively, and primarily resulted from earnings from our operations. During the nine months ended September 30, 2020, we increased the volume of our crude oil inventory to be stored during the contango market; however, this increase was offset by lower prices for our inventory stored at the end of the current period compared to the end of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our divestiture program. In the near term, we do not plan to issue common equity to fund such expenditures. The following table summarizes our investment, maintenance and acquisition capital expenditures (in millions):</w:t>
      </w:r>
    </w:p>
    <w:p>
      <w:pPr>
        <w:spacing w:after="0" w:line="236"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Nine Months Ended</w:t>
      </w:r>
    </w:p>
    <w:p>
      <w:pPr>
        <w:jc w:val="center"/>
        <w:ind w:left="82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Investment capital </w:t>
            </w:r>
            <w:r>
              <w:rPr>
                <w:rFonts w:ascii="Arial" w:cs="Arial" w:eastAsia="Arial" w:hAnsi="Arial"/>
                <w:sz w:val="23"/>
                <w:szCs w:val="23"/>
                <w:color w:val="auto"/>
                <w:vertAlign w:val="superscript"/>
              </w:rPr>
              <w:t>(1) (2)</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29"/>
        </w:trPr>
        <w:tc>
          <w:tcPr>
            <w:tcW w:w="8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(1)</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8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3"/>
                <w:szCs w:val="23"/>
                <w:color w:val="auto"/>
                <w:vertAlign w:val="superscript"/>
              </w:rPr>
              <w:t>(3)</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23"/>
        </w:trPr>
        <w:tc>
          <w:tcPr>
            <w:tcW w:w="38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w:t>
            </w:r>
          </w:p>
        </w:tc>
      </w:tr>
      <w:tr>
        <w:trPr>
          <w:trHeight w:val="21"/>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jc w:val="both"/>
        <w:ind w:right="260" w:hanging="11"/>
        <w:spacing w:after="0" w:line="263" w:lineRule="auto"/>
        <w:rPr>
          <w:sz w:val="20"/>
          <w:szCs w:val="20"/>
          <w:color w:val="auto"/>
        </w:rPr>
      </w:pPr>
      <w:r>
        <w:rPr>
          <w:rFonts w:ascii="Arial" w:cs="Arial" w:eastAsia="Arial" w:hAnsi="Arial"/>
          <w:sz w:val="18"/>
          <w:szCs w:val="18"/>
          <w:color w:val="auto"/>
        </w:rPr>
        <w:t>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w:t>
      </w:r>
    </w:p>
    <w:p>
      <w:pPr>
        <w:spacing w:after="0" w:line="76" w:lineRule="exact"/>
        <w:rPr>
          <w:sz w:val="20"/>
          <w:szCs w:val="20"/>
          <w:color w:val="auto"/>
        </w:rPr>
      </w:pPr>
    </w:p>
    <w:p>
      <w:pPr>
        <w:jc w:val="both"/>
        <w:ind w:right="240" w:hanging="11"/>
        <w:spacing w:after="0" w:line="277" w:lineRule="auto"/>
        <w:rPr>
          <w:sz w:val="20"/>
          <w:szCs w:val="20"/>
          <w:color w:val="auto"/>
        </w:rPr>
      </w:pPr>
      <w:r>
        <w:rPr>
          <w:rFonts w:ascii="Arial" w:cs="Arial" w:eastAsia="Arial" w:hAnsi="Arial"/>
          <w:sz w:val="18"/>
          <w:szCs w:val="18"/>
          <w:color w:val="auto"/>
        </w:rPr>
        <w:t>Includes contributions to unconsolidated entities, accounted for under the equity method of accounting, related to investment capital projects by such entities.</w:t>
      </w:r>
    </w:p>
    <w:p>
      <w:pPr>
        <w:spacing w:after="0" w:line="62" w:lineRule="exact"/>
        <w:rPr>
          <w:sz w:val="20"/>
          <w:szCs w:val="20"/>
          <w:color w:val="auto"/>
        </w:rPr>
      </w:pPr>
    </w:p>
    <w:p>
      <w:pPr>
        <w:ind w:right="220" w:hanging="11"/>
        <w:spacing w:after="0" w:line="263" w:lineRule="auto"/>
        <w:rPr>
          <w:sz w:val="20"/>
          <w:szCs w:val="20"/>
          <w:color w:val="auto"/>
        </w:rPr>
      </w:pPr>
      <w:r>
        <w:rPr>
          <w:rFonts w:ascii="Arial" w:cs="Arial" w:eastAsia="Arial" w:hAnsi="Arial"/>
          <w:sz w:val="18"/>
          <w:szCs w:val="18"/>
          <w:color w:val="auto"/>
        </w:rPr>
        <w:t>Acquisition capital for 2021 represents the cash consideration paid as part of the Asset Exchange transaction. See Note 12 to our Condensed Consolidated Financial Statements for additional information. Acquisition capital for 2020 primarily includes Felix Midstream LLC, a crude oil gathering system located in the Delaware Basin.</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2021 Investment and Maintenance Capital. </w:t>
      </w:r>
      <w:r>
        <w:rPr>
          <w:rFonts w:ascii="Arial" w:cs="Arial" w:eastAsia="Arial" w:hAnsi="Arial"/>
          <w:sz w:val="18"/>
          <w:szCs w:val="18"/>
          <w:color w:val="auto"/>
        </w:rPr>
        <w:t>Total projected investment capital for the year ended December 31, 2021 is $275 million, a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will be invested in our fee-based Transportation and Facilities segments. Additionally, maintenance capital for the full year of 2021 is projected to be $180 million. We expect to fund our 2021 investment and maintenance capital expenditures with retained cash flow and proceeds from assets sold as part of our divestiture program.</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Divestitures</w:t>
      </w:r>
    </w:p>
    <w:p>
      <w:pPr>
        <w:spacing w:after="0" w:line="25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continue to evaluate potential sales of non-core assets and/or sales of partial interests in assets to strategic joint venture partners. The following table summarizes the proceeds received during the first nine months of 2021 and 2020 from sales of assets, which were previously reported in our Transportation and Facilities segments (in millions):</w:t>
      </w:r>
    </w:p>
    <w:p>
      <w:pPr>
        <w:spacing w:after="0" w:line="233"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Nine Months Ended</w:t>
      </w:r>
    </w:p>
    <w:p>
      <w:pPr>
        <w:jc w:val="center"/>
        <w:ind w:left="82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6"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40"/>
        <w:spacing w:after="0"/>
        <w:tabs>
          <w:tab w:leader="none" w:pos="8260" w:val="left"/>
          <w:tab w:leader="none" w:pos="9340" w:val="left"/>
          <w:tab w:leader="none" w:pos="9800" w:val="left"/>
          <w:tab w:leader="none" w:pos="10880" w:val="left"/>
        </w:tabs>
        <w:rPr>
          <w:sz w:val="20"/>
          <w:szCs w:val="20"/>
          <w:color w:val="auto"/>
        </w:rPr>
      </w:pPr>
      <w:r>
        <w:rPr>
          <w:rFonts w:ascii="Arial" w:cs="Arial" w:eastAsia="Arial" w:hAnsi="Arial"/>
          <w:sz w:val="18"/>
          <w:szCs w:val="18"/>
          <w:color w:val="auto"/>
        </w:rPr>
        <w:t xml:space="preserve">Proceeds from divestitures </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878</w:t>
        <w:tab/>
        <w:t>$</w:t>
      </w:r>
      <w:r>
        <w:rPr>
          <w:sz w:val="20"/>
          <w:szCs w:val="20"/>
          <w:color w:val="auto"/>
        </w:rPr>
        <w:tab/>
      </w:r>
      <w:r>
        <w:rPr>
          <w:rFonts w:ascii="Arial" w:cs="Arial" w:eastAsia="Arial" w:hAnsi="Arial"/>
          <w:sz w:val="15"/>
          <w:szCs w:val="15"/>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4599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5" w:lineRule="exact"/>
        <w:rPr>
          <w:sz w:val="20"/>
          <w:szCs w:val="20"/>
          <w:color w:val="auto"/>
        </w:rPr>
      </w:pPr>
    </w:p>
    <w:p>
      <w:pPr>
        <w:ind w:left="640" w:hanging="632"/>
        <w:spacing w:after="0"/>
        <w:tabs>
          <w:tab w:leader="none" w:pos="640"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Represents gross proceeds, including working capital adjustments, before deducting transaction costs.</w:t>
      </w:r>
    </w:p>
    <w:p>
      <w:pPr>
        <w:spacing w:after="0" w:line="283"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proceeds from divestitures in 2021 are primarily from the sale of our Pine Prairie and Southern Pines natural gas storage facilities on August 2, 2021. See Note 12 to our Condensed Consolidated Financial Statements for additional information. Proceeds from divestitures were used to reduce debt levels and fund our investment capital projects.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Ongoing Activities Related to Strategic Transactions</w:t>
      </w:r>
    </w:p>
    <w:p>
      <w:pPr>
        <w:spacing w:after="0" w:line="256"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are continuously engaged in the evaluation of potential transactions that support our current business strategy. While in the past such transactions have included acquisitions and large capital projects, consistent with our current strategic focus on capital discipline, leverage reduction, portfolio optimization and free cash flow generation, we are currently primarily focused on evaluating whether we should (i) sell assets that we regard as non-core or that we believe might be a better fit with the business and/or assets of a third-party buyer or (ii) sell partial interests in assets to strategic joint venture partners, in each case to optimize our asset portfolio and strengthen our balance sheet and leverage metrics. With respect to a potential divestiture, we may also conduct an auction process or may negotiate a transaction with one or a limited number of potential buyers. Such transactions could involve assets that, if sold or put into a joint venture or joint ownership arrangement, could have a material effect on our financial condition and results of operations.</w:t>
      </w:r>
    </w:p>
    <w:p>
      <w:pPr>
        <w:spacing w:after="0" w:line="21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Business—Divestitures, joint ventures, joint ownership arrangements and acquisitions involve risks that may adversely affect our business” included in our 2020 Annual Report on Form 10-K.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Borrowings and Repayments Under Credit Arrangements</w:t>
      </w:r>
    </w:p>
    <w:p>
      <w:pPr>
        <w:spacing w:after="0" w:line="256"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During the nine months ended September 30, 2021, we had net repayments on the PAA credit facilities and commercial paper program of $713 million. The net repayments resulted primarily from cash flow from operating activities and proceeds from asset sales, which offset borrowings during the period related to funding needs for capital investments, inventory purchases and other general partnership purposes.</w:t>
      </w:r>
    </w:p>
    <w:p>
      <w:pPr>
        <w:spacing w:after="0" w:line="19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During the nine months ended September 30, 2020, we had net repayments on the PAA credit facilities and commercial paper program of $306 million. The net repayments resulted primarily from cash flow from operating activities, proceeds from asset sales and the issuance of $750 million, 3.80% senior notes in June 2020, which offset borrowings during the period related to funding needs for capital investments, inventory purchases and other general partnership purposes.</w:t>
      </w:r>
    </w:p>
    <w:p>
      <w:pPr>
        <w:spacing w:after="0" w:line="21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connection with the sale of our Pine Prairie and Southern Pines natural gas storage facilities on August 2, 2021, we repaid PAA’s two GO Zone term loans totaling $200 million. See Note 12 for additional information regarding the sale of our natural gas storage facilities.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Equity Repurchase Program</w:t>
      </w:r>
    </w:p>
    <w:p>
      <w:pPr>
        <w:spacing w:after="0" w:line="256" w:lineRule="exact"/>
        <w:rPr>
          <w:sz w:val="20"/>
          <w:szCs w:val="20"/>
          <w:color w:val="auto"/>
        </w:rPr>
      </w:pPr>
    </w:p>
    <w:p>
      <w:pPr>
        <w:jc w:val="both"/>
        <w:ind w:right="700" w:firstLine="648"/>
        <w:spacing w:after="0" w:line="263" w:lineRule="auto"/>
        <w:rPr>
          <w:sz w:val="20"/>
          <w:szCs w:val="20"/>
          <w:color w:val="auto"/>
        </w:rPr>
      </w:pPr>
      <w:r>
        <w:rPr>
          <w:rFonts w:ascii="Arial" w:cs="Arial" w:eastAsia="Arial" w:hAnsi="Arial"/>
          <w:sz w:val="18"/>
          <w:szCs w:val="18"/>
          <w:color w:val="auto"/>
        </w:rPr>
        <w:t>PAA repurchased 11,917,303 common units under the Program through open market purchases that settled during the nine months ended September 30, 2021. The total purchase price of these repurchases was $117 million, including commissions and fees. At September 30, 2021, the remaining available capacity under the Program was $333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Registration Statements</w:t>
      </w:r>
    </w:p>
    <w:p>
      <w:pPr>
        <w:spacing w:after="0" w:line="256"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i w:val="1"/>
          <w:iCs w:val="1"/>
          <w:color w:val="auto"/>
        </w:rPr>
        <w:t xml:space="preserve">PAGP Registration Statements. </w:t>
      </w:r>
      <w:r>
        <w:rPr>
          <w:rFonts w:ascii="Arial" w:cs="Arial" w:eastAsia="Arial" w:hAnsi="Arial"/>
          <w:sz w:val="17"/>
          <w:szCs w:val="17"/>
          <w:color w:val="auto"/>
        </w:rPr>
        <w:t>We have filed with the SEC a shelf registration statement that, subject to effectiveness at the time of use, allows us</w:t>
      </w:r>
      <w:r>
        <w:rPr>
          <w:rFonts w:ascii="Arial" w:cs="Arial" w:eastAsia="Arial" w:hAnsi="Arial"/>
          <w:sz w:val="17"/>
          <w:szCs w:val="17"/>
          <w:i w:val="1"/>
          <w:iCs w:val="1"/>
          <w:color w:val="auto"/>
        </w:rPr>
        <w:t xml:space="preserve"> </w:t>
      </w:r>
      <w:r>
        <w:rPr>
          <w:rFonts w:ascii="Arial" w:cs="Arial" w:eastAsia="Arial" w:hAnsi="Arial"/>
          <w:sz w:val="17"/>
          <w:szCs w:val="17"/>
          <w:color w:val="auto"/>
        </w:rPr>
        <w:t>to issue, in the aggregate, up to a specified amount of equity securities (the “PAGP Traditional Shelf”), under which we had approximately $939 million of unsold securities available at September 30, 2021. We also have access to a shelf registration statement (the “PAGP WKSI Shelf”), which provides us with the ability to offer and sell an unlimited amount of equity securities, subject to market conditions and capital needs. We did not conduct any offerings under the PAGP Traditional Shelf or the PAGP WKSI Shelf during the nine months ended September 30, 2021.</w:t>
      </w:r>
    </w:p>
    <w:p>
      <w:pPr>
        <w:spacing w:after="0" w:line="20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PAA Registration Statements. </w:t>
      </w:r>
      <w:r>
        <w:rPr>
          <w:rFonts w:ascii="Arial" w:cs="Arial" w:eastAsia="Arial" w:hAnsi="Arial"/>
          <w:sz w:val="17"/>
          <w:szCs w:val="17"/>
          <w:color w:val="auto"/>
        </w:rPr>
        <w:t>PAA periodically accesses the capital markets for both equity and debt financing. PAA has filed with the SEC a</w:t>
      </w:r>
      <w:r>
        <w:rPr>
          <w:rFonts w:ascii="Arial" w:cs="Arial" w:eastAsia="Arial" w:hAnsi="Arial"/>
          <w:sz w:val="17"/>
          <w:szCs w:val="17"/>
          <w:i w:val="1"/>
          <w:iCs w:val="1"/>
          <w:color w:val="auto"/>
        </w:rPr>
        <w:t xml:space="preserve"> </w:t>
      </w:r>
      <w:r>
        <w:rPr>
          <w:rFonts w:ascii="Arial" w:cs="Arial" w:eastAsia="Arial" w:hAnsi="Arial"/>
          <w:sz w:val="17"/>
          <w:szCs w:val="17"/>
          <w:color w:val="auto"/>
        </w:rPr>
        <w:t>universal shelf registration statement that, subject to effectiveness at the time of use, allows PAA to issue, in the aggregate, up to a specified amount of debt or equity securities (the “PAA Traditional Shelf”), under which PAA had approximately $1.1 billion of unsold securities available at September 30, 2021. PAA also has access to a universal shelf registration statement (the “PAA WKSI Shelf”), which provides it with the ability to offer and sell an unlimited amount of debt and equity securities, subject to market conditions and capital needs. PAA did not conduct any offerings under the PAA Traditional Shelf or the PAA WKSI Shelf during the nine months ended September 30, 2021.</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Class A Shareholders</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distribute all of our available cash within 55 days following the end of each quarter to Class A shareholders of record.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shareholders. See Item 5. “Market for Registrant’s Shares, Related Shareholder Matters and Issuer Purchases of Equity Securities—Cash Distribution Policy” included in our 2020 Annual Report on Form 10-K for additional discussion regarding distributions.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7 to our Condensed Consolidated Financial Statements for details of distributions paid during or pertaining to the first nine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Noncontrolling Interests</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Distributions to noncontrolling interests represent amounts paid on interests in consolidated entities that are not owned by us. As of September 30, 2021, noncontrolling interests in our subsidiaries consisted of (i) limited partner interests in PAA including a 69% interest in PAA’s common units and PAA’s Series A preferred units combined and 100% of PAA’s Series B preferred units, (ii) an approximate 21% limited partner interest in AAP and (iii) a 33% interest in Red River LLC. See Note 7 to our Condensed Consolidated Financial Statements for details of distributions to noncontrolling interests paid during or pertaining to the first nine months of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10 to our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range in term from thirty-day evergreen to five years, with a limited number of contracts with remaining terms extending up to 12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September 30, 2021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ind w:left="100"/>
              <w:spacing w:after="0"/>
              <w:rPr>
                <w:sz w:val="20"/>
                <w:szCs w:val="20"/>
                <w:color w:val="auto"/>
              </w:rPr>
            </w:pPr>
            <w:r>
              <w:rPr>
                <w:rFonts w:ascii="Arial" w:cs="Arial" w:eastAsia="Arial" w:hAnsi="Arial"/>
                <w:sz w:val="14"/>
                <w:szCs w:val="14"/>
                <w:b w:val="1"/>
                <w:bCs w:val="1"/>
                <w:color w:val="auto"/>
              </w:rPr>
              <w:t>Remainder of</w:t>
            </w:r>
          </w:p>
        </w:tc>
        <w:tc>
          <w:tcPr>
            <w:tcW w:w="20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2026 and</w:t>
            </w:r>
          </w:p>
        </w:tc>
        <w:tc>
          <w:tcPr>
            <w:tcW w:w="240" w:type="dxa"/>
            <w:vAlign w:val="bottom"/>
          </w:tcPr>
          <w:p>
            <w:pPr>
              <w:spacing w:after="0"/>
              <w:rPr>
                <w:sz w:val="14"/>
                <w:szCs w:val="14"/>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Thereafter</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20" w:type="dxa"/>
            <w:vAlign w:val="bottom"/>
            <w:tcBorders>
              <w:top w:val="single" w:sz="8" w:color="CCEEFF"/>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Long-term debt and related interest payments </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13,429</w:t>
            </w: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23"/>
        </w:trPr>
        <w:tc>
          <w:tcPr>
            <w:tcW w:w="4120" w:type="dxa"/>
            <w:vAlign w:val="bottom"/>
            <w:gridSpan w:val="2"/>
          </w:tcPr>
          <w:p>
            <w:pPr>
              <w:ind w:left="14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16,360</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144,431</w:t>
            </w:r>
          </w:p>
        </w:tc>
        <w:tc>
          <w:tcPr>
            <w:tcW w:w="0" w:type="dxa"/>
            <w:vAlign w:val="bottom"/>
          </w:tcPr>
          <w:p>
            <w:pPr>
              <w:spacing w:after="0"/>
              <w:rPr>
                <w:sz w:val="1"/>
                <w:szCs w:val="1"/>
                <w:color w:val="auto"/>
              </w:rPr>
            </w:pPr>
          </w:p>
        </w:tc>
      </w:tr>
      <w:tr>
        <w:trPr>
          <w:trHeight w:val="223"/>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70,798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160,791</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ind w:left="4" w:right="80" w:hanging="11"/>
        <w:spacing w:after="0" w:line="273" w:lineRule="auto"/>
        <w:rPr>
          <w:sz w:val="20"/>
          <w:szCs w:val="20"/>
          <w:color w:val="auto"/>
        </w:rPr>
      </w:pPr>
      <w:r>
        <w:rPr>
          <w:rFonts w:ascii="Arial" w:cs="Arial" w:eastAsia="Arial" w:hAnsi="Arial"/>
          <w:sz w:val="17"/>
          <w:szCs w:val="17"/>
          <w:color w:val="auto"/>
        </w:rPr>
        <w:t>Includes debt service payments, interest payments due on PAA’s senior notes and the commitment fee on assumed available capacity under the PAA credit facilities, as well as long-term borrowings under the PAA credit agreements and the PAA commercial paper program, if any. Although there may be short-term borrowings under the PAA credit agreements and the PAA commercial paper program, we historically repay and borrow at varying amounts. As such, we have included only the maximum commitment fee (as if no short-term borrowings were outstanding on the PAA credit agreements or the PAA commercial paper program) in the amounts above. For additional information regarding PAA’s debt obligations, see Note 6 to our Condensed Consolidated Financial Statements.</w:t>
      </w:r>
    </w:p>
    <w:p>
      <w:pPr>
        <w:spacing w:after="0" w:line="70" w:lineRule="exact"/>
        <w:rPr>
          <w:sz w:val="20"/>
          <w:szCs w:val="20"/>
          <w:color w:val="auto"/>
        </w:rPr>
      </w:pPr>
    </w:p>
    <w:p>
      <w:pPr>
        <w:ind w:left="4" w:right="180" w:hanging="11"/>
        <w:spacing w:after="0" w:line="263" w:lineRule="auto"/>
        <w:rPr>
          <w:sz w:val="20"/>
          <w:szCs w:val="20"/>
          <w:color w:val="auto"/>
        </w:rPr>
      </w:pPr>
      <w:r>
        <w:rPr>
          <w:rFonts w:ascii="Arial" w:cs="Arial" w:eastAsia="Arial" w:hAnsi="Arial"/>
          <w:sz w:val="18"/>
          <w:szCs w:val="18"/>
          <w:color w:val="auto"/>
        </w:rPr>
        <w:t>Includes both operating and finance leases as defined by FASB guidance. Leases are primarily for (i) railcars, (ii) land, (iii) office space, (iv) storage tanks, (v) tractor trailers and (vi) vehicles. See Note 14 to our Consolidated Financial Statements included in Part IV of our 2020 Annual Report on Form 10-K for additional information.</w:t>
      </w:r>
    </w:p>
    <w:p>
      <w:pPr>
        <w:spacing w:after="0" w:line="76" w:lineRule="exact"/>
        <w:rPr>
          <w:sz w:val="20"/>
          <w:szCs w:val="20"/>
          <w:color w:val="auto"/>
        </w:rPr>
      </w:pPr>
    </w:p>
    <w:p>
      <w:pPr>
        <w:ind w:left="4" w:right="160" w:hanging="11"/>
        <w:spacing w:after="0" w:line="291" w:lineRule="auto"/>
        <w:rPr>
          <w:sz w:val="20"/>
          <w:szCs w:val="20"/>
          <w:color w:val="auto"/>
        </w:rPr>
      </w:pPr>
      <w:r>
        <w:rPr>
          <w:rFonts w:ascii="Arial" w:cs="Arial" w:eastAsia="Arial" w:hAnsi="Arial"/>
          <w:sz w:val="16"/>
          <w:szCs w:val="16"/>
          <w:color w:val="auto"/>
        </w:rPr>
        <w:t>Includes (i) other long-term liabilities, (ii) storage, processing and transportation agreements (including certain agreements for which the amount and timing of expected payments is subject to the completion of underlying construction projects), (iii) certain rights-of-way easements and</w:t>
      </w:r>
    </w:p>
    <w:p>
      <w:pPr>
        <w:ind w:left="4" w:right="120" w:hanging="4"/>
        <w:spacing w:after="0" w:line="253" w:lineRule="auto"/>
        <w:tabs>
          <w:tab w:leader="none" w:pos="309"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noncancelable commitments related to our investment capital projects, including projected contributions for our share of the capital spending of our equity method investments. The storage, processing and transportation agreements include approximately $1.8 billion associated with agreements to store crude oil at facilities and transport crude oil or utilize capacity on pipelines owned by equity method investees at posted tariff rates or prices that we believe approximate market. A portion of our commitment to transport is supported by crude oil buy/sell or other agreements with third parties with commensurate quantities.</w:t>
      </w:r>
    </w:p>
    <w:p>
      <w:pPr>
        <w:spacing w:after="0" w:line="83" w:lineRule="exact"/>
        <w:rPr>
          <w:sz w:val="20"/>
          <w:szCs w:val="20"/>
          <w:color w:val="auto"/>
        </w:rPr>
      </w:pPr>
    </w:p>
    <w:p>
      <w:pPr>
        <w:ind w:left="4" w:right="120" w:hanging="11"/>
        <w:spacing w:after="0" w:line="311" w:lineRule="auto"/>
        <w:rPr>
          <w:sz w:val="20"/>
          <w:szCs w:val="20"/>
          <w:color w:val="auto"/>
        </w:rPr>
      </w:pPr>
      <w:r>
        <w:rPr>
          <w:rFonts w:ascii="Arial" w:cs="Arial" w:eastAsia="Arial" w:hAnsi="Arial"/>
          <w:sz w:val="16"/>
          <w:szCs w:val="16"/>
          <w:color w:val="auto"/>
        </w:rPr>
        <w:t>Amounts are primarily based on estimated volumes and market prices based on average activity during September 2021.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76" w:lineRule="exact"/>
        <w:rPr>
          <w:sz w:val="20"/>
          <w:szCs w:val="20"/>
          <w:color w:val="auto"/>
        </w:rPr>
      </w:pPr>
    </w:p>
    <w:p>
      <w:pPr>
        <w:sectPr>
          <w:pgSz w:w="11900" w:h="16838" w:orient="portrait"/>
          <w:cols w:equalWidth="0" w:num="2">
            <w:col w:w="140" w:space="516"/>
            <w:col w:w="10584"/>
          </w:cols>
          <w:pgMar w:left="320" w:top="125" w:right="339" w:bottom="1440" w:gutter="0" w:footer="0" w:header="0"/>
          <w:type w:val="continuous"/>
        </w:sect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Additionally, we issue letters of credit to support insurance programs, derivative transactions, including hedging-related margin obligations, and construction activities. At September 30, 2021 and December 31, 2020, we had outstanding letters of credit of approximately $64 million and $129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2020 Annual Report on Form 10-K.</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Change in Accounting Estimate</w:t>
      </w:r>
    </w:p>
    <w:p>
      <w:pPr>
        <w:spacing w:after="0" w:line="24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early 2021, we conducted a review to assess the useful lives of our property and equipment. Based on this review, we modified the useful lives of certain of our Pipelines and related facilities and Storage, terminal and rail facilities to useful lives of 10 to 50 years from useful lives of 10 to 70 years to reflect current expectations given our future operating and commercial outlook. This change in accounting estimate was effective January 1, 2021. Based on the net carrying amount of this property and equipment as of January 1, 2021, we currently estimate that these useful life reductions will prospectively increase annual depreciation expense by approximately $72 million.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05"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i w:val="1"/>
          <w:iCs w:val="1"/>
          <w:color w:val="auto"/>
        </w:rPr>
      </w:pPr>
      <w:r>
        <w:rPr>
          <w:rFonts w:ascii="Arial" w:cs="Arial" w:eastAsia="Arial" w:hAnsi="Arial"/>
          <w:sz w:val="18"/>
          <w:szCs w:val="18"/>
          <w:color w:val="auto"/>
        </w:rPr>
        <w:t>our ability to pay distributions to our Class A shareholders;</w:t>
      </w:r>
    </w:p>
    <w:p>
      <w:pPr>
        <w:spacing w:after="0" w:line="103" w:lineRule="exact"/>
        <w:rPr>
          <w:rFonts w:ascii="Arial" w:cs="Arial" w:eastAsia="Arial" w:hAnsi="Arial"/>
          <w:sz w:val="18"/>
          <w:szCs w:val="18"/>
          <w:i w:val="1"/>
          <w:iCs w:val="1"/>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117" w:lineRule="exact"/>
        <w:rPr>
          <w:rFonts w:ascii="Arial" w:cs="Arial" w:eastAsia="Arial" w:hAnsi="Arial"/>
          <w:sz w:val="18"/>
          <w:szCs w:val="18"/>
          <w:color w:val="auto"/>
        </w:rPr>
      </w:pPr>
    </w:p>
    <w:p>
      <w:pPr>
        <w:ind w:left="980" w:right="60" w:hanging="324"/>
        <w:spacing w:after="0" w:line="254"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declines in global crude oil demand and crude oil prices (whether due to the COVID-19 pandemic, future pandemics or other factors) that correspondingly lead to a significant reduction of North American crude oil, 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86" w:lineRule="exact"/>
        <w:rPr>
          <w:rFonts w:ascii="Arial" w:cs="Arial" w:eastAsia="Arial" w:hAnsi="Arial"/>
          <w:sz w:val="18"/>
          <w:szCs w:val="18"/>
          <w:color w:val="auto"/>
        </w:rPr>
      </w:pPr>
    </w:p>
    <w:p>
      <w:pPr>
        <w:ind w:left="980" w:right="60" w:hanging="324"/>
        <w:spacing w:after="0" w:line="248" w:lineRule="auto"/>
        <w:tabs>
          <w:tab w:leader="none" w:pos="975" w:val="left"/>
        </w:tabs>
        <w:numPr>
          <w:ilvl w:val="0"/>
          <w:numId w:val="42"/>
        </w:numPr>
        <w:rPr>
          <w:rFonts w:ascii="Arial" w:cs="Arial" w:eastAsia="Arial" w:hAnsi="Arial"/>
          <w:sz w:val="18"/>
          <w:szCs w:val="18"/>
          <w:i w:val="1"/>
          <w:iCs w:val="1"/>
          <w:color w:val="auto"/>
        </w:rPr>
      </w:pPr>
      <w:r>
        <w:rPr>
          <w:rFonts w:ascii="Arial" w:cs="Arial" w:eastAsia="Arial" w:hAnsi="Arial"/>
          <w:sz w:val="18"/>
          <w:szCs w:val="18"/>
          <w:color w:val="auto"/>
        </w:rPr>
        <w:t>the effects of competition and capacity overbuild in areas where we operate, including contract renewal risk and the risk of loss of business to other midstream operators who are willing or under pressure to aggressively reduce transportation rates in order to capture or preserve customers;</w:t>
      </w:r>
    </w:p>
    <w:p>
      <w:pPr>
        <w:spacing w:after="0" w:line="73" w:lineRule="exact"/>
        <w:rPr>
          <w:rFonts w:ascii="Arial" w:cs="Arial" w:eastAsia="Arial" w:hAnsi="Arial"/>
          <w:sz w:val="18"/>
          <w:szCs w:val="18"/>
          <w:i w:val="1"/>
          <w:iCs w:val="1"/>
          <w:color w:val="auto"/>
        </w:rPr>
      </w:pPr>
    </w:p>
    <w:p>
      <w:pPr>
        <w:ind w:left="980" w:right="360" w:hanging="324"/>
        <w:spacing w:after="0" w:line="342" w:lineRule="auto"/>
        <w:tabs>
          <w:tab w:leader="none" w:pos="975" w:val="left"/>
        </w:tabs>
        <w:numPr>
          <w:ilvl w:val="0"/>
          <w:numId w:val="42"/>
        </w:numPr>
        <w:rPr>
          <w:rFonts w:ascii="Arial" w:cs="Arial" w:eastAsia="Arial" w:hAnsi="Arial"/>
          <w:sz w:val="16"/>
          <w:szCs w:val="16"/>
          <w:color w:val="auto"/>
        </w:rPr>
      </w:pPr>
      <w:r>
        <w:rPr>
          <w:rFonts w:ascii="Arial" w:cs="Arial" w:eastAsia="Arial" w:hAnsi="Arial"/>
          <w:sz w:val="16"/>
          <w:szCs w:val="16"/>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17"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7" w:lineRule="exact"/>
        <w:rPr>
          <w:rFonts w:ascii="Arial" w:cs="Arial" w:eastAsia="Arial" w:hAnsi="Arial"/>
          <w:sz w:val="18"/>
          <w:szCs w:val="18"/>
          <w:color w:val="auto"/>
        </w:rPr>
      </w:pPr>
    </w:p>
    <w:p>
      <w:pPr>
        <w:ind w:left="980" w:right="20" w:hanging="324"/>
        <w:spacing w:after="0" w:line="308" w:lineRule="auto"/>
        <w:tabs>
          <w:tab w:leader="none" w:pos="97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300" w:hanging="324"/>
        <w:spacing w:after="0" w:line="257"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9" w:lineRule="exact"/>
        <w:rPr>
          <w:rFonts w:ascii="Arial" w:cs="Arial" w:eastAsia="Arial" w:hAnsi="Arial"/>
          <w:sz w:val="18"/>
          <w:szCs w:val="18"/>
          <w:color w:val="auto"/>
        </w:rPr>
      </w:pPr>
    </w:p>
    <w:p>
      <w:pPr>
        <w:jc w:val="both"/>
        <w:ind w:left="980" w:right="320" w:hanging="324"/>
        <w:spacing w:after="0" w:line="342" w:lineRule="auto"/>
        <w:tabs>
          <w:tab w:leader="none" w:pos="975"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28" w:lineRule="exact"/>
        <w:rPr>
          <w:rFonts w:ascii="Arial" w:cs="Arial" w:eastAsia="Arial" w:hAnsi="Arial"/>
          <w:sz w:val="17"/>
          <w:szCs w:val="17"/>
          <w:color w:val="auto"/>
        </w:rPr>
      </w:pPr>
    </w:p>
    <w:p>
      <w:pPr>
        <w:ind w:left="980" w:right="160" w:hanging="324"/>
        <w:spacing w:after="0" w:line="277"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17" w:lineRule="exact"/>
        <w:rPr>
          <w:rFonts w:ascii="Arial" w:cs="Arial" w:eastAsia="Arial" w:hAnsi="Arial"/>
          <w:sz w:val="18"/>
          <w:szCs w:val="18"/>
          <w:color w:val="auto"/>
        </w:rPr>
      </w:pPr>
    </w:p>
    <w:p>
      <w:pPr>
        <w:ind w:left="980" w:right="380" w:hanging="324"/>
        <w:spacing w:after="0" w:line="286" w:lineRule="auto"/>
        <w:tabs>
          <w:tab w:leader="none" w:pos="97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trade policies, accounting standards and statements, and related interpretations, including legislation or regulatory initiatives that prohibit, restrict or regulate hydraulic fracturing or that prohibit the development of oil and gas resources and the related infrastructure on lands dedicated to or served by our pipelines;</w:t>
      </w:r>
    </w:p>
    <w:p>
      <w:pPr>
        <w:spacing w:after="0" w:line="57" w:lineRule="exact"/>
        <w:rPr>
          <w:rFonts w:ascii="Arial" w:cs="Arial" w:eastAsia="Arial" w:hAnsi="Arial"/>
          <w:sz w:val="17"/>
          <w:szCs w:val="17"/>
          <w:color w:val="auto"/>
        </w:rPr>
      </w:pPr>
    </w:p>
    <w:p>
      <w:pPr>
        <w:ind w:left="980" w:right="40" w:hanging="324"/>
        <w:spacing w:after="0" w:line="263"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75" w:lineRule="exact"/>
        <w:rPr>
          <w:rFonts w:ascii="Arial" w:cs="Arial" w:eastAsia="Arial" w:hAnsi="Arial"/>
          <w:sz w:val="18"/>
          <w:szCs w:val="18"/>
          <w:color w:val="auto"/>
        </w:rPr>
      </w:pPr>
    </w:p>
    <w:p>
      <w:pPr>
        <w:ind w:left="980" w:right="200" w:hanging="324"/>
        <w:spacing w:after="0" w:line="311" w:lineRule="auto"/>
        <w:tabs>
          <w:tab w:leader="none" w:pos="975" w:val="left"/>
        </w:tabs>
        <w:numPr>
          <w:ilvl w:val="0"/>
          <w:numId w:val="43"/>
        </w:numPr>
        <w:rPr>
          <w:rFonts w:ascii="Arial" w:cs="Arial" w:eastAsia="Arial" w:hAnsi="Arial"/>
          <w:sz w:val="16"/>
          <w:szCs w:val="16"/>
          <w:color w:val="auto"/>
        </w:rPr>
      </w:pPr>
      <w:r>
        <w:rPr>
          <w:rFonts w:ascii="Arial" w:cs="Arial" w:eastAsia="Arial" w:hAnsi="Arial"/>
          <w:sz w:val="16"/>
          <w:szCs w:val="16"/>
          <w:color w:val="auto"/>
        </w:rPr>
        <w:t>general economic, market or business conditions in the United States and elsewhere (including the potential for a recession or significant slowdown in economic activity levels and the timing, pace and extent of economic recovery) that impact demand for crude oil, drilling and production activities and therefore the demand for the midstream services we provide and commercial opportunities available to us;</w:t>
      </w:r>
    </w:p>
    <w:p>
      <w:pPr>
        <w:spacing w:after="0" w:line="40" w:lineRule="exact"/>
        <w:rPr>
          <w:rFonts w:ascii="Arial" w:cs="Arial" w:eastAsia="Arial" w:hAnsi="Arial"/>
          <w:sz w:val="16"/>
          <w:szCs w:val="16"/>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 to the United States dollar;</w:t>
      </w:r>
    </w:p>
    <w:p>
      <w:pPr>
        <w:spacing w:after="0" w:line="117" w:lineRule="exact"/>
        <w:rPr>
          <w:rFonts w:ascii="Arial" w:cs="Arial" w:eastAsia="Arial" w:hAnsi="Arial"/>
          <w:sz w:val="18"/>
          <w:szCs w:val="18"/>
          <w:color w:val="auto"/>
        </w:rPr>
      </w:pPr>
    </w:p>
    <w:p>
      <w:pPr>
        <w:ind w:left="980" w:right="520" w:hanging="324"/>
        <w:spacing w:after="0" w:line="277"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under-utilization of our assets and facilities;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and</w:t>
      </w:r>
    </w:p>
    <w:p>
      <w:pPr>
        <w:spacing w:after="0" w:line="117"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170"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2020 Annual Report on Form 10-K.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980" w:right="30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crude oil derivatives to hedge commodity price risk inherent in our Supply and Logistics and Transportation segments. Our objectives for these derivatives include hedging anticipated purchases and sales, stored inventory and basis differentials. We manage these exposures with various instruments including futures, forwards, swaps and options.</w:t>
      </w:r>
    </w:p>
    <w:p>
      <w:pPr>
        <w:spacing w:after="0" w:line="183" w:lineRule="exact"/>
        <w:rPr>
          <w:rFonts w:ascii="Arial" w:cs="Arial" w:eastAsia="Arial" w:hAnsi="Arial"/>
          <w:sz w:val="18"/>
          <w:szCs w:val="18"/>
          <w:i w:val="1"/>
          <w:iCs w:val="1"/>
          <w:color w:val="auto"/>
        </w:rPr>
      </w:pPr>
    </w:p>
    <w:p>
      <w:pPr>
        <w:ind w:left="980" w:hanging="324"/>
        <w:spacing w:after="0"/>
        <w:tabs>
          <w:tab w:leader="none" w:pos="98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980" w:right="8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futures, swaps and options.</w:t>
      </w:r>
    </w:p>
    <w:p>
      <w:pPr>
        <w:spacing w:after="0" w:line="183" w:lineRule="exact"/>
        <w:rPr>
          <w:rFonts w:ascii="Arial" w:cs="Arial" w:eastAsia="Arial" w:hAnsi="Arial"/>
          <w:sz w:val="18"/>
          <w:szCs w:val="18"/>
          <w:i w:val="1"/>
          <w:iCs w:val="1"/>
          <w:color w:val="auto"/>
        </w:rPr>
      </w:pPr>
    </w:p>
    <w:p>
      <w:pPr>
        <w:ind w:left="980" w:hanging="324"/>
        <w:spacing w:after="0"/>
        <w:tabs>
          <w:tab w:leader="none" w:pos="98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NGL and other</w:t>
      </w:r>
    </w:p>
    <w:p>
      <w:pPr>
        <w:spacing w:after="0" w:line="252" w:lineRule="exact"/>
        <w:rPr>
          <w:rFonts w:ascii="Arial" w:cs="Arial" w:eastAsia="Arial" w:hAnsi="Arial"/>
          <w:sz w:val="18"/>
          <w:szCs w:val="18"/>
          <w:i w:val="1"/>
          <w:iCs w:val="1"/>
          <w:color w:val="auto"/>
        </w:rPr>
      </w:pPr>
    </w:p>
    <w:p>
      <w:pPr>
        <w:ind w:left="980" w:right="28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futures, forwards, swaps and options.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8 to our Condensed Consolidated Financial Statements for further discussion regarding our hedging strategies and objectives.</w:t>
      </w:r>
    </w:p>
    <w:p>
      <w:pPr>
        <w:spacing w:after="0" w:line="23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September 30, 2021 that would be expected from a 10% price increase or decrease is shown in the table below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180" w:type="dxa"/>
            <w:vAlign w:val="bottom"/>
          </w:tcPr>
          <w:p>
            <w:pPr>
              <w:spacing w:after="0"/>
              <w:rPr>
                <w:sz w:val="14"/>
                <w:szCs w:val="14"/>
                <w:color w:val="auto"/>
              </w:rPr>
            </w:pPr>
          </w:p>
        </w:tc>
        <w:tc>
          <w:tcPr>
            <w:tcW w:w="1260" w:type="dxa"/>
            <w:vAlign w:val="bottom"/>
          </w:tcPr>
          <w:p>
            <w:pPr>
              <w:jc w:val="right"/>
              <w:ind w:right="21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Price Increase</w:t>
            </w:r>
          </w:p>
        </w:tc>
        <w:tc>
          <w:tcPr>
            <w:tcW w:w="180" w:type="dxa"/>
            <w:vAlign w:val="bottom"/>
          </w:tcPr>
          <w:p>
            <w:pPr>
              <w:spacing w:after="0"/>
              <w:rPr>
                <w:sz w:val="16"/>
                <w:szCs w:val="16"/>
                <w:color w:val="auto"/>
              </w:rPr>
            </w:pPr>
          </w:p>
        </w:tc>
        <w:tc>
          <w:tcPr>
            <w:tcW w:w="1260" w:type="dxa"/>
            <w:vAlign w:val="bottom"/>
          </w:tcPr>
          <w:p>
            <w:pPr>
              <w:jc w:val="right"/>
              <w:ind w:right="197"/>
              <w:spacing w:after="0"/>
              <w:rPr>
                <w:sz w:val="20"/>
                <w:szCs w:val="20"/>
                <w:color w:val="auto"/>
              </w:rPr>
            </w:pPr>
            <w:r>
              <w:rPr>
                <w:rFonts w:ascii="Arial" w:cs="Arial" w:eastAsia="Arial" w:hAnsi="Arial"/>
                <w:sz w:val="14"/>
                <w:szCs w:val="14"/>
                <w:b w:val="1"/>
                <w:bCs w:val="1"/>
                <w:color w:val="auto"/>
                <w:w w:val="95"/>
              </w:rPr>
              <w:t>Price Decrease</w:t>
            </w: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and other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Total fair value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We did not have any variable rate debt outstanding at September 30, 2021. The fair value of our interest rate derivatives was a net asset of $81 million as of September 30, 2021. A 10% increase in the forward LIBOR curve as of September 30, 2021 would have resulted in an increase of $17 million to the fair value of our interest rate derivatives. A 10% decrease in the forward LIBOR curve as of September 30, 2021 would have resulted in a decrease of $17 million to the fair value of our interest rate derivatives. See Note 8 to our Condensed Consolidated Financial Statements for a discussion of our interest rate risk hedging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 liability of $1 million as of September 30, 2021. A 10% increase in the exchange rate (USD-to-CAD) would have resulted in an increase of $12 million to the fair value of our foreign currency derivatives. A 10% decrease in the exchange rate (USD-to-CAD) would have resulted in a decrease of $12 million to the fair value of our foreign currency derivatives. See Note 8 to our Condensed Consolidated Financial Statements for a discussion of our currency exchange rate risk hedging.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Preferred Distribution Rate Reset Option of PAA’s Series A preferred units is an embedded derivative that must be bifurcated from the related host contract, PAA’s partnership agreement, and recorded at fair value in our Condensed Consolidated Balance Sheets. The valuation model utilized for this embedded derivative contains inputs including PAA’s common unit price, ten-year United States treasury rates, default probabilities and timing estimates to ultimately calculate the fair value of PAA’s Series A preferred units with and without the Preferred Distribution Rate Reset Option. The fair value of this embedded derivative was a liability of $1 million as of September 30, 2021. A 10% increase or decrease in the fair value would have an impact of less than $1 million. See Note 8 to our Condensed Consolidated Financial Statements for a discussion of embedded derivatives.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7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September 30, 2021, the end of the period covered by this report, and, based on such evaluation, our Chief Executive Officer and Chief Financial Officer have concluded that our DCP is effective.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third quarter of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10 to our Condensed Consolidated Financial Statements, and is incorporated herein by reference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For a discussion of our risk factors, see Item 1A. of our 2020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Exhibit No.</w:t>
            </w:r>
          </w:p>
        </w:tc>
        <w:tc>
          <w:tcPr>
            <w:tcW w:w="5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gridSpan w:val="30"/>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280"/>
        </w:trPr>
        <w:tc>
          <w:tcPr>
            <w:tcW w:w="132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2"/>
          </w:tcPr>
          <w:p>
            <w:pPr>
              <w:spacing w:after="0"/>
              <w:rPr>
                <w:rFonts w:ascii="Arial" w:cs="Arial" w:eastAsia="Arial" w:hAnsi="Arial"/>
                <w:sz w:val="18"/>
                <w:szCs w:val="18"/>
                <w:color w:val="0000FF"/>
                <w:w w:val="96"/>
              </w:rPr>
            </w:pPr>
            <w:hyperlink r:id="rId83">
              <w:r>
                <w:rPr>
                  <w:rFonts w:ascii="Arial" w:cs="Arial" w:eastAsia="Arial" w:hAnsi="Arial"/>
                  <w:sz w:val="18"/>
                  <w:szCs w:val="18"/>
                  <w:color w:val="0000FF"/>
                  <w:w w:val="96"/>
                </w:rPr>
                <w:t>Agreement and Plan of Merger dated as of July 12, 2021 by and among Plains Pipeline, L.P., Plains Marketing, L.P., Oryx</w:t>
              </w:r>
            </w:hyperlink>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32"/>
          </w:tcPr>
          <w:p>
            <w:pPr>
              <w:spacing w:after="0" w:line="156" w:lineRule="exact"/>
              <w:rPr>
                <w:rFonts w:ascii="Arial" w:cs="Arial" w:eastAsia="Arial" w:hAnsi="Arial"/>
                <w:sz w:val="18"/>
                <w:szCs w:val="18"/>
                <w:color w:val="0000FF"/>
                <w:w w:val="96"/>
              </w:rPr>
            </w:pPr>
            <w:hyperlink r:id="rId83">
              <w:r>
                <w:rPr>
                  <w:rFonts w:ascii="Arial" w:cs="Arial" w:eastAsia="Arial" w:hAnsi="Arial"/>
                  <w:sz w:val="18"/>
                  <w:szCs w:val="18"/>
                  <w:color w:val="0000FF"/>
                  <w:w w:val="96"/>
                </w:rPr>
                <w:t>Midstream Holdings LLC, Middle Cadence Holdings LLC, POP HoldCo LLC, Oryx Wink Oil Marketing LLC, Oryx Permian</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25"/>
          </w:tcPr>
          <w:p>
            <w:pPr>
              <w:spacing w:after="0" w:line="156" w:lineRule="exact"/>
              <w:rPr>
                <w:rFonts w:ascii="Arial" w:cs="Arial" w:eastAsia="Arial" w:hAnsi="Arial"/>
                <w:sz w:val="18"/>
                <w:szCs w:val="18"/>
                <w:color w:val="0000FF"/>
                <w:w w:val="95"/>
              </w:rPr>
            </w:pPr>
            <w:hyperlink r:id="rId83">
              <w:r>
                <w:rPr>
                  <w:rFonts w:ascii="Arial" w:cs="Arial" w:eastAsia="Arial" w:hAnsi="Arial"/>
                  <w:sz w:val="18"/>
                  <w:szCs w:val="18"/>
                  <w:color w:val="0000FF"/>
                  <w:w w:val="95"/>
                </w:rPr>
                <w:t>Oil Marketing LLC, Plains Oryx Permian Basin LLC, Plains Oryx Permian Basin Marketing LLC and Plains Oryx Permian</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83">
              <w:r>
                <w:rPr>
                  <w:rFonts w:ascii="Arial" w:cs="Arial" w:eastAsia="Arial" w:hAnsi="Arial"/>
                  <w:sz w:val="18"/>
                  <w:szCs w:val="18"/>
                  <w:color w:val="0000FF"/>
                  <w:w w:val="92"/>
                </w:rPr>
                <w:t>Basin Pipeline LLC (incorporated by reference to Exhibit 2.1 to our Current Report on Form 8-K filed July 13, 2021).</w:t>
              </w:r>
            </w:hyperlink>
          </w:p>
        </w:tc>
        <w:tc>
          <w:tcPr>
            <w:tcW w:w="42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2"/>
          </w:tcPr>
          <w:p>
            <w:pPr>
              <w:spacing w:after="0"/>
              <w:rPr>
                <w:rFonts w:ascii="Arial" w:cs="Arial" w:eastAsia="Arial" w:hAnsi="Arial"/>
                <w:sz w:val="18"/>
                <w:szCs w:val="18"/>
                <w:color w:val="0000FF"/>
                <w:w w:val="97"/>
              </w:rPr>
            </w:pPr>
            <w:hyperlink r:id="rId84">
              <w:r>
                <w:rPr>
                  <w:rFonts w:ascii="Arial" w:cs="Arial" w:eastAsia="Arial" w:hAnsi="Arial"/>
                  <w:sz w:val="18"/>
                  <w:szCs w:val="18"/>
                  <w:color w:val="0000FF"/>
                  <w:w w:val="97"/>
                </w:rPr>
                <w:t>Certificate of Limited Partnership of Plains GP Holdings, L.P. (incorporated by reference to Exhibit 3.1 to our Registration</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Statement on Form S-1 (333-190227) filed July 29, 2013).</w:t>
              </w:r>
            </w:hyperlink>
          </w:p>
        </w:tc>
        <w:tc>
          <w:tcPr>
            <w:tcW w:w="46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2"/>
          </w:tcPr>
          <w:p>
            <w:pPr>
              <w:spacing w:after="0"/>
              <w:rPr>
                <w:rFonts w:ascii="Arial" w:cs="Arial" w:eastAsia="Arial" w:hAnsi="Arial"/>
                <w:sz w:val="18"/>
                <w:szCs w:val="18"/>
                <w:color w:val="0000FF"/>
                <w:w w:val="92"/>
              </w:rPr>
            </w:pPr>
            <w:hyperlink r:id="rId85">
              <w:r>
                <w:rPr>
                  <w:rFonts w:ascii="Arial" w:cs="Arial" w:eastAsia="Arial" w:hAnsi="Arial"/>
                  <w:sz w:val="18"/>
                  <w:szCs w:val="18"/>
                  <w:color w:val="0000FF"/>
                  <w:w w:val="92"/>
                </w:rPr>
                <w:t>Second Amended and Restated Agreement of Limited Partnership of Plains GP Holdings, L.P. dated as of November 15, 2016</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(incorporated by reference to Exhibit 3.2 to our Current Report on Form 8-K filed November 21, 2016).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2"/>
          </w:tcPr>
          <w:p>
            <w:pPr>
              <w:spacing w:after="0"/>
              <w:rPr>
                <w:rFonts w:ascii="Arial" w:cs="Arial" w:eastAsia="Arial" w:hAnsi="Arial"/>
                <w:sz w:val="18"/>
                <w:szCs w:val="18"/>
                <w:color w:val="0000FF"/>
                <w:w w:val="94"/>
              </w:rPr>
            </w:pPr>
            <w:hyperlink r:id="rId86">
              <w:r>
                <w:rPr>
                  <w:rFonts w:ascii="Arial" w:cs="Arial" w:eastAsia="Arial" w:hAnsi="Arial"/>
                  <w:sz w:val="18"/>
                  <w:szCs w:val="18"/>
                  <w:color w:val="0000FF"/>
                  <w:w w:val="94"/>
                </w:rPr>
                <w:t>Amendment No. 1 dated April 6, 2020 to the Second Amended and Restated Agreement of Limited Partnership of Plains GP</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86">
              <w:r>
                <w:rPr>
                  <w:rFonts w:ascii="Arial" w:cs="Arial" w:eastAsia="Arial" w:hAnsi="Arial"/>
                  <w:sz w:val="18"/>
                  <w:szCs w:val="18"/>
                  <w:color w:val="0000FF"/>
                </w:rPr>
                <w:t>Holdings, L.P. (incorporated by reference to Exhibit 3.1 to our Current Report on Form 8-K filed April 9, 2020).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2"/>
          </w:tcPr>
          <w:p>
            <w:pPr>
              <w:spacing w:after="0"/>
              <w:rPr>
                <w:rFonts w:ascii="Arial" w:cs="Arial" w:eastAsia="Arial" w:hAnsi="Arial"/>
                <w:sz w:val="18"/>
                <w:szCs w:val="18"/>
                <w:color w:val="0000FF"/>
                <w:w w:val="95"/>
              </w:rPr>
            </w:pPr>
            <w:hyperlink r:id="rId87">
              <w:r>
                <w:rPr>
                  <w:rFonts w:ascii="Arial" w:cs="Arial" w:eastAsia="Arial" w:hAnsi="Arial"/>
                  <w:sz w:val="18"/>
                  <w:szCs w:val="18"/>
                  <w:color w:val="0000FF"/>
                  <w:w w:val="95"/>
                </w:rPr>
                <w:t>Certificate of Formation of PAA GP Holdings LLC (incorporated by reference to Exhibit 3.3 to our Registration Statement on</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Form S-1 (333-190227) filed July 29, 2013).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2"/>
          </w:tcPr>
          <w:p>
            <w:pPr>
              <w:spacing w:after="0"/>
              <w:rPr>
                <w:rFonts w:ascii="Arial" w:cs="Arial" w:eastAsia="Arial" w:hAnsi="Arial"/>
                <w:sz w:val="18"/>
                <w:szCs w:val="18"/>
                <w:color w:val="0000FF"/>
                <w:w w:val="94"/>
              </w:rPr>
            </w:pPr>
            <w:hyperlink r:id="rId88">
              <w:r>
                <w:rPr>
                  <w:rFonts w:ascii="Arial" w:cs="Arial" w:eastAsia="Arial" w:hAnsi="Arial"/>
                  <w:sz w:val="18"/>
                  <w:szCs w:val="18"/>
                  <w:color w:val="0000FF"/>
                  <w:w w:val="94"/>
                </w:rPr>
                <w:t>Third Amended and Restated Limited Liability Company Agreement of PAA GP Holdings LLC dated as of February 16, 2017</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88">
              <w:r>
                <w:rPr>
                  <w:rFonts w:ascii="Arial" w:cs="Arial" w:eastAsia="Arial" w:hAnsi="Arial"/>
                  <w:sz w:val="18"/>
                  <w:szCs w:val="18"/>
                  <w:color w:val="0000FF"/>
                  <w:w w:val="91"/>
                </w:rPr>
                <w:t>(incorporated by reference to Exhibit 3.1 to our Current Report on Form 8-K filed February 21, 2017).</w:t>
              </w:r>
            </w:hyperlink>
          </w:p>
        </w:tc>
        <w:tc>
          <w:tcPr>
            <w:tcW w:w="1780" w:type="dxa"/>
            <w:vAlign w:val="bottom"/>
            <w:tcBorders>
              <w:top w:val="single" w:sz="8" w:color="0000FF"/>
            </w:tcBorders>
            <w:gridSpan w:val="2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2"/>
          </w:tcPr>
          <w:p>
            <w:pPr>
              <w:spacing w:after="0"/>
              <w:rPr>
                <w:rFonts w:ascii="Arial" w:cs="Arial" w:eastAsia="Arial" w:hAnsi="Arial"/>
                <w:sz w:val="18"/>
                <w:szCs w:val="18"/>
                <w:color w:val="0000FF"/>
                <w:w w:val="92"/>
              </w:rPr>
            </w:pPr>
            <w:hyperlink r:id="rId89">
              <w:r>
                <w:rPr>
                  <w:rFonts w:ascii="Arial" w:cs="Arial" w:eastAsia="Arial" w:hAnsi="Arial"/>
                  <w:sz w:val="18"/>
                  <w:szCs w:val="18"/>
                  <w:color w:val="0000FF"/>
                  <w:w w:val="92"/>
                </w:rPr>
                <w:t>Amendment No. 1 dated October 1, 2018 to the Third Amended and Restated Limited Liability Company Agreement of PAA GP</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89">
              <w:r>
                <w:rPr>
                  <w:rFonts w:ascii="Arial" w:cs="Arial" w:eastAsia="Arial" w:hAnsi="Arial"/>
                  <w:sz w:val="18"/>
                  <w:szCs w:val="18"/>
                  <w:color w:val="0000FF"/>
                  <w:w w:val="92"/>
                </w:rPr>
                <w:t>Holdings LLC (incorporated by reference to Exhibit 3.1 to our Current Report on Form 8-K filed August 20, 2018).</w:t>
              </w:r>
            </w:hyperlink>
          </w:p>
        </w:tc>
        <w:tc>
          <w:tcPr>
            <w:tcW w:w="100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2"/>
          </w:tcPr>
          <w:p>
            <w:pPr>
              <w:spacing w:after="0"/>
              <w:rPr>
                <w:rFonts w:ascii="Arial" w:cs="Arial" w:eastAsia="Arial" w:hAnsi="Arial"/>
                <w:sz w:val="18"/>
                <w:szCs w:val="18"/>
                <w:color w:val="0000FF"/>
                <w:w w:val="92"/>
              </w:rPr>
            </w:pPr>
            <w:hyperlink r:id="rId90">
              <w:r>
                <w:rPr>
                  <w:rFonts w:ascii="Arial" w:cs="Arial" w:eastAsia="Arial" w:hAnsi="Arial"/>
                  <w:sz w:val="18"/>
                  <w:szCs w:val="18"/>
                  <w:color w:val="0000FF"/>
                  <w:w w:val="92"/>
                </w:rPr>
                <w:t>Amendment No. 2 dated December 10, 2018 to the Third Amended and Restated Limited Liability Company Agreement of PAA</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2"/>
              </w:rPr>
            </w:pPr>
            <w:hyperlink r:id="rId90">
              <w:r>
                <w:rPr>
                  <w:rFonts w:ascii="Arial" w:cs="Arial" w:eastAsia="Arial" w:hAnsi="Arial"/>
                  <w:sz w:val="18"/>
                  <w:szCs w:val="18"/>
                  <w:color w:val="0000FF"/>
                  <w:w w:val="92"/>
                </w:rPr>
                <w:t>GP Holdings LLC (incorporated by reference to Exhibit 3.1 to our Current Report on Form 8-K filed December 11, 2018).</w:t>
              </w:r>
            </w:hyperlink>
          </w:p>
        </w:tc>
        <w:tc>
          <w:tcPr>
            <w:tcW w:w="4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2"/>
          </w:tcPr>
          <w:p>
            <w:pPr>
              <w:spacing w:after="0"/>
              <w:rPr>
                <w:rFonts w:ascii="Arial" w:cs="Arial" w:eastAsia="Arial" w:hAnsi="Arial"/>
                <w:sz w:val="18"/>
                <w:szCs w:val="18"/>
                <w:color w:val="0000FF"/>
                <w:w w:val="92"/>
              </w:rPr>
            </w:pPr>
            <w:hyperlink r:id="rId91">
              <w:r>
                <w:rPr>
                  <w:rFonts w:ascii="Arial" w:cs="Arial" w:eastAsia="Arial" w:hAnsi="Arial"/>
                  <w:sz w:val="18"/>
                  <w:szCs w:val="18"/>
                  <w:color w:val="0000FF"/>
                  <w:w w:val="92"/>
                </w:rPr>
                <w:t>Amendment No. 3 dated November 21, 2019 to the Third Amended and Restated Limited Liability Company Agreement of PAA</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2"/>
              </w:rPr>
            </w:pPr>
            <w:hyperlink r:id="rId91">
              <w:r>
                <w:rPr>
                  <w:rFonts w:ascii="Arial" w:cs="Arial" w:eastAsia="Arial" w:hAnsi="Arial"/>
                  <w:sz w:val="18"/>
                  <w:szCs w:val="18"/>
                  <w:color w:val="0000FF"/>
                  <w:w w:val="92"/>
                </w:rPr>
                <w:t>GP Holdings LLC (incorporated by reference to Exhibit 3.1 to our Current Report on Form 8-K filed November 27, 2019).</w:t>
              </w:r>
            </w:hyperlink>
          </w:p>
        </w:tc>
        <w:tc>
          <w:tcPr>
            <w:tcW w:w="46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2"/>
          </w:tcPr>
          <w:p>
            <w:pPr>
              <w:spacing w:after="0"/>
              <w:rPr>
                <w:rFonts w:ascii="Arial" w:cs="Arial" w:eastAsia="Arial" w:hAnsi="Arial"/>
                <w:sz w:val="18"/>
                <w:szCs w:val="18"/>
                <w:color w:val="0000FF"/>
                <w:w w:val="93"/>
              </w:rPr>
            </w:pPr>
            <w:hyperlink r:id="rId92">
              <w:r>
                <w:rPr>
                  <w:rFonts w:ascii="Arial" w:cs="Arial" w:eastAsia="Arial" w:hAnsi="Arial"/>
                  <w:sz w:val="18"/>
                  <w:szCs w:val="18"/>
                  <w:color w:val="0000FF"/>
                  <w:w w:val="93"/>
                </w:rPr>
                <w:t>Amendment No. 4 dated February 25, 2021 to the Third Amended and Restated Limited Liability Company Agreement of PAA</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92">
              <w:r>
                <w:rPr>
                  <w:rFonts w:ascii="Arial" w:cs="Arial" w:eastAsia="Arial" w:hAnsi="Arial"/>
                  <w:sz w:val="18"/>
                  <w:szCs w:val="18"/>
                  <w:color w:val="0000FF"/>
                </w:rPr>
                <w:t>GP Holdings LLC (incorporated by reference to Exhibit 3.1 to our Current Report on Form 8-K filed March 3, 2021).</w:t>
              </w:r>
            </w:hyperlink>
          </w:p>
        </w:tc>
        <w:tc>
          <w:tcPr>
            <w:tcW w:w="10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40" w:type="dxa"/>
            <w:vAlign w:val="bottom"/>
            <w:gridSpan w:val="3"/>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3.10</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2"/>
          </w:tcPr>
          <w:p>
            <w:pPr>
              <w:spacing w:after="0"/>
              <w:rPr>
                <w:rFonts w:ascii="Arial" w:cs="Arial" w:eastAsia="Arial" w:hAnsi="Arial"/>
                <w:sz w:val="18"/>
                <w:szCs w:val="18"/>
                <w:color w:val="0000FF"/>
                <w:w w:val="94"/>
              </w:rPr>
            </w:pPr>
            <w:hyperlink r:id="rId93">
              <w:r>
                <w:rPr>
                  <w:rFonts w:ascii="Arial" w:cs="Arial" w:eastAsia="Arial" w:hAnsi="Arial"/>
                  <w:sz w:val="18"/>
                  <w:szCs w:val="18"/>
                  <w:color w:val="0000FF"/>
                  <w:w w:val="94"/>
                </w:rPr>
                <w:t>Amendment No. 5 dated August 19, 2021 to the Third Amended and Restated Limited Liability Company Agreement of PAA</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22"/>
          </w:tcPr>
          <w:p>
            <w:pPr>
              <w:spacing w:after="0" w:line="156" w:lineRule="exact"/>
              <w:rPr>
                <w:rFonts w:ascii="Arial" w:cs="Arial" w:eastAsia="Arial" w:hAnsi="Arial"/>
                <w:sz w:val="18"/>
                <w:szCs w:val="18"/>
                <w:color w:val="0000FF"/>
                <w:w w:val="97"/>
              </w:rPr>
            </w:pPr>
            <w:hyperlink r:id="rId93">
              <w:r>
                <w:rPr>
                  <w:rFonts w:ascii="Arial" w:cs="Arial" w:eastAsia="Arial" w:hAnsi="Arial"/>
                  <w:sz w:val="18"/>
                  <w:szCs w:val="18"/>
                  <w:color w:val="0000FF"/>
                  <w:w w:val="97"/>
                </w:rPr>
                <w:t>GP Holdings LLC (incorporated by reference to Exhibit 3.1 to our Current Report on Form 8-K filed August 19, 2021).</w:t>
              </w:r>
            </w:hyperlink>
          </w:p>
        </w:tc>
        <w:tc>
          <w:tcPr>
            <w:tcW w:w="40" w:type="dxa"/>
            <w:vAlign w:val="bottom"/>
            <w:gridSpan w:val="2"/>
          </w:tcPr>
          <w:p>
            <w:pPr>
              <w:spacing w:after="0"/>
              <w:rPr>
                <w:sz w:val="13"/>
                <w:szCs w:val="13"/>
                <w:color w:val="auto"/>
              </w:rPr>
            </w:pPr>
          </w:p>
        </w:tc>
        <w:tc>
          <w:tcPr>
            <w:tcW w:w="18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40" w:type="dxa"/>
            <w:vAlign w:val="bottom"/>
            <w:gridSpan w:val="3"/>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2"/>
          </w:tcPr>
          <w:p>
            <w:pPr>
              <w:spacing w:after="0"/>
              <w:rPr>
                <w:rFonts w:ascii="Arial" w:cs="Arial" w:eastAsia="Arial" w:hAnsi="Arial"/>
                <w:sz w:val="18"/>
                <w:szCs w:val="18"/>
                <w:color w:val="0000FF"/>
                <w:w w:val="91"/>
              </w:rPr>
            </w:pPr>
            <w:hyperlink r:id="rId94">
              <w:r>
                <w:rPr>
                  <w:rFonts w:ascii="Arial" w:cs="Arial" w:eastAsia="Arial" w:hAnsi="Arial"/>
                  <w:sz w:val="18"/>
                  <w:szCs w:val="18"/>
                  <w:color w:val="0000FF"/>
                  <w:w w:val="91"/>
                </w:rPr>
                <w:t>Seventh Amended and Restated Agreement of Limited Partnership of Plains All American Pipeline, L.P., dated as of October 10,</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94">
              <w:r>
                <w:rPr>
                  <w:rFonts w:ascii="Arial" w:cs="Arial" w:eastAsia="Arial" w:hAnsi="Arial"/>
                  <w:sz w:val="18"/>
                  <w:szCs w:val="18"/>
                  <w:color w:val="0000FF"/>
                  <w:w w:val="91"/>
                </w:rPr>
                <w:t>2017 (incorporated by reference to Exhibit 3.1 to PAA's Current Report on Form 8-K filed October 12, 2017).</w:t>
              </w:r>
            </w:hyperlink>
          </w:p>
        </w:tc>
        <w:tc>
          <w:tcPr>
            <w:tcW w:w="1340" w:type="dxa"/>
            <w:vAlign w:val="bottom"/>
            <w:tcBorders>
              <w:top w:val="single" w:sz="8" w:color="0000FF"/>
            </w:tcBorders>
            <w:gridSpan w:val="2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2"/>
          </w:tcPr>
          <w:p>
            <w:pPr>
              <w:spacing w:after="0"/>
              <w:rPr>
                <w:rFonts w:ascii="Arial" w:cs="Arial" w:eastAsia="Arial" w:hAnsi="Arial"/>
                <w:sz w:val="18"/>
                <w:szCs w:val="18"/>
                <w:color w:val="0000FF"/>
                <w:w w:val="95"/>
              </w:rPr>
            </w:pPr>
            <w:hyperlink r:id="rId95">
              <w:r>
                <w:rPr>
                  <w:rFonts w:ascii="Arial" w:cs="Arial" w:eastAsia="Arial" w:hAnsi="Arial"/>
                  <w:sz w:val="18"/>
                  <w:szCs w:val="18"/>
                  <w:color w:val="0000FF"/>
                  <w:w w:val="95"/>
                </w:rPr>
                <w:t>Seventh Amended and Restated Limited Liability Company Agreement of Plains All American GP LLC dated November 15,</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95">
              <w:r>
                <w:rPr>
                  <w:rFonts w:ascii="Arial" w:cs="Arial" w:eastAsia="Arial" w:hAnsi="Arial"/>
                  <w:sz w:val="18"/>
                  <w:szCs w:val="18"/>
                  <w:color w:val="0000FF"/>
                </w:rPr>
                <w:t>2016 (incorporated by reference to Exhibit 3.3 to our Current Report on Form 8-K filed November 21, 2016).</w:t>
              </w:r>
            </w:hyperlink>
          </w:p>
        </w:tc>
        <w:tc>
          <w:tcPr>
            <w:tcW w:w="80" w:type="dxa"/>
            <w:vAlign w:val="bottom"/>
            <w:gridSpan w:val="4"/>
          </w:tcPr>
          <w:p>
            <w:pPr>
              <w:spacing w:after="0"/>
              <w:rPr>
                <w:sz w:val="13"/>
                <w:szCs w:val="13"/>
                <w:color w:val="auto"/>
              </w:rPr>
            </w:pPr>
          </w:p>
        </w:tc>
        <w:tc>
          <w:tcPr>
            <w:tcW w:w="240" w:type="dxa"/>
            <w:vAlign w:val="bottom"/>
            <w:gridSpan w:val="8"/>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40" w:type="dxa"/>
            <w:vAlign w:val="bottom"/>
            <w:gridSpan w:val="3"/>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11"/>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3.13</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2"/>
          </w:tcPr>
          <w:p>
            <w:pPr>
              <w:spacing w:after="0"/>
              <w:rPr>
                <w:rFonts w:ascii="Arial" w:cs="Arial" w:eastAsia="Arial" w:hAnsi="Arial"/>
                <w:sz w:val="18"/>
                <w:szCs w:val="18"/>
                <w:color w:val="0000FF"/>
                <w:w w:val="93"/>
              </w:rPr>
            </w:pPr>
            <w:hyperlink r:id="rId96">
              <w:r>
                <w:rPr>
                  <w:rFonts w:ascii="Arial" w:cs="Arial" w:eastAsia="Arial" w:hAnsi="Arial"/>
                  <w:sz w:val="18"/>
                  <w:szCs w:val="18"/>
                  <w:color w:val="0000FF"/>
                  <w:w w:val="93"/>
                </w:rPr>
                <w:t>Eighth Amended and Restated Limited Partnership Agreement of Plains AAP, L.P. dated November 15, 2016 (incorporated by</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reference to Exhibit 3.4 to our Current Report on Form 8-K filed November 21, 2016).</w:t>
              </w:r>
            </w:hyperlink>
          </w:p>
        </w:tc>
        <w:tc>
          <w:tcPr>
            <w:tcW w:w="240" w:type="dxa"/>
            <w:vAlign w:val="bottom"/>
            <w:gridSpan w:val="8"/>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40" w:type="dxa"/>
            <w:vAlign w:val="bottom"/>
            <w:gridSpan w:val="3"/>
            <w:shd w:val="clear" w:color="auto" w:fill="0000FF"/>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000" w:type="dxa"/>
            <w:vAlign w:val="bottom"/>
            <w:gridSpan w:val="11"/>
          </w:tcPr>
          <w:p>
            <w:pPr>
              <w:spacing w:after="0" w:line="20" w:lineRule="exact"/>
              <w:rPr>
                <w:sz w:val="1"/>
                <w:szCs w:val="1"/>
                <w:color w:val="auto"/>
              </w:rPr>
            </w:pPr>
          </w:p>
        </w:tc>
        <w:tc>
          <w:tcPr>
            <w:tcW w:w="400" w:type="dxa"/>
            <w:vAlign w:val="bottom"/>
            <w:gridSpan w:val="14"/>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3.14</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32"/>
          </w:tcPr>
          <w:p>
            <w:pPr>
              <w:spacing w:after="0"/>
              <w:rPr>
                <w:rFonts w:ascii="Arial" w:cs="Arial" w:eastAsia="Arial" w:hAnsi="Arial"/>
                <w:sz w:val="18"/>
                <w:szCs w:val="18"/>
                <w:color w:val="0000FF"/>
                <w:w w:val="94"/>
              </w:rPr>
            </w:pPr>
            <w:hyperlink r:id="rId97">
              <w:r>
                <w:rPr>
                  <w:rFonts w:ascii="Arial" w:cs="Arial" w:eastAsia="Arial" w:hAnsi="Arial"/>
                  <w:sz w:val="18"/>
                  <w:szCs w:val="18"/>
                  <w:color w:val="0000FF"/>
                  <w:w w:val="94"/>
                </w:rPr>
                <w:t>Amendment No. 1 dated September 26, 2018 to the Eighth Amended and Restated Limited Partnership Agreement of Plains</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97">
              <w:r>
                <w:rPr>
                  <w:rFonts w:ascii="Arial" w:cs="Arial" w:eastAsia="Arial" w:hAnsi="Arial"/>
                  <w:sz w:val="18"/>
                  <w:szCs w:val="18"/>
                  <w:color w:val="0000FF"/>
                </w:rPr>
                <w:t>AAP, L.P. (incorporated by reference to Exhibit 3.1 to our Current Report on Form 8-K filed October 2, 2018).</w:t>
              </w:r>
            </w:hyperlink>
          </w:p>
        </w:tc>
        <w:tc>
          <w:tcPr>
            <w:tcW w:w="400" w:type="dxa"/>
            <w:vAlign w:val="bottom"/>
            <w:gridSpan w:val="14"/>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80" w:type="dxa"/>
            <w:vAlign w:val="bottom"/>
          </w:tcPr>
          <w:p>
            <w:pPr>
              <w:jc w:val="center"/>
              <w:ind w:right="170"/>
              <w:spacing w:after="0"/>
              <w:rPr>
                <w:sz w:val="20"/>
                <w:szCs w:val="20"/>
                <w:color w:val="auto"/>
              </w:rPr>
            </w:pPr>
            <w:r>
              <w:rPr>
                <w:rFonts w:ascii="Arial" w:cs="Arial" w:eastAsia="Arial" w:hAnsi="Arial"/>
                <w:sz w:val="18"/>
                <w:szCs w:val="18"/>
                <w:color w:val="auto"/>
                <w:w w:val="91"/>
              </w:rPr>
              <w:t>3.15</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40" w:type="dxa"/>
            <w:vAlign w:val="bottom"/>
            <w:gridSpan w:val="30"/>
          </w:tcPr>
          <w:p>
            <w:pPr>
              <w:spacing w:after="0"/>
              <w:rPr>
                <w:rFonts w:ascii="Arial" w:cs="Arial" w:eastAsia="Arial" w:hAnsi="Arial"/>
                <w:sz w:val="18"/>
                <w:szCs w:val="18"/>
                <w:color w:val="0000FF"/>
                <w:w w:val="91"/>
              </w:rPr>
            </w:pPr>
            <w:hyperlink r:id="rId99">
              <w:r>
                <w:rPr>
                  <w:rFonts w:ascii="Arial" w:cs="Arial" w:eastAsia="Arial" w:hAnsi="Arial"/>
                  <w:sz w:val="18"/>
                  <w:szCs w:val="18"/>
                  <w:color w:val="0000FF"/>
                  <w:w w:val="91"/>
                </w:rPr>
                <w:t>Amendment No. 2 dated May 23, 2019 to the Eighth Amended and Restated Limited Partnership Agreement of Plains AAP, L.P.</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99">
              <w:r>
                <w:rPr>
                  <w:rFonts w:ascii="Arial" w:cs="Arial" w:eastAsia="Arial" w:hAnsi="Arial"/>
                  <w:sz w:val="18"/>
                  <w:szCs w:val="18"/>
                  <w:color w:val="0000FF"/>
                  <w:w w:val="92"/>
                </w:rPr>
                <w:t>(incorporated by reference to Exhibit 3.1 to our Current Report on Form 8-K filed May 30, 2019).</w:t>
              </w:r>
            </w:hyperlink>
          </w:p>
        </w:tc>
        <w:tc>
          <w:tcPr>
            <w:tcW w:w="2200" w:type="dxa"/>
            <w:vAlign w:val="bottom"/>
            <w:tcBorders>
              <w:top w:val="single" w:sz="8" w:color="0000FF"/>
            </w:tcBorders>
            <w:gridSpan w:val="20"/>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80" w:type="dxa"/>
            <w:vAlign w:val="bottom"/>
          </w:tcPr>
          <w:p>
            <w:pPr>
              <w:jc w:val="center"/>
              <w:ind w:right="170"/>
              <w:spacing w:after="0"/>
              <w:rPr>
                <w:sz w:val="20"/>
                <w:szCs w:val="20"/>
                <w:color w:val="auto"/>
              </w:rPr>
            </w:pPr>
            <w:r>
              <w:rPr>
                <w:rFonts w:ascii="Arial" w:cs="Arial" w:eastAsia="Arial" w:hAnsi="Arial"/>
                <w:sz w:val="18"/>
                <w:szCs w:val="18"/>
                <w:color w:val="auto"/>
                <w:w w:val="91"/>
              </w:rPr>
              <w:t>3.16</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40" w:type="dxa"/>
            <w:vAlign w:val="bottom"/>
            <w:gridSpan w:val="30"/>
          </w:tcPr>
          <w:p>
            <w:pPr>
              <w:spacing w:after="0"/>
              <w:rPr>
                <w:rFonts w:ascii="Arial" w:cs="Arial" w:eastAsia="Arial" w:hAnsi="Arial"/>
                <w:sz w:val="18"/>
                <w:szCs w:val="18"/>
                <w:color w:val="0000FF"/>
                <w:w w:val="94"/>
              </w:rPr>
            </w:pPr>
            <w:hyperlink r:id="rId100">
              <w:r>
                <w:rPr>
                  <w:rFonts w:ascii="Arial" w:cs="Arial" w:eastAsia="Arial" w:hAnsi="Arial"/>
                  <w:sz w:val="18"/>
                  <w:szCs w:val="18"/>
                  <w:color w:val="0000FF"/>
                  <w:w w:val="94"/>
                </w:rPr>
                <w:t>Limited Liability Company Agreement of PAA GP LLC dated December 28, 2007 (incorporated by reference to Exhibit 3.3 to</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1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00">
              <w:r>
                <w:rPr>
                  <w:rFonts w:ascii="Arial" w:cs="Arial" w:eastAsia="Arial" w:hAnsi="Arial"/>
                  <w:sz w:val="18"/>
                  <w:szCs w:val="18"/>
                  <w:color w:val="0000FF"/>
                </w:rPr>
                <w:t>PAA’s Current Report on Form 8-K filed January 4, 2008).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4.1</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40" w:type="dxa"/>
            <w:vAlign w:val="bottom"/>
            <w:gridSpan w:val="30"/>
          </w:tcPr>
          <w:p>
            <w:pPr>
              <w:spacing w:after="0"/>
              <w:rPr>
                <w:rFonts w:ascii="Arial" w:cs="Arial" w:eastAsia="Arial" w:hAnsi="Arial"/>
                <w:sz w:val="18"/>
                <w:szCs w:val="18"/>
                <w:color w:val="0000FF"/>
                <w:w w:val="97"/>
              </w:rPr>
            </w:pPr>
            <w:hyperlink r:id="rId101">
              <w:r>
                <w:rPr>
                  <w:rFonts w:ascii="Arial" w:cs="Arial" w:eastAsia="Arial" w:hAnsi="Arial"/>
                  <w:sz w:val="18"/>
                  <w:szCs w:val="18"/>
                  <w:color w:val="0000FF"/>
                  <w:w w:val="97"/>
                </w:rPr>
                <w:t>Indenture dated September 25, 2002 among Plains All American Pipeline, L.P., PAA Finance Corp. and Wachovia Bank,</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340" w:type="dxa"/>
            <w:vAlign w:val="bottom"/>
            <w:gridSpan w:val="30"/>
          </w:tcPr>
          <w:p>
            <w:pPr>
              <w:spacing w:after="0" w:line="156" w:lineRule="exact"/>
              <w:rPr>
                <w:rFonts w:ascii="Arial" w:cs="Arial" w:eastAsia="Arial" w:hAnsi="Arial"/>
                <w:sz w:val="18"/>
                <w:szCs w:val="18"/>
                <w:color w:val="0000FF"/>
                <w:w w:val="96"/>
              </w:rPr>
            </w:pPr>
            <w:hyperlink r:id="rId101">
              <w:r>
                <w:rPr>
                  <w:rFonts w:ascii="Arial" w:cs="Arial" w:eastAsia="Arial" w:hAnsi="Arial"/>
                  <w:sz w:val="18"/>
                  <w:szCs w:val="18"/>
                  <w:color w:val="0000FF"/>
                  <w:w w:val="96"/>
                </w:rPr>
                <w:t>National Association, as trustee (incorporated by reference to Exhibit 4.1 to PAA’s Quarterly Report on Form 10-Q for the</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5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101">
              <w:r>
                <w:rPr>
                  <w:rFonts w:ascii="Arial" w:cs="Arial" w:eastAsia="Arial" w:hAnsi="Arial"/>
                  <w:sz w:val="18"/>
                  <w:szCs w:val="18"/>
                  <w:color w:val="0000FF"/>
                  <w:w w:val="87"/>
                </w:rPr>
                <w:t>quarter ended September 30, 2002).</w:t>
              </w:r>
            </w:hyperlink>
          </w:p>
        </w:tc>
        <w:tc>
          <w:tcPr>
            <w:tcW w:w="62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4.2</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40" w:type="dxa"/>
            <w:vAlign w:val="bottom"/>
            <w:gridSpan w:val="30"/>
          </w:tcPr>
          <w:p>
            <w:pPr>
              <w:spacing w:after="0"/>
              <w:rPr>
                <w:rFonts w:ascii="Arial" w:cs="Arial" w:eastAsia="Arial" w:hAnsi="Arial"/>
                <w:sz w:val="18"/>
                <w:szCs w:val="18"/>
                <w:color w:val="0000FF"/>
                <w:w w:val="95"/>
              </w:rPr>
            </w:pPr>
            <w:hyperlink r:id="rId102">
              <w:r>
                <w:rPr>
                  <w:rFonts w:ascii="Arial" w:cs="Arial" w:eastAsia="Arial" w:hAnsi="Arial"/>
                  <w:sz w:val="18"/>
                  <w:szCs w:val="18"/>
                  <w:color w:val="0000FF"/>
                  <w:w w:val="95"/>
                </w:rPr>
                <w:t>Sixth Supplemental Indenture (Series A and Series B 6.70% Senior Notes due 2036) dated May 12, 2006 among Plains All</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900" w:type="dxa"/>
            <w:vAlign w:val="bottom"/>
            <w:tcBorders>
              <w:top w:val="single" w:sz="8" w:color="0000FF"/>
            </w:tcBorders>
            <w:gridSpan w:val="19"/>
          </w:tcPr>
          <w:p>
            <w:pPr>
              <w:spacing w:after="0" w:line="156" w:lineRule="exact"/>
              <w:rPr>
                <w:rFonts w:ascii="Arial" w:cs="Arial" w:eastAsia="Arial" w:hAnsi="Arial"/>
                <w:sz w:val="18"/>
                <w:szCs w:val="18"/>
                <w:color w:val="0000FF"/>
                <w:w w:val="95"/>
              </w:rPr>
            </w:pPr>
            <w:hyperlink r:id="rId102">
              <w:r>
                <w:rPr>
                  <w:rFonts w:ascii="Arial" w:cs="Arial" w:eastAsia="Arial" w:hAnsi="Arial"/>
                  <w:sz w:val="18"/>
                  <w:szCs w:val="18"/>
                  <w:color w:val="0000FF"/>
                  <w:w w:val="95"/>
                </w:rPr>
                <w:t>American Pipeline, L.P., PAA Finance Corp., the Subsidiary Guarantors named therein and Wachovia Bank, National</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2"/>
              </w:rPr>
            </w:pPr>
            <w:hyperlink r:id="rId102">
              <w:r>
                <w:rPr>
                  <w:rFonts w:ascii="Arial" w:cs="Arial" w:eastAsia="Arial" w:hAnsi="Arial"/>
                  <w:sz w:val="18"/>
                  <w:szCs w:val="18"/>
                  <w:color w:val="0000FF"/>
                  <w:w w:val="92"/>
                </w:rPr>
                <w:t>Association, as trustee (incorporated by reference to Exhibit 4.1 to PAA’s Current Report on Form 8-K filed May 12,</w:t>
              </w:r>
            </w:hyperlink>
          </w:p>
        </w:tc>
        <w:tc>
          <w:tcPr>
            <w:tcW w:w="460" w:type="dxa"/>
            <w:vAlign w:val="bottom"/>
            <w:tcBorders>
              <w:bottom w:val="single" w:sz="8" w:color="0000FF"/>
            </w:tcBorders>
            <w:gridSpan w:val="10"/>
          </w:tcPr>
          <w:p>
            <w:pPr>
              <w:jc w:val="right"/>
              <w:spacing w:after="0" w:line="156" w:lineRule="exact"/>
              <w:rPr>
                <w:rFonts w:ascii="Arial" w:cs="Arial" w:eastAsia="Arial" w:hAnsi="Arial"/>
                <w:sz w:val="18"/>
                <w:szCs w:val="18"/>
                <w:color w:val="0000FF"/>
                <w:w w:val="86"/>
              </w:rPr>
            </w:pPr>
            <w:hyperlink r:id="rId102">
              <w:r>
                <w:rPr>
                  <w:rFonts w:ascii="Arial" w:cs="Arial" w:eastAsia="Arial" w:hAnsi="Arial"/>
                  <w:sz w:val="18"/>
                  <w:szCs w:val="18"/>
                  <w:color w:val="0000FF"/>
                  <w:w w:val="86"/>
                </w:rPr>
                <w:t>2006).</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4.3</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40" w:type="dxa"/>
            <w:vAlign w:val="bottom"/>
            <w:gridSpan w:val="30"/>
          </w:tcPr>
          <w:p>
            <w:pPr>
              <w:spacing w:after="0"/>
              <w:rPr>
                <w:rFonts w:ascii="Arial" w:cs="Arial" w:eastAsia="Arial" w:hAnsi="Arial"/>
                <w:sz w:val="18"/>
                <w:szCs w:val="18"/>
                <w:color w:val="0000FF"/>
                <w:w w:val="91"/>
              </w:rPr>
            </w:pPr>
            <w:hyperlink r:id="rId103">
              <w:r>
                <w:rPr>
                  <w:rFonts w:ascii="Arial" w:cs="Arial" w:eastAsia="Arial" w:hAnsi="Arial"/>
                  <w:sz w:val="18"/>
                  <w:szCs w:val="18"/>
                  <w:color w:val="0000FF"/>
                  <w:w w:val="91"/>
                </w:rPr>
                <w:t>Tenth Supplemental Indenture (Series A and Series B 6.650% Senior Notes due 2037) dated October 30, 2006 among Plains All</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20" w:type="dxa"/>
            <w:vAlign w:val="bottom"/>
            <w:tcBorders>
              <w:top w:val="single" w:sz="8" w:color="0000FF"/>
            </w:tcBorders>
            <w:gridSpan w:val="27"/>
          </w:tcPr>
          <w:p>
            <w:pPr>
              <w:spacing w:after="0" w:line="156"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American Pipeline, L.P., PAA Finance Corp., the Subsidiary Guarantors named therein and U.S. Bank National Association, as</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trustee (incorporated by reference to Exhibit 4.2 to PAA’s Current Report on Form 8-K filed October 30, 2006).</w:t>
              </w:r>
            </w:hyperlink>
          </w:p>
        </w:tc>
        <w:tc>
          <w:tcPr>
            <w:tcW w:w="11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4.4</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40" w:type="dxa"/>
            <w:vAlign w:val="bottom"/>
            <w:gridSpan w:val="30"/>
          </w:tcPr>
          <w:p>
            <w:pPr>
              <w:spacing w:after="0"/>
              <w:rPr>
                <w:rFonts w:ascii="Arial" w:cs="Arial" w:eastAsia="Arial" w:hAnsi="Arial"/>
                <w:sz w:val="18"/>
                <w:szCs w:val="18"/>
                <w:color w:val="0000FF"/>
                <w:w w:val="92"/>
              </w:rPr>
            </w:pPr>
            <w:hyperlink r:id="rId104">
              <w:r>
                <w:rPr>
                  <w:rFonts w:ascii="Arial" w:cs="Arial" w:eastAsia="Arial" w:hAnsi="Arial"/>
                  <w:sz w:val="18"/>
                  <w:szCs w:val="18"/>
                  <w:color w:val="0000FF"/>
                  <w:w w:val="92"/>
                </w:rPr>
                <w:t>Twentieth Supplemental Indenture (3.65% Senior Notes due 2022) dated March 22, 2012 among Plains All American Pipeline,</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160" w:type="dxa"/>
            <w:vAlign w:val="bottom"/>
            <w:tcBorders>
              <w:top w:val="single" w:sz="8" w:color="0000FF"/>
            </w:tcBorders>
            <w:gridSpan w:val="25"/>
          </w:tcPr>
          <w:p>
            <w:pPr>
              <w:spacing w:after="0" w:line="156" w:lineRule="exact"/>
              <w:rPr>
                <w:rFonts w:ascii="Arial" w:cs="Arial" w:eastAsia="Arial" w:hAnsi="Arial"/>
                <w:sz w:val="18"/>
                <w:szCs w:val="18"/>
                <w:color w:val="0000FF"/>
                <w:w w:val="94"/>
              </w:rPr>
            </w:pPr>
            <w:hyperlink r:id="rId104">
              <w:r>
                <w:rPr>
                  <w:rFonts w:ascii="Arial" w:cs="Arial" w:eastAsia="Arial" w:hAnsi="Arial"/>
                  <w:sz w:val="18"/>
                  <w:szCs w:val="18"/>
                  <w:color w:val="0000FF"/>
                  <w:w w:val="94"/>
                </w:rPr>
                <w:t>L.P., PAA Finance Corp and U.S. Bank National Association, as trustee (incorporated by reference to Exhibit 4.1 to PAA’s</w:t>
              </w:r>
            </w:hyperlink>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104">
              <w:r>
                <w:rPr>
                  <w:rFonts w:ascii="Arial" w:cs="Arial" w:eastAsia="Arial" w:hAnsi="Arial"/>
                  <w:sz w:val="18"/>
                  <w:szCs w:val="18"/>
                  <w:color w:val="0000FF"/>
                  <w:w w:val="92"/>
                </w:rPr>
                <w:t>Current Report on Form 8-K filed March 26, 2012).</w:t>
              </w:r>
            </w:hyperlink>
          </w:p>
        </w:tc>
        <w:tc>
          <w:tcPr>
            <w:tcW w:w="50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4.5</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40" w:type="dxa"/>
            <w:vAlign w:val="bottom"/>
            <w:gridSpan w:val="30"/>
          </w:tcPr>
          <w:p>
            <w:pPr>
              <w:spacing w:after="0"/>
              <w:rPr>
                <w:rFonts w:ascii="Arial" w:cs="Arial" w:eastAsia="Arial" w:hAnsi="Arial"/>
                <w:sz w:val="18"/>
                <w:szCs w:val="18"/>
                <w:color w:val="0000FF"/>
                <w:w w:val="97"/>
              </w:rPr>
            </w:pPr>
            <w:hyperlink r:id="rId105">
              <w:r>
                <w:rPr>
                  <w:rFonts w:ascii="Arial" w:cs="Arial" w:eastAsia="Arial" w:hAnsi="Arial"/>
                  <w:sz w:val="18"/>
                  <w:szCs w:val="18"/>
                  <w:color w:val="0000FF"/>
                  <w:w w:val="97"/>
                </w:rPr>
                <w:t>Twenty-First Supplemental Indenture (5.15% Senior Notes due 2042) dated March 22, 2012 among Plains All American</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1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340" w:type="dxa"/>
            <w:vAlign w:val="bottom"/>
            <w:gridSpan w:val="30"/>
          </w:tcPr>
          <w:p>
            <w:pPr>
              <w:spacing w:after="0" w:line="156" w:lineRule="exact"/>
              <w:rPr>
                <w:rFonts w:ascii="Arial" w:cs="Arial" w:eastAsia="Arial" w:hAnsi="Arial"/>
                <w:sz w:val="18"/>
                <w:szCs w:val="18"/>
                <w:color w:val="0000FF"/>
                <w:w w:val="94"/>
              </w:rPr>
            </w:pPr>
            <w:hyperlink r:id="rId105">
              <w:r>
                <w:rPr>
                  <w:rFonts w:ascii="Arial" w:cs="Arial" w:eastAsia="Arial" w:hAnsi="Arial"/>
                  <w:sz w:val="18"/>
                  <w:szCs w:val="18"/>
                  <w:color w:val="0000FF"/>
                  <w:w w:val="94"/>
                </w:rPr>
                <w:t>Pipeline, L.P., PAA Finance Corp and U.S. Bank National Association, as trustee (incorporated by reference to Exhibit 4.3 to</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PAA’s Current Report on Form 8-K filed March 26, 2012).</w:t>
              </w:r>
            </w:hyperlink>
          </w:p>
        </w:tc>
        <w:tc>
          <w:tcPr>
            <w:tcW w:w="200" w:type="dxa"/>
            <w:vAlign w:val="bottom"/>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4.6</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40" w:type="dxa"/>
            <w:vAlign w:val="bottom"/>
            <w:gridSpan w:val="30"/>
          </w:tcPr>
          <w:p>
            <w:pPr>
              <w:spacing w:after="0"/>
              <w:rPr>
                <w:rFonts w:ascii="Arial" w:cs="Arial" w:eastAsia="Arial" w:hAnsi="Arial"/>
                <w:sz w:val="18"/>
                <w:szCs w:val="18"/>
                <w:color w:val="0000FF"/>
                <w:w w:val="93"/>
              </w:rPr>
            </w:pPr>
            <w:hyperlink r:id="rId106">
              <w:r>
                <w:rPr>
                  <w:rFonts w:ascii="Arial" w:cs="Arial" w:eastAsia="Arial" w:hAnsi="Arial"/>
                  <w:sz w:val="18"/>
                  <w:szCs w:val="18"/>
                  <w:color w:val="0000FF"/>
                  <w:w w:val="93"/>
                </w:rPr>
                <w:t>Twenty-Second Supplemental Indenture (2.85% Senior Notes due 2023) dated December 10, 2012, by and among Plains All</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980" w:type="dxa"/>
            <w:vAlign w:val="bottom"/>
            <w:tcBorders>
              <w:top w:val="single" w:sz="8" w:color="0000FF"/>
            </w:tcBorders>
            <w:gridSpan w:val="21"/>
          </w:tcPr>
          <w:p>
            <w:pPr>
              <w:spacing w:after="0" w:line="156" w:lineRule="exact"/>
              <w:rPr>
                <w:rFonts w:ascii="Arial" w:cs="Arial" w:eastAsia="Arial" w:hAnsi="Arial"/>
                <w:sz w:val="18"/>
                <w:szCs w:val="18"/>
                <w:color w:val="0000FF"/>
                <w:w w:val="92"/>
              </w:rPr>
            </w:pPr>
            <w:hyperlink r:id="rId106">
              <w:r>
                <w:rPr>
                  <w:rFonts w:ascii="Arial" w:cs="Arial" w:eastAsia="Arial" w:hAnsi="Arial"/>
                  <w:sz w:val="18"/>
                  <w:szCs w:val="18"/>
                  <w:color w:val="0000FF"/>
                  <w:w w:val="92"/>
                </w:rPr>
                <w:t>American Pipeline, L.P., PAA Finance Corp. and U.S. Bank National Association, as trustee (incorporated by reference to</w:t>
              </w:r>
            </w:hyperlink>
          </w:p>
        </w:tc>
        <w:tc>
          <w:tcPr>
            <w:tcW w:w="220" w:type="dxa"/>
            <w:vAlign w:val="bottom"/>
            <w:gridSpan w:val="5"/>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7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Exhibit 4.1 to PAA’s Current Report on Form 8-K filed December 12, 2012).</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8"/>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4.7</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40" w:type="dxa"/>
            <w:vAlign w:val="bottom"/>
            <w:gridSpan w:val="30"/>
          </w:tcPr>
          <w:p>
            <w:pPr>
              <w:spacing w:after="0"/>
              <w:rPr>
                <w:rFonts w:ascii="Arial" w:cs="Arial" w:eastAsia="Arial" w:hAnsi="Arial"/>
                <w:sz w:val="18"/>
                <w:szCs w:val="18"/>
                <w:color w:val="0000FF"/>
                <w:w w:val="95"/>
              </w:rPr>
            </w:pPr>
            <w:hyperlink r:id="rId107">
              <w:r>
                <w:rPr>
                  <w:rFonts w:ascii="Arial" w:cs="Arial" w:eastAsia="Arial" w:hAnsi="Arial"/>
                  <w:sz w:val="18"/>
                  <w:szCs w:val="18"/>
                  <w:color w:val="0000FF"/>
                  <w:w w:val="95"/>
                </w:rPr>
                <w:t>Twenty-Third Supplemental Indenture (4.30% Senior Notes due 2043) dated December 10, 2012, by and among Plains All</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80" w:type="dxa"/>
            <w:vAlign w:val="bottom"/>
            <w:tcBorders>
              <w:top w:val="single" w:sz="8" w:color="0000FF"/>
            </w:tcBorders>
            <w:gridSpan w:val="18"/>
          </w:tcPr>
          <w:p>
            <w:pPr>
              <w:spacing w:after="0" w:line="156"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American Pipeline, L.P., PAA Finance Corp. and U.S. Bank National Association, as trustee (incorporated by reference to</w:t>
              </w:r>
            </w:hyperlink>
          </w:p>
        </w:tc>
        <w:tc>
          <w:tcPr>
            <w:tcW w:w="320" w:type="dxa"/>
            <w:vAlign w:val="bottom"/>
            <w:gridSpan w:val="8"/>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7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Exhibit 4.3 to PAA’s Current Report on Form 8-K filed December 12, 2012).</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9"/>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4.8</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40" w:type="dxa"/>
            <w:vAlign w:val="bottom"/>
            <w:gridSpan w:val="30"/>
          </w:tcPr>
          <w:p>
            <w:pPr>
              <w:spacing w:after="0"/>
              <w:rPr>
                <w:rFonts w:ascii="Arial" w:cs="Arial" w:eastAsia="Arial" w:hAnsi="Arial"/>
                <w:sz w:val="18"/>
                <w:szCs w:val="18"/>
                <w:color w:val="0000FF"/>
                <w:w w:val="97"/>
              </w:rPr>
            </w:pPr>
            <w:hyperlink r:id="rId108">
              <w:r>
                <w:rPr>
                  <w:rFonts w:ascii="Arial" w:cs="Arial" w:eastAsia="Arial" w:hAnsi="Arial"/>
                  <w:sz w:val="18"/>
                  <w:szCs w:val="18"/>
                  <w:color w:val="0000FF"/>
                  <w:w w:val="97"/>
                </w:rPr>
                <w:t>Twenty-Fourth Supplemental Indenture (3.85% Senior Notes due 2023) dated August 15, 2013, by and among Plains All</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3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340" w:type="dxa"/>
            <w:vAlign w:val="bottom"/>
            <w:gridSpan w:val="30"/>
          </w:tcPr>
          <w:p>
            <w:pPr>
              <w:spacing w:after="0" w:line="156" w:lineRule="exact"/>
              <w:rPr>
                <w:rFonts w:ascii="Arial" w:cs="Arial" w:eastAsia="Arial" w:hAnsi="Arial"/>
                <w:sz w:val="18"/>
                <w:szCs w:val="18"/>
                <w:color w:val="0000FF"/>
                <w:w w:val="96"/>
              </w:rPr>
            </w:pPr>
            <w:hyperlink r:id="rId108">
              <w:r>
                <w:rPr>
                  <w:rFonts w:ascii="Arial" w:cs="Arial" w:eastAsia="Arial" w:hAnsi="Arial"/>
                  <w:sz w:val="18"/>
                  <w:szCs w:val="18"/>
                  <w:color w:val="0000FF"/>
                  <w:w w:val="96"/>
                </w:rPr>
                <w:t>American Pipeline, L.P., PAA Finance Corp. and U.S. Bank National Association, as trustee (incorporated by reference to</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7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08">
              <w:r>
                <w:rPr>
                  <w:rFonts w:ascii="Arial" w:cs="Arial" w:eastAsia="Arial" w:hAnsi="Arial"/>
                  <w:sz w:val="18"/>
                  <w:szCs w:val="18"/>
                  <w:color w:val="0000FF"/>
                </w:rPr>
                <w:t>Exhibit 4.1 to PAA’s Current Report on Form 8-K filed August 15, 2013).</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9"/>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0" w:type="dxa"/>
            <w:vAlign w:val="bottom"/>
          </w:tcPr>
          <w:p>
            <w:pPr>
              <w:jc w:val="center"/>
              <w:ind w:right="150"/>
              <w:spacing w:after="0"/>
              <w:rPr>
                <w:sz w:val="20"/>
                <w:szCs w:val="20"/>
                <w:color w:val="auto"/>
              </w:rPr>
            </w:pPr>
            <w:r>
              <w:rPr>
                <w:rFonts w:ascii="Arial" w:cs="Arial" w:eastAsia="Arial" w:hAnsi="Arial"/>
                <w:sz w:val="18"/>
                <w:szCs w:val="18"/>
                <w:color w:val="auto"/>
                <w:w w:val="87"/>
              </w:rPr>
              <w:t>4.9</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200" w:type="dxa"/>
            <w:vAlign w:val="bottom"/>
            <w:tcBorders>
              <w:bottom w:val="single" w:sz="8" w:color="0000FF"/>
            </w:tcBorders>
            <w:gridSpan w:val="26"/>
          </w:tcPr>
          <w:p>
            <w:pPr>
              <w:spacing w:after="0"/>
              <w:rPr>
                <w:rFonts w:ascii="Arial" w:cs="Arial" w:eastAsia="Arial" w:hAnsi="Arial"/>
                <w:sz w:val="18"/>
                <w:szCs w:val="18"/>
                <w:color w:val="0000FF"/>
                <w:w w:val="91"/>
              </w:rPr>
            </w:pPr>
            <w:hyperlink r:id="rId109">
              <w:r>
                <w:rPr>
                  <w:rFonts w:ascii="Arial" w:cs="Arial" w:eastAsia="Arial" w:hAnsi="Arial"/>
                  <w:sz w:val="18"/>
                  <w:szCs w:val="18"/>
                  <w:color w:val="0000FF"/>
                  <w:w w:val="91"/>
                </w:rPr>
                <w:t>Twenty-Fifth Supplemental Indenture (4.70% Senior Notes due 2044) dated April 23, 2014, by and among Plains All American</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340" w:type="dxa"/>
            <w:vAlign w:val="bottom"/>
            <w:gridSpan w:val="30"/>
          </w:tcPr>
          <w:p>
            <w:pPr>
              <w:spacing w:after="0" w:line="156" w:lineRule="exact"/>
              <w:rPr>
                <w:rFonts w:ascii="Arial" w:cs="Arial" w:eastAsia="Arial" w:hAnsi="Arial"/>
                <w:sz w:val="18"/>
                <w:szCs w:val="18"/>
                <w:color w:val="0000FF"/>
                <w:w w:val="90"/>
              </w:rPr>
            </w:pPr>
            <w:hyperlink r:id="rId109">
              <w:r>
                <w:rPr>
                  <w:rFonts w:ascii="Arial" w:cs="Arial" w:eastAsia="Arial" w:hAnsi="Arial"/>
                  <w:sz w:val="18"/>
                  <w:szCs w:val="18"/>
                  <w:color w:val="0000FF"/>
                  <w:w w:val="90"/>
                </w:rPr>
                <w:t>Pipeline, L.P., PAA Finance Corp. and U.S. Bank National Association, as trustee (incorporated by reference to Exhibit 4.1 to our</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r:id="rId109">
              <w:r>
                <w:rPr>
                  <w:rFonts w:ascii="Arial" w:cs="Arial" w:eastAsia="Arial" w:hAnsi="Arial"/>
                  <w:sz w:val="18"/>
                  <w:szCs w:val="18"/>
                  <w:color w:val="0000FF"/>
                  <w:w w:val="93"/>
                </w:rPr>
                <w:t>Current Report on Form 8-K filed April 29, 2014).</w:t>
              </w:r>
            </w:hyperlink>
          </w:p>
        </w:tc>
        <w:tc>
          <w:tcPr>
            <w:tcW w:w="566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80" w:type="dxa"/>
            <w:vAlign w:val="bottom"/>
          </w:tcPr>
          <w:p>
            <w:pPr>
              <w:jc w:val="center"/>
              <w:ind w:right="170"/>
              <w:spacing w:after="0"/>
              <w:rPr>
                <w:sz w:val="20"/>
                <w:szCs w:val="20"/>
                <w:color w:val="auto"/>
              </w:rPr>
            </w:pPr>
            <w:r>
              <w:rPr>
                <w:rFonts w:ascii="Arial" w:cs="Arial" w:eastAsia="Arial" w:hAnsi="Arial"/>
                <w:sz w:val="18"/>
                <w:szCs w:val="18"/>
                <w:color w:val="auto"/>
                <w:w w:val="91"/>
              </w:rPr>
              <w:t>4.10</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40" w:type="dxa"/>
            <w:vAlign w:val="bottom"/>
            <w:gridSpan w:val="30"/>
          </w:tcPr>
          <w:p>
            <w:pPr>
              <w:spacing w:after="0"/>
              <w:rPr>
                <w:rFonts w:ascii="Arial" w:cs="Arial" w:eastAsia="Arial" w:hAnsi="Arial"/>
                <w:sz w:val="18"/>
                <w:szCs w:val="18"/>
                <w:color w:val="0000FF"/>
                <w:w w:val="96"/>
              </w:rPr>
            </w:pPr>
            <w:hyperlink r:id="rId110">
              <w:r>
                <w:rPr>
                  <w:rFonts w:ascii="Arial" w:cs="Arial" w:eastAsia="Arial" w:hAnsi="Arial"/>
                  <w:sz w:val="18"/>
                  <w:szCs w:val="18"/>
                  <w:color w:val="0000FF"/>
                  <w:w w:val="96"/>
                </w:rPr>
                <w:t>Twenty-Sixth Supplemental Indenture (3.60% Senior Notes due 2024) dated September 9, 2014, by and among Plains All</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760" w:type="dxa"/>
            <w:vAlign w:val="bottom"/>
            <w:tcBorders>
              <w:top w:val="single" w:sz="8" w:color="0000FF"/>
            </w:tcBorders>
            <w:gridSpan w:val="12"/>
          </w:tcPr>
          <w:p>
            <w:pPr>
              <w:spacing w:after="0" w:line="156" w:lineRule="exact"/>
              <w:rPr>
                <w:rFonts w:ascii="Arial" w:cs="Arial" w:eastAsia="Arial" w:hAnsi="Arial"/>
                <w:sz w:val="18"/>
                <w:szCs w:val="18"/>
                <w:color w:val="0000FF"/>
                <w:w w:val="90"/>
              </w:rPr>
            </w:pPr>
            <w:hyperlink r:id="rId110">
              <w:r>
                <w:rPr>
                  <w:rFonts w:ascii="Arial" w:cs="Arial" w:eastAsia="Arial" w:hAnsi="Arial"/>
                  <w:sz w:val="18"/>
                  <w:szCs w:val="18"/>
                  <w:color w:val="0000FF"/>
                  <w:w w:val="90"/>
                </w:rPr>
                <w:t>American Pipeline, L.P., PAA Finance Corp. and U.S. Bank National Association, as trustee (incorporated by reference to</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7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Exhibit 4.1 to our Current Report on Form 8-K filed September 11, 2014).</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340" w:type="dxa"/>
            <w:vAlign w:val="bottom"/>
            <w:tcBorders>
              <w:right w:val="single" w:sz="8" w:color="0000FF"/>
            </w:tcBorders>
            <w:gridSpan w:val="6"/>
            <w:shd w:val="clear" w:color="auto" w:fill="0000FF"/>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0" w:type="dxa"/>
            <w:vAlign w:val="bottom"/>
          </w:tcPr>
          <w:p>
            <w:pPr>
              <w:jc w:val="center"/>
              <w:ind w:right="170"/>
              <w:spacing w:after="0"/>
              <w:rPr>
                <w:sz w:val="20"/>
                <w:szCs w:val="20"/>
                <w:color w:val="auto"/>
              </w:rPr>
            </w:pPr>
            <w:r>
              <w:rPr>
                <w:rFonts w:ascii="Arial" w:cs="Arial" w:eastAsia="Arial" w:hAnsi="Arial"/>
                <w:sz w:val="18"/>
                <w:szCs w:val="18"/>
                <w:color w:val="auto"/>
                <w:w w:val="91"/>
              </w:rPr>
              <w:t>4.11</w:t>
            </w:r>
          </w:p>
        </w:tc>
        <w:tc>
          <w:tcPr>
            <w:tcW w:w="78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FF"/>
                <w:w w:val="95"/>
              </w:rPr>
            </w:pPr>
            <w:hyperlink r:id="rId111">
              <w:r>
                <w:rPr>
                  <w:rFonts w:ascii="Arial" w:cs="Arial" w:eastAsia="Arial" w:hAnsi="Arial"/>
                  <w:sz w:val="18"/>
                  <w:szCs w:val="18"/>
                  <w:color w:val="0000FF"/>
                  <w:w w:val="95"/>
                </w:rPr>
                <w:t>Twenty-Eighth Supplemental Indenture (4.90% Senior Notes due 2045) dated December 9, 2014, by and among Plains All</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8860" w:type="dxa"/>
            <w:vAlign w:val="bottom"/>
            <w:tcBorders>
              <w:top w:val="single" w:sz="8" w:color="0000FF"/>
            </w:tcBorders>
            <w:gridSpan w:val="17"/>
          </w:tcPr>
          <w:p>
            <w:pPr>
              <w:spacing w:after="0" w:line="156"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American Pipeline, L.P., PAA Finance Corp., and U.S. Bank National Association, as trustee (incorporated by reference to</w:t>
              </w:r>
            </w:hyperlink>
          </w:p>
        </w:tc>
        <w:tc>
          <w:tcPr>
            <w:tcW w:w="48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53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Exhibit 4.3 to our Current Report on Form 8-K filed December 11, 2014).</w:t>
              </w:r>
            </w:hyperlink>
          </w:p>
        </w:tc>
        <w:tc>
          <w:tcPr>
            <w:tcW w:w="3500" w:type="dxa"/>
            <w:vAlign w:val="bottom"/>
            <w:tcBorders>
              <w:top w:val="single" w:sz="8" w:color="0000FF"/>
            </w:tcBorders>
            <w:gridSpan w:val="10"/>
          </w:tcPr>
          <w:p>
            <w:pPr>
              <w:spacing w:after="0"/>
              <w:rPr>
                <w:sz w:val="13"/>
                <w:szCs w:val="13"/>
                <w:color w:val="auto"/>
              </w:rPr>
            </w:pPr>
          </w:p>
        </w:tc>
        <w:tc>
          <w:tcPr>
            <w:tcW w:w="50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80" w:type="dxa"/>
            <w:vAlign w:val="bottom"/>
          </w:tcPr>
          <w:p>
            <w:pPr>
              <w:jc w:val="center"/>
              <w:ind w:right="170"/>
              <w:spacing w:after="0"/>
              <w:rPr>
                <w:sz w:val="20"/>
                <w:szCs w:val="20"/>
                <w:color w:val="auto"/>
              </w:rPr>
            </w:pPr>
            <w:r>
              <w:rPr>
                <w:rFonts w:ascii="Arial" w:cs="Arial" w:eastAsia="Arial" w:hAnsi="Arial"/>
                <w:sz w:val="18"/>
                <w:szCs w:val="18"/>
                <w:color w:val="auto"/>
                <w:w w:val="91"/>
              </w:rPr>
              <w:t>4.12</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40" w:type="dxa"/>
            <w:vAlign w:val="bottom"/>
            <w:gridSpan w:val="30"/>
          </w:tcPr>
          <w:p>
            <w:pPr>
              <w:spacing w:after="0"/>
              <w:rPr>
                <w:rFonts w:ascii="Arial" w:cs="Arial" w:eastAsia="Arial" w:hAnsi="Arial"/>
                <w:sz w:val="18"/>
                <w:szCs w:val="18"/>
                <w:color w:val="0000FF"/>
                <w:w w:val="98"/>
              </w:rPr>
            </w:pPr>
            <w:hyperlink r:id="rId112">
              <w:r>
                <w:rPr>
                  <w:rFonts w:ascii="Arial" w:cs="Arial" w:eastAsia="Arial" w:hAnsi="Arial"/>
                  <w:sz w:val="18"/>
                  <w:szCs w:val="18"/>
                  <w:color w:val="0000FF"/>
                  <w:w w:val="98"/>
                </w:rPr>
                <w:t>Twenty-Ninth Supplemental Indenture (4.65% Senior Notes due 2025) dated August 24, 2015, by and among Plains All</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80" w:type="dxa"/>
            <w:vAlign w:val="bottom"/>
            <w:tcBorders>
              <w:top w:val="single" w:sz="8" w:color="0000FF"/>
            </w:tcBorders>
            <w:gridSpan w:val="11"/>
          </w:tcPr>
          <w:p>
            <w:pPr>
              <w:spacing w:after="0" w:line="156" w:lineRule="exact"/>
              <w:rPr>
                <w:rFonts w:ascii="Arial" w:cs="Arial" w:eastAsia="Arial" w:hAnsi="Arial"/>
                <w:sz w:val="18"/>
                <w:szCs w:val="18"/>
                <w:color w:val="0000FF"/>
                <w:w w:val="90"/>
              </w:rPr>
            </w:pPr>
            <w:hyperlink r:id="rId112">
              <w:r>
                <w:rPr>
                  <w:rFonts w:ascii="Arial" w:cs="Arial" w:eastAsia="Arial" w:hAnsi="Arial"/>
                  <w:sz w:val="18"/>
                  <w:szCs w:val="18"/>
                  <w:color w:val="0000FF"/>
                  <w:w w:val="90"/>
                </w:rPr>
                <w:t>American Pipeline, L.P., PAA Finance Corp., and U.S. Bank National Association, as trustee (incorporated by reference</w:t>
              </w:r>
            </w:hyperlink>
          </w:p>
        </w:tc>
        <w:tc>
          <w:tcPr>
            <w:tcW w:w="660" w:type="dxa"/>
            <w:vAlign w:val="bottom"/>
            <w:gridSpan w:val="19"/>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to</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Exhibit 4.1 to PAA’s Current Report on Form 8-K filed August 26, 2015).</w:t>
              </w:r>
            </w:hyperlink>
          </w:p>
        </w:tc>
        <w:tc>
          <w:tcPr>
            <w:tcW w:w="50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91"/>
              </w:rPr>
              <w:t>4.13</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gridSpan w:val="31"/>
          </w:tcPr>
          <w:p>
            <w:pPr>
              <w:spacing w:after="0"/>
              <w:rPr>
                <w:rFonts w:ascii="Arial" w:cs="Arial" w:eastAsia="Arial" w:hAnsi="Arial"/>
                <w:sz w:val="18"/>
                <w:szCs w:val="18"/>
                <w:color w:val="0000FF"/>
                <w:w w:val="91"/>
              </w:rPr>
            </w:pPr>
            <w:hyperlink r:id="rId114">
              <w:r>
                <w:rPr>
                  <w:rFonts w:ascii="Arial" w:cs="Arial" w:eastAsia="Arial" w:hAnsi="Arial"/>
                  <w:sz w:val="18"/>
                  <w:szCs w:val="18"/>
                  <w:color w:val="0000FF"/>
                  <w:w w:val="91"/>
                </w:rPr>
                <w:t>Thirtieth Supplemental Indenture (4.50% Senior Notes due 2026) dated November 22, 2016, by and among Plains All American</w:t>
              </w:r>
            </w:hyperlink>
          </w:p>
        </w:tc>
      </w:tr>
      <w:tr>
        <w:trPr>
          <w:trHeight w:val="156"/>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60" w:type="dxa"/>
            <w:vAlign w:val="bottom"/>
            <w:tcBorders>
              <w:top w:val="single" w:sz="8" w:color="0000FF"/>
            </w:tcBorders>
            <w:gridSpan w:val="28"/>
          </w:tcPr>
          <w:p>
            <w:pPr>
              <w:spacing w:after="0" w:line="156" w:lineRule="exact"/>
              <w:rPr>
                <w:rFonts w:ascii="Arial" w:cs="Arial" w:eastAsia="Arial" w:hAnsi="Arial"/>
                <w:sz w:val="18"/>
                <w:szCs w:val="18"/>
                <w:color w:val="0000FF"/>
                <w:w w:val="92"/>
              </w:rPr>
            </w:pPr>
            <w:hyperlink r:id="rId114">
              <w:r>
                <w:rPr>
                  <w:rFonts w:ascii="Arial" w:cs="Arial" w:eastAsia="Arial" w:hAnsi="Arial"/>
                  <w:sz w:val="18"/>
                  <w:szCs w:val="18"/>
                  <w:color w:val="0000FF"/>
                  <w:w w:val="92"/>
                </w:rPr>
                <w:t>Pipeline, L.P., PAA Finance Corp., and U.S. Bank National Association, as trustee (incorporated by reference to Exhibit 4.1 to</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PAA’s Current Report on Form 8-K filed November 29, 2016).</w:t>
              </w:r>
            </w:hyperlink>
          </w:p>
        </w:tc>
        <w:tc>
          <w:tcPr>
            <w:tcW w:w="4600" w:type="dxa"/>
            <w:vAlign w:val="bottom"/>
            <w:tcBorders>
              <w:top w:val="single" w:sz="8" w:color="0000FF"/>
            </w:tcBorders>
            <w:gridSpan w:val="16"/>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91"/>
              </w:rPr>
              <w:t>4.14</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gridSpan w:val="31"/>
          </w:tcPr>
          <w:p>
            <w:pPr>
              <w:spacing w:after="0"/>
              <w:rPr>
                <w:rFonts w:ascii="Arial" w:cs="Arial" w:eastAsia="Arial" w:hAnsi="Arial"/>
                <w:sz w:val="18"/>
                <w:szCs w:val="18"/>
                <w:color w:val="0000FF"/>
                <w:w w:val="97"/>
              </w:rPr>
            </w:pPr>
            <w:hyperlink r:id="rId115">
              <w:r>
                <w:rPr>
                  <w:rFonts w:ascii="Arial" w:cs="Arial" w:eastAsia="Arial" w:hAnsi="Arial"/>
                  <w:sz w:val="18"/>
                  <w:szCs w:val="18"/>
                  <w:color w:val="0000FF"/>
                  <w:w w:val="97"/>
                </w:rPr>
                <w:t>Thirty-First Supplemental Indenture (3.55% Senior Notes due 2029) dated September 16, 2019, by and among Plains All</w:t>
              </w:r>
            </w:hyperlink>
          </w:p>
        </w:tc>
      </w:tr>
      <w:tr>
        <w:trPr>
          <w:trHeight w:val="20"/>
        </w:trPr>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340" w:type="dxa"/>
            <w:vAlign w:val="bottom"/>
            <w:gridSpan w:val="31"/>
          </w:tcPr>
          <w:p>
            <w:pPr>
              <w:spacing w:after="0" w:line="156" w:lineRule="exact"/>
              <w:rPr>
                <w:rFonts w:ascii="Arial" w:cs="Arial" w:eastAsia="Arial" w:hAnsi="Arial"/>
                <w:sz w:val="18"/>
                <w:szCs w:val="18"/>
                <w:color w:val="0000FF"/>
                <w:w w:val="96"/>
              </w:rPr>
            </w:pPr>
            <w:hyperlink r:id="rId115">
              <w:r>
                <w:rPr>
                  <w:rFonts w:ascii="Arial" w:cs="Arial" w:eastAsia="Arial" w:hAnsi="Arial"/>
                  <w:sz w:val="18"/>
                  <w:szCs w:val="18"/>
                  <w:color w:val="0000FF"/>
                  <w:w w:val="96"/>
                </w:rPr>
                <w:t>American Pipeline, L.P., PAA Finance Corp. and U.S. Bank National Association, as trustee (incorporated by reference to</w:t>
              </w:r>
            </w:hyperlink>
          </w:p>
        </w:tc>
      </w:tr>
      <w:tr>
        <w:trPr>
          <w:trHeight w:val="155"/>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15">
              <w:r>
                <w:rPr>
                  <w:rFonts w:ascii="Arial" w:cs="Arial" w:eastAsia="Arial" w:hAnsi="Arial"/>
                  <w:sz w:val="18"/>
                  <w:szCs w:val="18"/>
                  <w:color w:val="0000FF"/>
                  <w:w w:val="91"/>
                </w:rPr>
                <w:t>Exhibit 4.1 to PAA’s Current Report on Form 8-K filed September 17, 2019).</w:t>
              </w:r>
            </w:hyperlink>
          </w:p>
        </w:tc>
        <w:tc>
          <w:tcPr>
            <w:tcW w:w="3200" w:type="dxa"/>
            <w:vAlign w:val="bottom"/>
            <w:tcBorders>
              <w:top w:val="single" w:sz="8" w:color="0000FF"/>
            </w:tcBorders>
            <w:gridSpan w:val="8"/>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91"/>
              </w:rPr>
              <w:t>4.15</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gridSpan w:val="31"/>
          </w:tcPr>
          <w:p>
            <w:pPr>
              <w:spacing w:after="0"/>
              <w:rPr>
                <w:rFonts w:ascii="Arial" w:cs="Arial" w:eastAsia="Arial" w:hAnsi="Arial"/>
                <w:sz w:val="18"/>
                <w:szCs w:val="18"/>
                <w:color w:val="0000FF"/>
                <w:w w:val="91"/>
              </w:rPr>
            </w:pPr>
            <w:hyperlink r:id="rId116">
              <w:r>
                <w:rPr>
                  <w:rFonts w:ascii="Arial" w:cs="Arial" w:eastAsia="Arial" w:hAnsi="Arial"/>
                  <w:sz w:val="18"/>
                  <w:szCs w:val="18"/>
                  <w:color w:val="0000FF"/>
                  <w:w w:val="91"/>
                </w:rPr>
                <w:t>Thirty-Second Supplemental Indenture (3.80% Senior Notes due 2030) dated June 11, 2020, by and among Plains All American</w:t>
              </w:r>
            </w:hyperlink>
          </w:p>
        </w:tc>
      </w:tr>
      <w:tr>
        <w:trPr>
          <w:trHeight w:val="156"/>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20" w:type="dxa"/>
            <w:vAlign w:val="bottom"/>
            <w:tcBorders>
              <w:top w:val="single" w:sz="8" w:color="0000FF"/>
            </w:tcBorders>
            <w:gridSpan w:val="26"/>
          </w:tcPr>
          <w:p>
            <w:pPr>
              <w:spacing w:after="0" w:line="156" w:lineRule="exact"/>
              <w:rPr>
                <w:rFonts w:ascii="Arial" w:cs="Arial" w:eastAsia="Arial" w:hAnsi="Arial"/>
                <w:sz w:val="18"/>
                <w:szCs w:val="18"/>
                <w:color w:val="0000FF"/>
                <w:w w:val="92"/>
              </w:rPr>
            </w:pPr>
            <w:hyperlink r:id="rId116">
              <w:r>
                <w:rPr>
                  <w:rFonts w:ascii="Arial" w:cs="Arial" w:eastAsia="Arial" w:hAnsi="Arial"/>
                  <w:sz w:val="18"/>
                  <w:szCs w:val="18"/>
                  <w:color w:val="0000FF"/>
                  <w:w w:val="92"/>
                </w:rPr>
                <w:t>Pipeline, L.P., PAA Finance Corp. and U.S. Bank National Association, as trustee (incorporated by reference to Exhibit 4.1 to</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PAA’s Current Report on Form 8-K filed June 11, 2020).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91"/>
              </w:rPr>
              <w:t>4.16</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gridSpan w:val="31"/>
          </w:tcPr>
          <w:p>
            <w:pPr>
              <w:spacing w:after="0"/>
              <w:rPr>
                <w:rFonts w:ascii="Arial" w:cs="Arial" w:eastAsia="Arial" w:hAnsi="Arial"/>
                <w:sz w:val="18"/>
                <w:szCs w:val="18"/>
                <w:color w:val="0000FF"/>
                <w:w w:val="92"/>
              </w:rPr>
            </w:pPr>
            <w:hyperlink r:id="rId117">
              <w:r>
                <w:rPr>
                  <w:rFonts w:ascii="Arial" w:cs="Arial" w:eastAsia="Arial" w:hAnsi="Arial"/>
                  <w:sz w:val="18"/>
                  <w:szCs w:val="18"/>
                  <w:color w:val="0000FF"/>
                  <w:w w:val="92"/>
                </w:rPr>
                <w:t>Shareholder and Registration Rights Agreement dated October 21, 2013 by and among Plains GP Holdings, L.P. and the other</w:t>
              </w:r>
            </w:hyperlink>
          </w:p>
        </w:tc>
      </w:tr>
      <w:tr>
        <w:trPr>
          <w:trHeight w:val="156"/>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8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parties signatory thereto (incorporated by reference to Exhibit 4.1 to our Current Report on Form 8-K filed October 25, 2013).</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91"/>
              </w:rPr>
              <w:t>4.17</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gridSpan w:val="31"/>
          </w:tcPr>
          <w:p>
            <w:pPr>
              <w:spacing w:after="0"/>
              <w:rPr>
                <w:rFonts w:ascii="Arial" w:cs="Arial" w:eastAsia="Arial" w:hAnsi="Arial"/>
                <w:sz w:val="18"/>
                <w:szCs w:val="18"/>
                <w:color w:val="0000FF"/>
                <w:w w:val="93"/>
              </w:rPr>
            </w:pPr>
            <w:hyperlink r:id="rId118">
              <w:r>
                <w:rPr>
                  <w:rFonts w:ascii="Arial" w:cs="Arial" w:eastAsia="Arial" w:hAnsi="Arial"/>
                  <w:sz w:val="18"/>
                  <w:szCs w:val="18"/>
                  <w:color w:val="0000FF"/>
                  <w:w w:val="93"/>
                </w:rPr>
                <w:t>Description of Our Securities (incorporated by reference to Exhibit 4.17 to our Annual Report on Form 10-K for the year ended</w:t>
              </w:r>
            </w:hyperlink>
          </w:p>
        </w:tc>
      </w:tr>
      <w:tr>
        <w:trPr>
          <w:trHeight w:val="155"/>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December 31, 2020).</w:t>
              </w:r>
            </w:hyperlink>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91"/>
              </w:rPr>
              <w:t>10.1</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9340" w:type="dxa"/>
            <w:vAlign w:val="bottom"/>
            <w:gridSpan w:val="31"/>
          </w:tcPr>
          <w:p>
            <w:pPr>
              <w:spacing w:after="0"/>
              <w:rPr>
                <w:rFonts w:ascii="Arial" w:cs="Arial" w:eastAsia="Arial" w:hAnsi="Arial"/>
                <w:sz w:val="18"/>
                <w:szCs w:val="18"/>
                <w:color w:val="0000FF"/>
                <w:w w:val="91"/>
              </w:rPr>
            </w:pPr>
            <w:hyperlink r:id="rId119">
              <w:r>
                <w:rPr>
                  <w:rFonts w:ascii="Arial" w:cs="Arial" w:eastAsia="Arial" w:hAnsi="Arial"/>
                  <w:sz w:val="18"/>
                  <w:szCs w:val="18"/>
                  <w:color w:val="0000FF"/>
                  <w:w w:val="91"/>
                </w:rPr>
                <w:t>Credit Agreement dated as of August 20, 2021, among Plains All American Pipeline, L.P. and Plains Midstream Canada ULC, as</w:t>
              </w:r>
            </w:hyperlink>
          </w:p>
        </w:tc>
      </w:tr>
      <w:tr>
        <w:trPr>
          <w:trHeight w:val="156"/>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320" w:type="dxa"/>
            <w:vAlign w:val="bottom"/>
            <w:tcBorders>
              <w:top w:val="single" w:sz="8" w:color="0000FF"/>
            </w:tcBorders>
            <w:gridSpan w:val="30"/>
          </w:tcPr>
          <w:p>
            <w:pPr>
              <w:spacing w:after="0" w:line="156" w:lineRule="exact"/>
              <w:rPr>
                <w:rFonts w:ascii="Arial" w:cs="Arial" w:eastAsia="Arial" w:hAnsi="Arial"/>
                <w:sz w:val="18"/>
                <w:szCs w:val="18"/>
                <w:color w:val="0000FF"/>
                <w:w w:val="93"/>
              </w:rPr>
            </w:pPr>
            <w:hyperlink r:id="rId119">
              <w:r>
                <w:rPr>
                  <w:rFonts w:ascii="Arial" w:cs="Arial" w:eastAsia="Arial" w:hAnsi="Arial"/>
                  <w:sz w:val="18"/>
                  <w:szCs w:val="18"/>
                  <w:color w:val="0000FF"/>
                  <w:w w:val="93"/>
                </w:rPr>
                <w:t>Borrowers; certain subsidiaries of Plains All American Pipeline, L.P. from time to time party thereto, as Designated Borrowers;</w:t>
              </w:r>
            </w:hyperlink>
          </w:p>
        </w:tc>
        <w:tc>
          <w:tcPr>
            <w:tcW w:w="2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2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3"/>
              </w:rPr>
            </w:pPr>
            <w:hyperlink r:id="rId119">
              <w:r>
                <w:rPr>
                  <w:rFonts w:ascii="Arial" w:cs="Arial" w:eastAsia="Arial" w:hAnsi="Arial"/>
                  <w:sz w:val="18"/>
                  <w:szCs w:val="18"/>
                  <w:color w:val="0000FF"/>
                  <w:w w:val="93"/>
                </w:rPr>
                <w:t>Bank of America, N.A., as Administrative Agent and Swing Line Lender; Bank of America, N.A., Citibank, N.A., JPMorgan</w:t>
              </w:r>
            </w:hyperlink>
          </w:p>
        </w:tc>
        <w:tc>
          <w:tcPr>
            <w:tcW w:w="160" w:type="dxa"/>
            <w:vAlign w:val="bottom"/>
            <w:tcBorders>
              <w:top w:val="single" w:sz="8" w:color="0000FF"/>
            </w:tcBorders>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340" w:type="dxa"/>
            <w:vAlign w:val="bottom"/>
            <w:gridSpan w:val="31"/>
          </w:tcPr>
          <w:p>
            <w:pPr>
              <w:spacing w:after="0" w:line="156" w:lineRule="exact"/>
              <w:rPr>
                <w:rFonts w:ascii="Arial" w:cs="Arial" w:eastAsia="Arial" w:hAnsi="Arial"/>
                <w:sz w:val="18"/>
                <w:szCs w:val="18"/>
                <w:color w:val="0000FF"/>
                <w:w w:val="90"/>
              </w:rPr>
            </w:pPr>
            <w:hyperlink r:id="rId119">
              <w:r>
                <w:rPr>
                  <w:rFonts w:ascii="Arial" w:cs="Arial" w:eastAsia="Arial" w:hAnsi="Arial"/>
                  <w:sz w:val="18"/>
                  <w:szCs w:val="18"/>
                  <w:color w:val="0000FF"/>
                  <w:w w:val="90"/>
                </w:rPr>
                <w:t>Chase Bank, N.A. and Wells Fargo Bank, National Association, as L/C Issuers; and the other Lenders party thereto (incorporated</w:t>
              </w:r>
            </w:hyperlink>
          </w:p>
        </w:tc>
      </w:tr>
      <w:tr>
        <w:trPr>
          <w:trHeight w:val="156"/>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3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by reference to Exhibit 10.1 to our Current Report on Form 8-K filed August 26, 2021).</w:t>
              </w:r>
            </w:hyperlink>
          </w:p>
        </w:tc>
        <w:tc>
          <w:tcPr>
            <w:tcW w:w="298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91"/>
              </w:rPr>
              <w:t>10.2</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9340" w:type="dxa"/>
            <w:vAlign w:val="bottom"/>
            <w:gridSpan w:val="31"/>
          </w:tcPr>
          <w:p>
            <w:pPr>
              <w:spacing w:after="0"/>
              <w:rPr>
                <w:rFonts w:ascii="Arial" w:cs="Arial" w:eastAsia="Arial" w:hAnsi="Arial"/>
                <w:sz w:val="18"/>
                <w:szCs w:val="18"/>
                <w:color w:val="0000FF"/>
                <w:w w:val="97"/>
              </w:rPr>
            </w:pPr>
            <w:hyperlink r:id="rId120">
              <w:r>
                <w:rPr>
                  <w:rFonts w:ascii="Arial" w:cs="Arial" w:eastAsia="Arial" w:hAnsi="Arial"/>
                  <w:sz w:val="18"/>
                  <w:szCs w:val="18"/>
                  <w:color w:val="0000FF"/>
                  <w:w w:val="97"/>
                </w:rPr>
                <w:t>Fourth Amended and Restated Credit Agreement dated as of August 20, 2021, among Plains Marketing, L.P. and Plains</w:t>
              </w:r>
            </w:hyperlink>
          </w:p>
        </w:tc>
      </w:tr>
      <w:tr>
        <w:trPr>
          <w:trHeight w:val="155"/>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20" w:type="dxa"/>
            <w:vAlign w:val="bottom"/>
            <w:tcBorders>
              <w:top w:val="single" w:sz="8" w:color="0000FF"/>
            </w:tcBorders>
            <w:gridSpan w:val="15"/>
          </w:tcPr>
          <w:p>
            <w:pPr>
              <w:spacing w:after="0" w:line="156" w:lineRule="exact"/>
              <w:rPr>
                <w:rFonts w:ascii="Arial" w:cs="Arial" w:eastAsia="Arial" w:hAnsi="Arial"/>
                <w:sz w:val="18"/>
                <w:szCs w:val="18"/>
                <w:color w:val="0000FF"/>
                <w:w w:val="94"/>
              </w:rPr>
            </w:pPr>
            <w:hyperlink r:id="rId120">
              <w:r>
                <w:rPr>
                  <w:rFonts w:ascii="Arial" w:cs="Arial" w:eastAsia="Arial" w:hAnsi="Arial"/>
                  <w:sz w:val="18"/>
                  <w:szCs w:val="18"/>
                  <w:color w:val="0000FF"/>
                  <w:w w:val="94"/>
                </w:rPr>
                <w:t>Midstream Canada ULC, as Borrowers; Plains All American Pipeline, L.P., as guarantor; Bank of America, N.A., as</w:t>
              </w:r>
            </w:hyperlink>
          </w:p>
        </w:tc>
        <w:tc>
          <w:tcPr>
            <w:tcW w:w="54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38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2"/>
              </w:rPr>
            </w:pPr>
            <w:hyperlink r:id="rId120">
              <w:r>
                <w:rPr>
                  <w:rFonts w:ascii="Arial" w:cs="Arial" w:eastAsia="Arial" w:hAnsi="Arial"/>
                  <w:sz w:val="18"/>
                  <w:szCs w:val="18"/>
                  <w:color w:val="0000FF"/>
                  <w:w w:val="92"/>
                </w:rPr>
                <w:t>Administrative Agent and Swing Line Lender; Bank of America, N.A., Citibank, N.A., JPMorgan Chase Bank, N.A.</w:t>
              </w:r>
            </w:hyperlink>
          </w:p>
        </w:tc>
        <w:tc>
          <w:tcPr>
            <w:tcW w:w="780" w:type="dxa"/>
            <w:vAlign w:val="bottom"/>
            <w:tcBorders>
              <w:bottom w:val="single" w:sz="8" w:color="0000FF"/>
            </w:tcBorders>
            <w:gridSpan w:val="9"/>
          </w:tcPr>
          <w:p>
            <w:pPr>
              <w:ind w:left="60"/>
              <w:spacing w:after="0" w:line="156" w:lineRule="exact"/>
              <w:rPr>
                <w:rFonts w:ascii="Arial" w:cs="Arial" w:eastAsia="Arial" w:hAnsi="Arial"/>
                <w:sz w:val="18"/>
                <w:szCs w:val="18"/>
                <w:color w:val="0000FF"/>
                <w:w w:val="88"/>
              </w:rPr>
            </w:pPr>
            <w:hyperlink r:id="rId120">
              <w:r>
                <w:rPr>
                  <w:rFonts w:ascii="Arial" w:cs="Arial" w:eastAsia="Arial" w:hAnsi="Arial"/>
                  <w:sz w:val="18"/>
                  <w:szCs w:val="18"/>
                  <w:color w:val="0000FF"/>
                  <w:w w:val="88"/>
                </w:rPr>
                <w:t>and Wells</w:t>
              </w:r>
            </w:hyperlink>
          </w:p>
        </w:tc>
        <w:tc>
          <w:tcPr>
            <w:tcW w:w="180" w:type="dxa"/>
            <w:vAlign w:val="bottom"/>
            <w:gridSpan w:val="8"/>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340" w:type="dxa"/>
            <w:vAlign w:val="bottom"/>
            <w:gridSpan w:val="31"/>
          </w:tcPr>
          <w:p>
            <w:pPr>
              <w:spacing w:after="0" w:line="156"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Fargo Bank, National Association, as L/C Issuers; and the other Lenders party thereto (incorporated by reference to Exhibit 10.2</w:t>
              </w:r>
            </w:hyperlink>
          </w:p>
        </w:tc>
      </w:tr>
      <w:tr>
        <w:trPr>
          <w:trHeight w:val="156"/>
        </w:trPr>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120">
              <w:r>
                <w:rPr>
                  <w:rFonts w:ascii="Arial" w:cs="Arial" w:eastAsia="Arial" w:hAnsi="Arial"/>
                  <w:sz w:val="18"/>
                  <w:szCs w:val="18"/>
                  <w:color w:val="0000FF"/>
                  <w:w w:val="92"/>
                </w:rPr>
                <w:t>to our Current Report on Form 8-K filed August 26, 2021).</w:t>
              </w:r>
            </w:hyperlink>
          </w:p>
        </w:tc>
        <w:tc>
          <w:tcPr>
            <w:tcW w:w="4980" w:type="dxa"/>
            <w:vAlign w:val="bottom"/>
            <w:tcBorders>
              <w:top w:val="single" w:sz="8" w:color="0000FF"/>
            </w:tcBorders>
            <w:gridSpan w:val="23"/>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318"/>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99"/>
              </w:rPr>
              <w:t>10.3** †</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9340" w:type="dxa"/>
            <w:vAlign w:val="bottom"/>
            <w:gridSpan w:val="31"/>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Form of LTIP Grant Letter dated August 19, 2021 (Named Executive Officers).</w:t>
              </w:r>
            </w:hyperlink>
          </w:p>
        </w:tc>
      </w:tr>
      <w:tr>
        <w:trPr>
          <w:trHeight w:val="318"/>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99"/>
              </w:rPr>
              <w:t>10.4** †</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448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1"/>
              </w:rPr>
            </w:pPr>
            <w:hyperlink w:anchor="page79">
              <w:r>
                <w:rPr>
                  <w:rFonts w:ascii="Arial" w:cs="Arial" w:eastAsia="Arial" w:hAnsi="Arial"/>
                  <w:sz w:val="18"/>
                  <w:szCs w:val="18"/>
                  <w:color w:val="0000FF"/>
                  <w:w w:val="91"/>
                </w:rPr>
                <w:t>Form of LTIP Grant Letter dated August 19, 2021 (Directors).</w:t>
              </w:r>
            </w:hyperlink>
          </w:p>
        </w:tc>
        <w:tc>
          <w:tcPr>
            <w:tcW w:w="1240" w:type="dxa"/>
            <w:vAlign w:val="bottom"/>
            <w:tcBorders>
              <w:top w:val="single" w:sz="8" w:color="0000FF"/>
            </w:tcBorders>
            <w:gridSpan w:val="5"/>
          </w:tcPr>
          <w:p>
            <w:pPr>
              <w:spacing w:after="0"/>
              <w:rPr>
                <w:sz w:val="24"/>
                <w:szCs w:val="24"/>
                <w:color w:val="auto"/>
              </w:rPr>
            </w:pPr>
          </w:p>
        </w:tc>
        <w:tc>
          <w:tcPr>
            <w:tcW w:w="3620" w:type="dxa"/>
            <w:vAlign w:val="bottom"/>
            <w:gridSpan w:val="21"/>
          </w:tcPr>
          <w:p>
            <w:pPr>
              <w:spacing w:after="0"/>
              <w:rPr>
                <w:sz w:val="24"/>
                <w:szCs w:val="24"/>
                <w:color w:val="auto"/>
              </w:rPr>
            </w:pPr>
          </w:p>
        </w:tc>
      </w:tr>
      <w:tr>
        <w:trPr>
          <w:trHeight w:val="318"/>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87"/>
              </w:rPr>
              <w:t>31.1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734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82">
              <w:r>
                <w:rPr>
                  <w:rFonts w:ascii="Arial" w:cs="Arial" w:eastAsia="Arial" w:hAnsi="Arial"/>
                  <w:sz w:val="18"/>
                  <w:szCs w:val="18"/>
                  <w:color w:val="0000FF"/>
                  <w:w w:val="91"/>
                </w:rPr>
                <w:t>Certification of Principal Executive Officer pursuant to Exchange Act Rules 13a-14(a) and 15d-14(a).</w:t>
              </w:r>
            </w:hyperlink>
          </w:p>
        </w:tc>
        <w:tc>
          <w:tcPr>
            <w:tcW w:w="2000" w:type="dxa"/>
            <w:vAlign w:val="bottom"/>
            <w:gridSpan w:val="18"/>
          </w:tcPr>
          <w:p>
            <w:pPr>
              <w:spacing w:after="0"/>
              <w:rPr>
                <w:sz w:val="24"/>
                <w:szCs w:val="24"/>
                <w:color w:val="auto"/>
              </w:rPr>
            </w:pPr>
          </w:p>
        </w:tc>
      </w:tr>
      <w:tr>
        <w:trPr>
          <w:trHeight w:val="317"/>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87"/>
              </w:rPr>
              <w:t>31.2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gridSpan w:val="31"/>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Certification of Principal Financial Officer pursuant to Exchange Act Rules 13a-14(a) and 15d-14(a).</w:t>
              </w:r>
            </w:hyperlink>
          </w:p>
        </w:tc>
      </w:tr>
      <w:tr>
        <w:trPr>
          <w:trHeight w:val="318"/>
        </w:trPr>
        <w:tc>
          <w:tcPr>
            <w:tcW w:w="1200" w:type="dxa"/>
            <w:vAlign w:val="bottom"/>
          </w:tcPr>
          <w:p>
            <w:pPr>
              <w:jc w:val="center"/>
              <w:ind w:left="50"/>
              <w:spacing w:after="0"/>
              <w:rPr>
                <w:sz w:val="20"/>
                <w:szCs w:val="20"/>
                <w:color w:val="auto"/>
              </w:rPr>
            </w:pPr>
            <w:r>
              <w:rPr>
                <w:rFonts w:ascii="Arial" w:cs="Arial" w:eastAsia="Arial" w:hAnsi="Arial"/>
                <w:sz w:val="18"/>
                <w:szCs w:val="18"/>
                <w:color w:val="auto"/>
                <w:w w:val="89"/>
              </w:rPr>
              <w:t>32.1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7280" w:type="dxa"/>
            <w:vAlign w:val="bottom"/>
            <w:tcBorders>
              <w:top w:val="single" w:sz="8" w:color="0000FF"/>
            </w:tcBorders>
            <w:gridSpan w:val="12"/>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Certification of Principal Executive Officer pursuant to 18 U.S.C. 1350.</w:t>
              </w:r>
            </w:hyperlink>
          </w:p>
        </w:tc>
        <w:tc>
          <w:tcPr>
            <w:tcW w:w="2060" w:type="dxa"/>
            <w:vAlign w:val="bottom"/>
            <w:gridSpan w:val="19"/>
          </w:tcPr>
          <w:p>
            <w:pPr>
              <w:spacing w:after="0"/>
              <w:rPr>
                <w:sz w:val="24"/>
                <w:szCs w:val="24"/>
                <w:color w:val="auto"/>
              </w:rPr>
            </w:pPr>
          </w:p>
        </w:tc>
      </w:tr>
      <w:tr>
        <w:trPr>
          <w:trHeight w:val="318"/>
        </w:trPr>
        <w:tc>
          <w:tcPr>
            <w:tcW w:w="1200" w:type="dxa"/>
            <w:vAlign w:val="bottom"/>
          </w:tcPr>
          <w:p>
            <w:pPr>
              <w:jc w:val="center"/>
              <w:ind w:left="50"/>
              <w:spacing w:after="0"/>
              <w:rPr>
                <w:sz w:val="20"/>
                <w:szCs w:val="20"/>
                <w:color w:val="auto"/>
              </w:rPr>
            </w:pPr>
            <w:r>
              <w:rPr>
                <w:rFonts w:ascii="Arial" w:cs="Arial" w:eastAsia="Arial" w:hAnsi="Arial"/>
                <w:sz w:val="18"/>
                <w:szCs w:val="18"/>
                <w:color w:val="auto"/>
                <w:w w:val="89"/>
              </w:rPr>
              <w:t>32.2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514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2"/>
              </w:rPr>
            </w:pPr>
            <w:hyperlink w:anchor="page85">
              <w:r>
                <w:rPr>
                  <w:rFonts w:ascii="Arial" w:cs="Arial" w:eastAsia="Arial" w:hAnsi="Arial"/>
                  <w:sz w:val="18"/>
                  <w:szCs w:val="18"/>
                  <w:color w:val="0000FF"/>
                  <w:w w:val="92"/>
                </w:rPr>
                <w:t>Certification of Principal Financial Officer pursuant to 18 U.S.C. 1350.</w:t>
              </w:r>
            </w:hyperlink>
          </w:p>
        </w:tc>
        <w:tc>
          <w:tcPr>
            <w:tcW w:w="40" w:type="dxa"/>
            <w:vAlign w:val="bottom"/>
            <w:tcBorders>
              <w:top w:val="single" w:sz="8" w:color="0000FF"/>
            </w:tcBorders>
          </w:tcPr>
          <w:p>
            <w:pPr>
              <w:spacing w:after="0"/>
              <w:rPr>
                <w:sz w:val="24"/>
                <w:szCs w:val="24"/>
                <w:color w:val="auto"/>
              </w:rPr>
            </w:pPr>
          </w:p>
        </w:tc>
        <w:tc>
          <w:tcPr>
            <w:tcW w:w="4160" w:type="dxa"/>
            <w:vAlign w:val="bottom"/>
            <w:gridSpan w:val="23"/>
          </w:tcPr>
          <w:p>
            <w:pPr>
              <w:spacing w:after="0"/>
              <w:rPr>
                <w:sz w:val="24"/>
                <w:szCs w:val="24"/>
                <w:color w:val="auto"/>
              </w:rPr>
            </w:pPr>
          </w:p>
        </w:tc>
      </w:tr>
      <w:tr>
        <w:trPr>
          <w:trHeight w:val="304"/>
        </w:trPr>
        <w:tc>
          <w:tcPr>
            <w:tcW w:w="1200" w:type="dxa"/>
            <w:vAlign w:val="bottom"/>
          </w:tcPr>
          <w:p>
            <w:pPr>
              <w:jc w:val="center"/>
              <w:ind w:left="50"/>
              <w:spacing w:after="0"/>
              <w:rPr>
                <w:sz w:val="20"/>
                <w:szCs w:val="20"/>
                <w:color w:val="auto"/>
              </w:rPr>
            </w:pPr>
            <w:r>
              <w:rPr>
                <w:rFonts w:ascii="Arial" w:cs="Arial" w:eastAsia="Arial" w:hAnsi="Arial"/>
                <w:sz w:val="18"/>
                <w:szCs w:val="18"/>
                <w:color w:val="auto"/>
                <w:w w:val="93"/>
              </w:rPr>
              <w:t>101.INS†</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gridSpan w:val="31"/>
          </w:tcPr>
          <w:p>
            <w:pPr>
              <w:spacing w:after="0"/>
              <w:rPr>
                <w:sz w:val="20"/>
                <w:szCs w:val="20"/>
                <w:color w:val="auto"/>
              </w:rPr>
            </w:pPr>
            <w:r>
              <w:rPr>
                <w:rFonts w:ascii="Arial" w:cs="Arial" w:eastAsia="Arial" w:hAnsi="Arial"/>
                <w:sz w:val="18"/>
                <w:szCs w:val="18"/>
                <w:color w:val="auto"/>
                <w:w w:val="95"/>
              </w:rPr>
              <w:t>XBRL Instance Document - the instance document does not appear in the Interactive Data File because its XBRL tags are</w:t>
            </w:r>
          </w:p>
        </w:tc>
      </w:tr>
      <w:tr>
        <w:trPr>
          <w:trHeight w:val="230"/>
        </w:trPr>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40" w:type="dxa"/>
            <w:vAlign w:val="bottom"/>
            <w:gridSpan w:val="31"/>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37"/>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91"/>
              </w:rPr>
              <w:t>101.SCH†</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gridSpan w:val="3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94"/>
              </w:rPr>
              <w:t>101.CAL†</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gridSpan w:val="3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1200" w:type="dxa"/>
            <w:vAlign w:val="bottom"/>
          </w:tcPr>
          <w:p>
            <w:pPr>
              <w:jc w:val="center"/>
              <w:ind w:left="50"/>
              <w:spacing w:after="0"/>
              <w:rPr>
                <w:sz w:val="20"/>
                <w:szCs w:val="20"/>
                <w:color w:val="auto"/>
              </w:rPr>
            </w:pPr>
            <w:r>
              <w:rPr>
                <w:rFonts w:ascii="Arial" w:cs="Arial" w:eastAsia="Arial" w:hAnsi="Arial"/>
                <w:sz w:val="18"/>
                <w:szCs w:val="18"/>
                <w:color w:val="auto"/>
                <w:w w:val="91"/>
              </w:rPr>
              <w:t>101.DEF†</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gridSpan w:val="31"/>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96"/>
              </w:rPr>
              <w:t>101.LAB†</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gridSpan w:val="31"/>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1200" w:type="dxa"/>
            <w:vAlign w:val="bottom"/>
          </w:tcPr>
          <w:p>
            <w:pPr>
              <w:jc w:val="center"/>
              <w:ind w:left="50"/>
              <w:spacing w:after="0"/>
              <w:rPr>
                <w:sz w:val="20"/>
                <w:szCs w:val="20"/>
                <w:color w:val="auto"/>
              </w:rPr>
            </w:pPr>
            <w:r>
              <w:rPr>
                <w:rFonts w:ascii="Arial" w:cs="Arial" w:eastAsia="Arial" w:hAnsi="Arial"/>
                <w:sz w:val="18"/>
                <w:szCs w:val="18"/>
                <w:color w:val="auto"/>
                <w:w w:val="90"/>
              </w:rPr>
              <w:t>101.PRE†</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gridSpan w:val="31"/>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38"/>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89"/>
              </w:rPr>
              <w:t>104†</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340" w:type="dxa"/>
            <w:vAlign w:val="bottom"/>
            <w:gridSpan w:val="31"/>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175"/>
        </w:trPr>
        <w:tc>
          <w:tcPr>
            <w:tcW w:w="1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1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117" w:lineRule="exact"/>
        <w:rPr>
          <w:sz w:val="20"/>
          <w:szCs w:val="20"/>
          <w:color w:val="auto"/>
        </w:rPr>
      </w:pPr>
    </w:p>
    <w:p>
      <w:pPr>
        <w:ind w:left="660" w:hanging="652"/>
        <w:spacing w:after="0" w:line="277" w:lineRule="auto"/>
        <w:tabs>
          <w:tab w:leader="none" w:pos="282"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Certain schedules and similar attachments have been omitted pursuant to Item 601(b)(2) of Regulation S-K. The Registrant agrees to furnish a supplemental copy of any omitted schedule or attachment to the SEC upon request.</w:t>
      </w:r>
    </w:p>
    <w:p>
      <w:pPr>
        <w:spacing w:after="0" w:line="6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25" w:right="10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PLAINS GP HOLDINGS, L.P.</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Pr>
          <w:p>
            <w:pPr>
              <w:ind w:left="20"/>
              <w:spacing w:after="0"/>
              <w:rPr>
                <w:sz w:val="20"/>
                <w:szCs w:val="20"/>
                <w:color w:val="auto"/>
              </w:rPr>
            </w:pPr>
            <w:r>
              <w:rPr>
                <w:rFonts w:ascii="Arial" w:cs="Arial" w:eastAsia="Arial" w:hAnsi="Arial"/>
                <w:sz w:val="18"/>
                <w:szCs w:val="18"/>
                <w:color w:val="auto"/>
              </w:rPr>
              <w:t>PAA GP 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Willie Chiang</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Willie Chiang,</w:t>
            </w:r>
          </w:p>
        </w:tc>
      </w:tr>
      <w:tr>
        <w:trPr>
          <w:trHeight w:val="229"/>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w w:val="95"/>
              </w:rPr>
              <w:t>Chief Executive Officer and Director of PAA GP 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Executive Officer)</w:t>
            </w:r>
          </w:p>
        </w:tc>
      </w:tr>
      <w:tr>
        <w:trPr>
          <w:trHeight w:val="499"/>
        </w:trPr>
        <w:tc>
          <w:tcPr>
            <w:tcW w:w="6160" w:type="dxa"/>
            <w:vAlign w:val="bottom"/>
          </w:tcPr>
          <w:p>
            <w:pPr>
              <w:spacing w:after="0"/>
              <w:rPr>
                <w:sz w:val="20"/>
                <w:szCs w:val="20"/>
                <w:color w:val="auto"/>
              </w:rPr>
            </w:pPr>
            <w:r>
              <w:rPr>
                <w:rFonts w:ascii="Arial" w:cs="Arial" w:eastAsia="Arial" w:hAnsi="Arial"/>
                <w:sz w:val="18"/>
                <w:szCs w:val="18"/>
                <w:color w:val="auto"/>
              </w:rPr>
              <w:t>November 8, 2021</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 Swanson</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Al Swanson,</w:t>
            </w:r>
          </w:p>
        </w:tc>
      </w:tr>
      <w:tr>
        <w:trPr>
          <w:trHeight w:val="176"/>
        </w:trPr>
        <w:tc>
          <w:tcPr>
            <w:tcW w:w="6160" w:type="dxa"/>
            <w:vAlign w:val="bottom"/>
          </w:tcPr>
          <w:p>
            <w:pPr>
              <w:spacing w:after="0"/>
              <w:rPr>
                <w:sz w:val="15"/>
                <w:szCs w:val="15"/>
                <w:color w:val="auto"/>
              </w:rPr>
            </w:pPr>
          </w:p>
        </w:tc>
        <w:tc>
          <w:tcPr>
            <w:tcW w:w="50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2"/>
              </w:rPr>
              <w:t>Executive Vice President and Chief Financial Officer of PAA GP</w:t>
            </w:r>
          </w:p>
        </w:tc>
      </w:tr>
      <w:tr>
        <w:trPr>
          <w:trHeight w:val="229"/>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Financial Officer)</w:t>
            </w:r>
          </w:p>
        </w:tc>
      </w:tr>
      <w:tr>
        <w:trPr>
          <w:trHeight w:val="499"/>
        </w:trPr>
        <w:tc>
          <w:tcPr>
            <w:tcW w:w="6160" w:type="dxa"/>
            <w:vAlign w:val="bottom"/>
          </w:tcPr>
          <w:p>
            <w:pPr>
              <w:spacing w:after="0"/>
              <w:rPr>
                <w:sz w:val="20"/>
                <w:szCs w:val="20"/>
                <w:color w:val="auto"/>
              </w:rPr>
            </w:pPr>
            <w:r>
              <w:rPr>
                <w:rFonts w:ascii="Arial" w:cs="Arial" w:eastAsia="Arial" w:hAnsi="Arial"/>
                <w:sz w:val="18"/>
                <w:szCs w:val="18"/>
                <w:color w:val="auto"/>
              </w:rPr>
              <w:t>November 8, 2021</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 Herbold</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Chris Herbold,</w:t>
            </w:r>
          </w:p>
        </w:tc>
      </w:tr>
      <w:tr>
        <w:trPr>
          <w:trHeight w:val="176"/>
        </w:trPr>
        <w:tc>
          <w:tcPr>
            <w:tcW w:w="6160" w:type="dxa"/>
            <w:vAlign w:val="bottom"/>
          </w:tcPr>
          <w:p>
            <w:pPr>
              <w:spacing w:after="0"/>
              <w:rPr>
                <w:sz w:val="15"/>
                <w:szCs w:val="15"/>
                <w:color w:val="auto"/>
              </w:rPr>
            </w:pPr>
          </w:p>
        </w:tc>
        <w:tc>
          <w:tcPr>
            <w:tcW w:w="50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2"/>
              </w:rPr>
              <w:t>Senior Vice President, Finance and Chief Accounting Officer of</w:t>
            </w:r>
          </w:p>
        </w:tc>
      </w:tr>
      <w:tr>
        <w:trPr>
          <w:trHeight w:val="229"/>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PAA GP 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Accounting Officer)</w:t>
            </w:r>
          </w:p>
        </w:tc>
      </w:tr>
      <w:tr>
        <w:trPr>
          <w:trHeight w:val="500"/>
        </w:trPr>
        <w:tc>
          <w:tcPr>
            <w:tcW w:w="6160" w:type="dxa"/>
            <w:vAlign w:val="bottom"/>
          </w:tcPr>
          <w:p>
            <w:pPr>
              <w:spacing w:after="0"/>
              <w:rPr>
                <w:sz w:val="20"/>
                <w:szCs w:val="20"/>
                <w:color w:val="auto"/>
              </w:rPr>
            </w:pPr>
            <w:r>
              <w:rPr>
                <w:rFonts w:ascii="Arial" w:cs="Arial" w:eastAsia="Arial" w:hAnsi="Arial"/>
                <w:sz w:val="18"/>
                <w:szCs w:val="18"/>
                <w:color w:val="auto"/>
              </w:rPr>
              <w:t>November 8, 2021</w:t>
            </w:r>
          </w:p>
        </w:tc>
        <w:tc>
          <w:tcPr>
            <w:tcW w:w="50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125" w:right="35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11430</wp:posOffset>
            </wp:positionV>
            <wp:extent cx="2768600" cy="797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3">
                      <a:extLst>
                        <a:ext uri="{28A0092B-C50C-407E-A947-70E740481C1C}"/>
                      </a:extLst>
                    </a:blip>
                    <a:srcRect/>
                    <a:stretch>
                      <a:fillRect/>
                    </a:stretch>
                  </pic:blipFill>
                  <pic:spPr bwMode="auto">
                    <a:xfrm>
                      <a:off x="0" y="0"/>
                      <a:ext cx="276860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2021 Regular Annual LTIP Grant</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Section 16 Officers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19, 2021</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«Section 16 Officer»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1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Grant of Phantom Units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«Salutation»:</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 am pleased to inform you that, subject to the terms hereof, you have been granted a target number of Phantom Units equal to «LTIP_Grant» as of the above date pursuant to the Company’s «LTIP_Plan»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215" w:lineRule="exact"/>
        <w:rPr>
          <w:sz w:val="20"/>
          <w:szCs w:val="20"/>
          <w:color w:val="auto"/>
        </w:rPr>
      </w:pPr>
    </w:p>
    <w:p>
      <w:pPr>
        <w:jc w:val="both"/>
        <w:ind w:left="1060" w:hanging="404"/>
        <w:spacing w:after="0" w:line="234" w:lineRule="auto"/>
        <w:tabs>
          <w:tab w:leader="none" w:pos="10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Subject to the further provisions hereof, your Phantom Units shall vest (become payable in the form of one Common Unit of PAA for each Phantom Unit that vests) as set forth below. With respect to Tranche 2 and Tranche 3 below, the actual number of Phantom Units that vest may be lower or higher than the percentage of target Phantom Units associated with such Tranche.</w:t>
      </w:r>
    </w:p>
    <w:p>
      <w:pPr>
        <w:spacing w:after="0" w:line="3" w:lineRule="exact"/>
        <w:rPr>
          <w:rFonts w:ascii="Arial" w:cs="Arial" w:eastAsia="Arial" w:hAnsi="Arial"/>
          <w:sz w:val="22"/>
          <w:szCs w:val="22"/>
          <w:color w:val="auto"/>
        </w:rPr>
      </w:pPr>
    </w:p>
    <w:p>
      <w:pPr>
        <w:ind w:left="1620" w:hanging="316"/>
        <w:spacing w:after="0" w:line="230" w:lineRule="auto"/>
        <w:tabs>
          <w:tab w:leader="none" w:pos="1620" w:val="left"/>
        </w:tabs>
        <w:numPr>
          <w:ilvl w:val="1"/>
          <w:numId w:val="46"/>
        </w:numPr>
        <w:rPr>
          <w:rFonts w:ascii="Arial" w:cs="Arial" w:eastAsia="Arial" w:hAnsi="Arial"/>
          <w:sz w:val="22"/>
          <w:szCs w:val="22"/>
          <w:color w:val="auto"/>
        </w:rPr>
      </w:pPr>
      <w:r>
        <w:rPr>
          <w:rFonts w:ascii="Arial" w:cs="Arial" w:eastAsia="Arial" w:hAnsi="Arial"/>
          <w:sz w:val="22"/>
          <w:szCs w:val="22"/>
          <w:color w:val="auto"/>
        </w:rPr>
        <w:t>50% of your Phantom Units (“Tranche 1”) will vest on the August 2024 Distribution Date.</w:t>
      </w:r>
    </w:p>
    <w:p>
      <w:pPr>
        <w:ind w:left="1620" w:right="20" w:hanging="316"/>
        <w:spacing w:after="0" w:line="230" w:lineRule="auto"/>
        <w:tabs>
          <w:tab w:leader="none" w:pos="1620" w:val="left"/>
        </w:tabs>
        <w:numPr>
          <w:ilvl w:val="1"/>
          <w:numId w:val="46"/>
        </w:numPr>
        <w:rPr>
          <w:rFonts w:ascii="Arial" w:cs="Arial" w:eastAsia="Arial" w:hAnsi="Arial"/>
          <w:sz w:val="22"/>
          <w:szCs w:val="22"/>
          <w:color w:val="auto"/>
        </w:rPr>
      </w:pPr>
      <w:r>
        <w:rPr>
          <w:rFonts w:ascii="Arial" w:cs="Arial" w:eastAsia="Arial" w:hAnsi="Arial"/>
          <w:sz w:val="22"/>
          <w:szCs w:val="22"/>
          <w:color w:val="auto"/>
        </w:rPr>
        <w:t>25% of your Phantom Units (“Tranche 2”) will vest pursuant to the terms and conditions described in Exhibit A attached hereto.</w:t>
      </w:r>
    </w:p>
    <w:p>
      <w:pPr>
        <w:spacing w:after="0" w:line="1" w:lineRule="exact"/>
        <w:rPr>
          <w:rFonts w:ascii="Arial" w:cs="Arial" w:eastAsia="Arial" w:hAnsi="Arial"/>
          <w:sz w:val="22"/>
          <w:szCs w:val="22"/>
          <w:color w:val="auto"/>
        </w:rPr>
      </w:pPr>
    </w:p>
    <w:p>
      <w:pPr>
        <w:ind w:left="1620" w:hanging="316"/>
        <w:spacing w:after="0" w:line="230" w:lineRule="auto"/>
        <w:tabs>
          <w:tab w:leader="none" w:pos="1608" w:val="left"/>
        </w:tabs>
        <w:numPr>
          <w:ilvl w:val="1"/>
          <w:numId w:val="46"/>
        </w:numPr>
        <w:rPr>
          <w:rFonts w:ascii="Arial" w:cs="Arial" w:eastAsia="Arial" w:hAnsi="Arial"/>
          <w:sz w:val="22"/>
          <w:szCs w:val="22"/>
          <w:color w:val="auto"/>
        </w:rPr>
      </w:pPr>
      <w:r>
        <w:rPr>
          <w:rFonts w:ascii="Arial" w:cs="Arial" w:eastAsia="Arial" w:hAnsi="Arial"/>
          <w:sz w:val="22"/>
          <w:szCs w:val="22"/>
          <w:color w:val="auto"/>
        </w:rPr>
        <w:t>25% of your Phantom Units (“Tranche 3”) will vest pursuant to the terms and conditions described in Exhibit B attached hereto.</w:t>
      </w:r>
    </w:p>
    <w:p>
      <w:pPr>
        <w:spacing w:after="0" w:line="1" w:lineRule="exact"/>
        <w:rPr>
          <w:rFonts w:ascii="Arial" w:cs="Arial" w:eastAsia="Arial" w:hAnsi="Arial"/>
          <w:sz w:val="22"/>
          <w:szCs w:val="22"/>
          <w:color w:val="auto"/>
        </w:rPr>
      </w:pPr>
    </w:p>
    <w:p>
      <w:pPr>
        <w:ind w:left="1620" w:right="20" w:hanging="316"/>
        <w:spacing w:after="0" w:line="236" w:lineRule="auto"/>
        <w:tabs>
          <w:tab w:leader="none" w:pos="1620" w:val="left"/>
        </w:tabs>
        <w:numPr>
          <w:ilvl w:val="1"/>
          <w:numId w:val="46"/>
        </w:numPr>
        <w:rPr>
          <w:rFonts w:ascii="Arial" w:cs="Arial" w:eastAsia="Arial" w:hAnsi="Arial"/>
          <w:sz w:val="22"/>
          <w:szCs w:val="22"/>
          <w:color w:val="auto"/>
        </w:rPr>
      </w:pPr>
      <w:r>
        <w:rPr>
          <w:rFonts w:ascii="Arial" w:cs="Arial" w:eastAsia="Arial" w:hAnsi="Arial"/>
          <w:sz w:val="22"/>
          <w:szCs w:val="22"/>
          <w:color w:val="auto"/>
        </w:rPr>
        <w:t>Any Tranche 2 or Tranche 3 Phantom Units that are determined not to have vested as of the August 2024 Distribution Date shall expire effective as of such date.</w:t>
      </w:r>
    </w:p>
    <w:p>
      <w:pPr>
        <w:spacing w:after="0" w:line="146" w:lineRule="exact"/>
        <w:rPr>
          <w:rFonts w:ascii="Arial" w:cs="Arial" w:eastAsia="Arial" w:hAnsi="Arial"/>
          <w:sz w:val="22"/>
          <w:szCs w:val="22"/>
          <w:color w:val="auto"/>
        </w:rPr>
      </w:pPr>
    </w:p>
    <w:p>
      <w:pPr>
        <w:ind w:left="1060" w:hanging="404"/>
        <w:spacing w:after="0"/>
        <w:tabs>
          <w:tab w:leader="none" w:pos="10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Subject to the further provisions hereof, your DERs shall vest (become payable in cash) as follows:</w:t>
      </w:r>
    </w:p>
    <w:p>
      <w:pPr>
        <w:spacing w:after="0" w:line="8" w:lineRule="exact"/>
        <w:rPr>
          <w:rFonts w:ascii="Arial" w:cs="Arial" w:eastAsia="Arial" w:hAnsi="Arial"/>
          <w:sz w:val="22"/>
          <w:szCs w:val="22"/>
          <w:color w:val="auto"/>
        </w:rPr>
      </w:pPr>
    </w:p>
    <w:p>
      <w:pPr>
        <w:jc w:val="both"/>
        <w:ind w:left="1620" w:hanging="316"/>
        <w:spacing w:after="0" w:line="280" w:lineRule="auto"/>
        <w:tabs>
          <w:tab w:leader="none" w:pos="1608" w:val="left"/>
        </w:tabs>
        <w:numPr>
          <w:ilvl w:val="1"/>
          <w:numId w:val="46"/>
        </w:numPr>
        <w:rPr>
          <w:rFonts w:ascii="Arial" w:cs="Arial" w:eastAsia="Arial" w:hAnsi="Arial"/>
          <w:sz w:val="19"/>
          <w:szCs w:val="19"/>
          <w:color w:val="auto"/>
        </w:rPr>
      </w:pPr>
      <w:r>
        <w:rPr>
          <w:rFonts w:ascii="Arial" w:cs="Arial" w:eastAsia="Arial" w:hAnsi="Arial"/>
          <w:sz w:val="19"/>
          <w:szCs w:val="19"/>
          <w:color w:val="auto"/>
        </w:rPr>
        <w:t>The DERs associated with Tranche 1 will begin accruing on the November 2021 Distribution Date and will continue to accrue until the August 2022 Distribution Date, on which date such accrued but unpaid DERs will vest and be paid in a lump sum. Beginning on the November 2022 Distribution Date, such vested DERs will be paid quarterly until the associated Phantom Units vest or are forfeited pursuant to the terms hereof.</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80"/>
        </w:rPr>
        <w:t>333 Clay Street, Suite 1600 (77002) ■ P.O. Box 4648 ■ Houston, Texas 77210-4648 ■ 713-646-4100</w:t>
      </w:r>
    </w:p>
    <w:p>
      <w:pPr>
        <w:sectPr>
          <w:pgSz w:w="11900" w:h="16838" w:orient="portrait"/>
          <w:cols w:equalWidth="0" w:num="1">
            <w:col w:w="11240"/>
          </w:cols>
          <w:pgMar w:left="320" w:top="112" w:right="339" w:bottom="1440" w:gutter="0" w:footer="0" w:header="0"/>
        </w:sectPr>
      </w:pPr>
    </w:p>
    <w:bookmarkStart w:id="69" w:name="page70"/>
    <w:bookmarkEnd w:id="69"/>
    <w:p>
      <w:pPr>
        <w:spacing w:after="0"/>
        <w:rPr>
          <w:sz w:val="20"/>
          <w:szCs w:val="20"/>
          <w:color w:val="auto"/>
        </w:rPr>
      </w:pPr>
      <w:r>
        <w:rPr>
          <w:rFonts w:ascii="Arial" w:cs="Arial" w:eastAsia="Arial" w:hAnsi="Arial"/>
          <w:sz w:val="22"/>
          <w:szCs w:val="22"/>
          <w:color w:val="auto"/>
        </w:rPr>
        <w:t>«Officer»</w:t>
      </w:r>
    </w:p>
    <w:p>
      <w:pPr>
        <w:spacing w:after="0" w:line="238" w:lineRule="auto"/>
        <w:rPr>
          <w:sz w:val="20"/>
          <w:szCs w:val="20"/>
          <w:color w:val="auto"/>
        </w:rPr>
      </w:pPr>
      <w:r>
        <w:rPr>
          <w:rFonts w:ascii="Arial" w:cs="Arial" w:eastAsia="Arial" w:hAnsi="Arial"/>
          <w:sz w:val="22"/>
          <w:szCs w:val="22"/>
          <w:color w:val="auto"/>
        </w:rPr>
        <w:t>August 19, 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620" w:hanging="316"/>
        <w:spacing w:after="0" w:line="273" w:lineRule="auto"/>
        <w:tabs>
          <w:tab w:leader="none" w:pos="1620"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DERs associated with Tranches 2 and 3 will begin accruing on the November 2021 Distribution Date and will continue to accrue until the associated Phantom Units vest or are forfeited pursuant to the terms hereof. Until such time as a final determination has been made regarding the number of Phantom Units that have vested for Tranche 2 and Tranche 3, such accruals will be based on the assumption that the final “Payout Percentage” as determined pursuant to Exhibit A or Exhibit B, as applicable, equals 100%. Once the final Payout Percentages and the final number of Phantom Units vesting for Tranche 2 and Tranche 3 have been determined, such accrued amounts shall be adjusted upward or downward, as applicable, so that they equal the total amount that would have been accrued in respect of the DERs associated with such vested Phantom Units had the accrual been based on such number of vested Phantom Units commencing on the November 2021 Distribution Date. All accrued and unpaid DERs associated with Tranche 2 and Tranche 3 shall be paid on the August 2024 Distribution Date or as soon thereafter as is administratively practicable.</w:t>
      </w:r>
    </w:p>
    <w:p>
      <w:pPr>
        <w:spacing w:after="0" w:line="182" w:lineRule="exact"/>
        <w:rPr>
          <w:rFonts w:ascii="Arial" w:cs="Arial" w:eastAsia="Arial" w:hAnsi="Arial"/>
          <w:sz w:val="19"/>
          <w:szCs w:val="19"/>
          <w:color w:val="auto"/>
        </w:rPr>
      </w:pPr>
    </w:p>
    <w:p>
      <w:pPr>
        <w:jc w:val="both"/>
        <w:ind w:left="1080" w:hanging="424"/>
        <w:spacing w:after="0" w:line="238" w:lineRule="auto"/>
        <w:tabs>
          <w:tab w:leader="none" w:pos="10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number of Phantom Units and DERs subject to this award, and with respect to the Phantom Units comprising Tranche 3, the distributable cash flow level required for vesting of such Phantom Units, shall be proportionately reduced or increased for any split or reverse split, respectively, of PAA Common Units, or any event or transaction having a similar effect.</w:t>
      </w:r>
    </w:p>
    <w:p>
      <w:pPr>
        <w:spacing w:after="0" w:line="211" w:lineRule="exact"/>
        <w:rPr>
          <w:rFonts w:ascii="Arial" w:cs="Arial" w:eastAsia="Arial" w:hAnsi="Arial"/>
          <w:sz w:val="22"/>
          <w:szCs w:val="22"/>
          <w:color w:val="auto"/>
        </w:rPr>
      </w:pPr>
    </w:p>
    <w:p>
      <w:pPr>
        <w:jc w:val="both"/>
        <w:ind w:left="1080" w:hanging="424"/>
        <w:spacing w:after="0"/>
        <w:tabs>
          <w:tab w:leader="none" w:pos="10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Upon vesting of any Phantom Units, an equivalent number of DERs will expire. Any such DERs that are payable on the Distribution Date on which the Phantom Units vest, shall be payable on such Distribution Date prior to their expiration.</w:t>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auto"/>
        </w:rPr>
        <w:t>«Officer»</w:t>
      </w:r>
    </w:p>
    <w:p>
      <w:pPr>
        <w:spacing w:after="0" w:line="238" w:lineRule="auto"/>
        <w:rPr>
          <w:sz w:val="20"/>
          <w:szCs w:val="20"/>
          <w:color w:val="auto"/>
        </w:rPr>
      </w:pPr>
      <w:r>
        <w:rPr>
          <w:rFonts w:ascii="Arial" w:cs="Arial" w:eastAsia="Arial" w:hAnsi="Arial"/>
          <w:sz w:val="22"/>
          <w:szCs w:val="22"/>
          <w:color w:val="auto"/>
        </w:rPr>
        <w:t>August 19, 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980" w:hanging="324"/>
        <w:spacing w:after="0" w:line="244" w:lineRule="auto"/>
        <w:tabs>
          <w:tab w:leader="none" w:pos="980" w:val="left"/>
        </w:tabs>
        <w:numPr>
          <w:ilvl w:val="0"/>
          <w:numId w:val="49"/>
        </w:numPr>
        <w:rPr>
          <w:rFonts w:ascii="Arial" w:cs="Arial" w:eastAsia="Arial" w:hAnsi="Arial"/>
          <w:sz w:val="21"/>
          <w:szCs w:val="21"/>
          <w:color w:val="auto"/>
        </w:rPr>
      </w:pPr>
      <w:r>
        <w:rPr>
          <w:rFonts w:ascii="Arial" w:cs="Arial" w:eastAsia="Arial" w:hAnsi="Arial"/>
          <w:sz w:val="21"/>
          <w:szCs w:val="21"/>
          <w:color w:val="auto"/>
        </w:rPr>
        <w:t>In the event of the termination of your employment with the Company and its Affiliates for any reason (other than in connection with a Change in Status or by reason of your death or “disability,” as defined in paragraph 6 below), all of your then outstanding Phantom Units and DERs shall automatically be forfeited as of the date of termination; provided, however, that if the Company or its Affiliates terminate your employment other than as a result of a Termination for Cause,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after the first anniversary of the date of this grant, a “pro rata portion” of the target number of your then outstanding Phantom Units and DERs shall be deemed nonforfeitable on the date of termination and shall vest on the next following Distribution Date. The “pro rata portion” of Phantom Units vesting pursuant to clause (ii) immediately preceding shall be determined by multiplying the target number of your then outstanding Phantom Units by a fraction equal to the number of days between the grant date and the date of termination divided by the number of days between the grant date and the August 2024 Distribution Date (1,090). If the resulting amount includes a fraction, it will be rounded down to the nearest whole number.</w:t>
      </w:r>
    </w:p>
    <w:p>
      <w:pPr>
        <w:spacing w:after="0" w:line="207" w:lineRule="exact"/>
        <w:rPr>
          <w:rFonts w:ascii="Arial" w:cs="Arial" w:eastAsia="Arial" w:hAnsi="Arial"/>
          <w:sz w:val="21"/>
          <w:szCs w:val="21"/>
          <w:color w:val="auto"/>
        </w:rPr>
      </w:pPr>
    </w:p>
    <w:p>
      <w:pPr>
        <w:jc w:val="both"/>
        <w:ind w:left="980" w:hanging="324"/>
        <w:spacing w:after="0" w:line="269" w:lineRule="auto"/>
        <w:tabs>
          <w:tab w:leader="none" w:pos="9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on or after the first anniversary of the date of this grant, (x) all of your then outstanding Phantom Units (which shall be equal to the target number of Phantom Units specified in the first paragraph hereof) shall be deemed nonforfeitable on the date of termination and shall vest on the next following Distribution Date, and</w:t>
      </w:r>
    </w:p>
    <w:p>
      <w:pPr>
        <w:spacing w:after="0" w:line="2" w:lineRule="exact"/>
        <w:rPr>
          <w:rFonts w:ascii="Arial" w:cs="Arial" w:eastAsia="Arial" w:hAnsi="Arial"/>
          <w:sz w:val="19"/>
          <w:szCs w:val="19"/>
          <w:color w:val="auto"/>
        </w:rPr>
      </w:pPr>
    </w:p>
    <w:p>
      <w:pPr>
        <w:jc w:val="both"/>
        <w:ind w:left="980"/>
        <w:spacing w:after="0" w:line="246" w:lineRule="auto"/>
        <w:tabs>
          <w:tab w:leader="none" w:pos="1325" w:val="left"/>
        </w:tabs>
        <w:numPr>
          <w:ilvl w:val="1"/>
          <w:numId w:val="49"/>
        </w:numPr>
        <w:rPr>
          <w:rFonts w:ascii="Arial" w:cs="Arial" w:eastAsia="Arial" w:hAnsi="Arial"/>
          <w:sz w:val="21"/>
          <w:szCs w:val="21"/>
          <w:color w:val="auto"/>
        </w:rPr>
      </w:pPr>
      <w:r>
        <w:rPr>
          <w:rFonts w:ascii="Arial" w:cs="Arial" w:eastAsia="Arial" w:hAnsi="Arial"/>
          <w:sz w:val="21"/>
          <w:szCs w:val="21"/>
          <w:color w:val="auto"/>
        </w:rPr>
        <w:t>any DERs associated with such unvested, nonforfeitable Phantom Units shall not be forfeited on the date of termination, but shall be payable and shall expire on the next following Distribution Date. As soon as administratively practicable after the vesting of any Phantom Units pursuant to this paragraph 6, payment will be made in cash in an amount equal to the Market Value of the number of Phantom Units vesting.</w:t>
      </w:r>
    </w:p>
    <w:p>
      <w:pPr>
        <w:spacing w:after="0" w:line="206" w:lineRule="exact"/>
        <w:rPr>
          <w:rFonts w:ascii="Arial" w:cs="Arial" w:eastAsia="Arial" w:hAnsi="Arial"/>
          <w:sz w:val="21"/>
          <w:szCs w:val="21"/>
          <w:color w:val="auto"/>
        </w:rPr>
      </w:pPr>
    </w:p>
    <w:p>
      <w:pPr>
        <w:jc w:val="both"/>
        <w:ind w:left="980" w:hanging="324"/>
        <w:spacing w:after="0" w:line="236" w:lineRule="auto"/>
        <w:tabs>
          <w:tab w:leader="none" w:pos="9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In the event of a Change in Status, (i) all of your then outstanding Phantom Units (which shall be equal to the target number of Phantom Units specified in the first paragraph hereof) shall be deemed nonforfeitable on such date and shall vest on the next following Distribution Date, and (ii) any DERs associated with such unvested, nonforfeitable Phantom Units shall not be forfeited on such date, but shall be payable and shall expire on the next following Distribution Date.</w:t>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Arial" w:cs="Arial" w:eastAsia="Arial" w:hAnsi="Arial"/>
          <w:sz w:val="22"/>
          <w:szCs w:val="22"/>
          <w:color w:val="auto"/>
        </w:rPr>
        <w:t>«Officer»</w:t>
      </w:r>
    </w:p>
    <w:p>
      <w:pPr>
        <w:spacing w:after="0" w:line="238" w:lineRule="auto"/>
        <w:rPr>
          <w:sz w:val="20"/>
          <w:szCs w:val="20"/>
          <w:color w:val="auto"/>
        </w:rPr>
      </w:pPr>
      <w:r>
        <w:rPr>
          <w:rFonts w:ascii="Arial" w:cs="Arial" w:eastAsia="Arial" w:hAnsi="Arial"/>
          <w:sz w:val="22"/>
          <w:szCs w:val="22"/>
          <w:color w:val="auto"/>
        </w:rPr>
        <w:t>August 19, 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980" w:hanging="324"/>
        <w:spacing w:after="0" w:line="238" w:lineRule="auto"/>
        <w:tabs>
          <w:tab w:leader="none" w:pos="9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Nasdaq for the five trading days preceding the then most recent “ex dividend” date for payment of a distribution by the Partnership.</w:t>
      </w:r>
    </w:p>
    <w:p>
      <w:pPr>
        <w:spacing w:after="0" w:line="21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by you as a result of your retirement on terms and timing that are approved by the CEO.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phrase “Change of Control” means, and shall be deemed to have occurred upon the occurrence of, one or more of the following events:</w:t>
      </w:r>
    </w:p>
    <w:p>
      <w:pPr>
        <w:spacing w:after="0" w:line="202" w:lineRule="exact"/>
        <w:rPr>
          <w:sz w:val="20"/>
          <w:szCs w:val="20"/>
          <w:color w:val="auto"/>
        </w:rPr>
      </w:pPr>
    </w:p>
    <w:p>
      <w:pPr>
        <w:jc w:val="both"/>
        <w:ind w:left="1580" w:hanging="924"/>
        <w:spacing w:after="0" w:line="234" w:lineRule="auto"/>
        <w:tabs>
          <w:tab w:leader="none" w:pos="157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Person (other than Plains GP Holdings, L.P. (“PAGP”) and any affiliate of PAGP that is controlled by PAGP) becomes the beneficial owner, directly or indirectly (in one transaction or a series of related transactions and whether by merger or otherwise), of 50% or more of the membership interest in PAA GP Holdings LLC, a Delaware limited liability company (“PAGP GP”);</w:t>
      </w:r>
    </w:p>
    <w:p>
      <w:pPr>
        <w:spacing w:after="0" w:line="3" w:lineRule="exact"/>
        <w:rPr>
          <w:rFonts w:ascii="Arial" w:cs="Arial" w:eastAsia="Arial" w:hAnsi="Arial"/>
          <w:sz w:val="22"/>
          <w:szCs w:val="22"/>
          <w:color w:val="auto"/>
        </w:rPr>
      </w:pPr>
    </w:p>
    <w:p>
      <w:pPr>
        <w:jc w:val="both"/>
        <w:ind w:left="1580" w:hanging="924"/>
        <w:spacing w:after="0" w:line="230" w:lineRule="auto"/>
        <w:tabs>
          <w:tab w:leader="none" w:pos="1577"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Person (other than PAGP GP, PAGP or any affiliate of PAGP that is controlled by PAGP) acquires (in one transaction or a series of related transactions and whether by merger or otherwise) direct or indirect control of the general partner interest of PAGP;</w:t>
      </w:r>
    </w:p>
    <w:p>
      <w:pPr>
        <w:spacing w:after="0" w:line="1" w:lineRule="exact"/>
        <w:rPr>
          <w:rFonts w:ascii="Arial" w:cs="Arial" w:eastAsia="Arial" w:hAnsi="Arial"/>
          <w:sz w:val="22"/>
          <w:szCs w:val="22"/>
          <w:color w:val="auto"/>
        </w:rPr>
      </w:pPr>
    </w:p>
    <w:p>
      <w:pPr>
        <w:ind w:left="1580" w:hanging="924"/>
        <w:spacing w:after="0" w:line="236" w:lineRule="auto"/>
        <w:tabs>
          <w:tab w:leader="none" w:pos="1569" w:val="left"/>
        </w:tabs>
        <w:numPr>
          <w:ilvl w:val="0"/>
          <w:numId w:val="51"/>
        </w:numPr>
        <w:rPr>
          <w:rFonts w:ascii="Arial" w:cs="Arial" w:eastAsia="Arial" w:hAnsi="Arial"/>
          <w:sz w:val="22"/>
          <w:szCs w:val="22"/>
          <w:color w:val="auto"/>
        </w:rPr>
      </w:pPr>
      <w:r>
        <w:rPr>
          <w:rFonts w:ascii="Arial" w:cs="Arial" w:eastAsia="Arial" w:hAnsi="Arial"/>
          <w:sz w:val="22"/>
          <w:szCs w:val="22"/>
          <w:color w:val="auto"/>
        </w:rPr>
        <w:t>PAGP ceases to retain direct or indirect control (in one transaction or a series of related transactions and whether by merger or otherwise) of the general partner of the Partnership; or</w:t>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Arial" w:cs="Arial" w:eastAsia="Arial" w:hAnsi="Arial"/>
          <w:sz w:val="22"/>
          <w:szCs w:val="22"/>
          <w:color w:val="auto"/>
        </w:rPr>
        <w:t>«Officer»</w:t>
      </w:r>
    </w:p>
    <w:p>
      <w:pPr>
        <w:spacing w:after="0" w:line="238" w:lineRule="auto"/>
        <w:rPr>
          <w:sz w:val="20"/>
          <w:szCs w:val="20"/>
          <w:color w:val="auto"/>
        </w:rPr>
      </w:pPr>
      <w:r>
        <w:rPr>
          <w:rFonts w:ascii="Arial" w:cs="Arial" w:eastAsia="Arial" w:hAnsi="Arial"/>
          <w:sz w:val="22"/>
          <w:szCs w:val="22"/>
          <w:color w:val="auto"/>
        </w:rPr>
        <w:t>August 19, 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580" w:hanging="924"/>
        <w:spacing w:after="0" w:line="238" w:lineRule="auto"/>
        <w:tabs>
          <w:tab w:leader="none" w:pos="157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consummation of a reorganization, merger or consolidation with, or any direct or indirect sale, lease, exchange or other transfer (in one transaction or a series of related transactions) of all or substantially all of the assets of the Partnership to, one or more Persons (other than PAGP or any affiliates of PAGP that are controlled by PAGP).</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used in this definition, “Person” shall include any “partnership, limited partnership, syndicate or other group” constituting a “person” within the meaning of such terms pursuant to Sections 13(d) and 14(d) of the Securities Exchange Act of 1934, as amended.</w:t>
      </w:r>
    </w:p>
    <w:p>
      <w:pPr>
        <w:spacing w:after="0" w:line="2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17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Seventh Amended and Restated Agreement of Limited Partnership of Plains All American Pipeline, L.P., as amended (the “Partnership Agreement”).</w:t>
      </w:r>
    </w:p>
    <w:p>
      <w:pPr>
        <w:spacing w:after="0" w:line="213" w:lineRule="exact"/>
        <w:rPr>
          <w:sz w:val="20"/>
          <w:szCs w:val="20"/>
          <w:color w:val="auto"/>
        </w:rPr>
      </w:pPr>
    </w:p>
    <w:p>
      <w:pPr>
        <w:jc w:val="both"/>
        <w:ind w:firstLine="565"/>
        <w:spacing w:after="0" w:line="236"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1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By signing below, you agree that the Phantom Units and DERs granted hereunder are governed by the terms of the Plan. You also acknowledge and agree that (i) Tranches 2 and 3 of this award constitute performance-based compensation as defined in the Clawback Policy adopted by PAGP GP on November 12, 2020 and (ii) Tranches 2 and 3 of this award, as well as any other performance-based compensation previously paid or awarded to you, are subject to recovery or cancellation pursuant to such Policy. Copies of the Plan, the Partnership Agreement and the Clawback Policy are available upon request.</w:t>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auto"/>
        </w:rPr>
        <w:t>«Officer»</w:t>
      </w:r>
    </w:p>
    <w:p>
      <w:pPr>
        <w:spacing w:after="0" w:line="238" w:lineRule="auto"/>
        <w:rPr>
          <w:sz w:val="20"/>
          <w:szCs w:val="20"/>
          <w:color w:val="auto"/>
        </w:rPr>
      </w:pPr>
      <w:r>
        <w:rPr>
          <w:rFonts w:ascii="Arial" w:cs="Arial" w:eastAsia="Arial" w:hAnsi="Arial"/>
          <w:sz w:val="22"/>
          <w:szCs w:val="22"/>
          <w:color w:val="auto"/>
        </w:rPr>
        <w:t>August 19, 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Please designate in the space provided below a beneficiary to receive benefits payable under this grant in the event of your death. Unless you indicate otherwise by checking the box below, the named beneficiaries on this form will serve as your beneficiaries for all previous LTIP grants. In addition, please execute and return a copy of this grant letter to me and retain a copy for your records.</w:t>
      </w: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33"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PLAINS ALL AMERICAN GP LLC,</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140" w:type="dxa"/>
            <w:vAlign w:val="bottom"/>
            <w:gridSpan w:val="6"/>
          </w:tcPr>
          <w:p>
            <w:pPr>
              <w:spacing w:after="0"/>
              <w:rPr>
                <w:sz w:val="20"/>
                <w:szCs w:val="20"/>
                <w:color w:val="auto"/>
              </w:rPr>
            </w:pPr>
            <w:r>
              <w:rPr>
                <w:rFonts w:ascii="Arial" w:cs="Arial" w:eastAsia="Arial" w:hAnsi="Arial"/>
                <w:sz w:val="22"/>
                <w:szCs w:val="22"/>
                <w:color w:val="auto"/>
              </w:rPr>
              <w:t>its general partner</w:t>
            </w:r>
          </w:p>
        </w:tc>
        <w:tc>
          <w:tcPr>
            <w:tcW w:w="3580" w:type="dxa"/>
            <w:vAlign w:val="bottom"/>
          </w:tcPr>
          <w:p>
            <w:pPr>
              <w:spacing w:after="0"/>
              <w:rPr>
                <w:sz w:val="23"/>
                <w:szCs w:val="23"/>
                <w:color w:val="auto"/>
              </w:rPr>
            </w:pPr>
          </w:p>
        </w:tc>
      </w:tr>
      <w:tr>
        <w:trPr>
          <w:trHeight w:val="680"/>
        </w:trPr>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80" w:type="dxa"/>
            <w:vAlign w:val="bottom"/>
            <w:gridSpan w:val="7"/>
          </w:tcPr>
          <w:p>
            <w:pPr>
              <w:ind w:left="700"/>
              <w:spacing w:after="0"/>
              <w:rPr>
                <w:sz w:val="20"/>
                <w:szCs w:val="20"/>
                <w:color w:val="auto"/>
              </w:rPr>
            </w:pPr>
            <w:r>
              <w:rPr>
                <w:rFonts w:ascii="Arial" w:cs="Arial" w:eastAsia="Arial" w:hAnsi="Arial"/>
                <w:sz w:val="22"/>
                <w:szCs w:val="22"/>
                <w:color w:val="auto"/>
                <w:w w:val="91"/>
              </w:rPr>
              <w:t>By:  ______________________________</w:t>
            </w:r>
          </w:p>
        </w:tc>
        <w:tc>
          <w:tcPr>
            <w:tcW w:w="3580" w:type="dxa"/>
            <w:vAlign w:val="bottom"/>
          </w:tcPr>
          <w:p>
            <w:pPr>
              <w:spacing w:after="0"/>
              <w:rPr>
                <w:sz w:val="24"/>
                <w:szCs w:val="24"/>
                <w:color w:val="auto"/>
              </w:rPr>
            </w:pPr>
          </w:p>
        </w:tc>
      </w:tr>
      <w:tr>
        <w:trPr>
          <w:trHeight w:val="243"/>
        </w:trPr>
        <w:tc>
          <w:tcPr>
            <w:tcW w:w="3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ind w:left="700"/>
              <w:spacing w:after="0" w:line="243" w:lineRule="exact"/>
              <w:rPr>
                <w:sz w:val="20"/>
                <w:szCs w:val="20"/>
                <w:color w:val="auto"/>
              </w:rPr>
            </w:pPr>
            <w:r>
              <w:rPr>
                <w:rFonts w:ascii="Arial" w:cs="Arial" w:eastAsia="Arial" w:hAnsi="Arial"/>
                <w:sz w:val="22"/>
                <w:szCs w:val="22"/>
                <w:color w:val="auto"/>
                <w:w w:val="95"/>
              </w:rPr>
              <w:t>Name:</w:t>
            </w:r>
          </w:p>
        </w:tc>
        <w:tc>
          <w:tcPr>
            <w:tcW w:w="40" w:type="dxa"/>
            <w:vAlign w:val="bottom"/>
          </w:tcPr>
          <w:p>
            <w:pPr>
              <w:spacing w:after="0"/>
              <w:rPr>
                <w:sz w:val="21"/>
                <w:szCs w:val="21"/>
                <w:color w:val="auto"/>
              </w:rPr>
            </w:pPr>
          </w:p>
        </w:tc>
        <w:tc>
          <w:tcPr>
            <w:tcW w:w="3100" w:type="dxa"/>
            <w:vAlign w:val="bottom"/>
            <w:gridSpan w:val="5"/>
          </w:tcPr>
          <w:p>
            <w:pPr>
              <w:ind w:left="100"/>
              <w:spacing w:after="0" w:line="243" w:lineRule="exact"/>
              <w:rPr>
                <w:sz w:val="20"/>
                <w:szCs w:val="20"/>
                <w:color w:val="auto"/>
              </w:rPr>
            </w:pPr>
            <w:r>
              <w:rPr>
                <w:rFonts w:ascii="Arial" w:cs="Arial" w:eastAsia="Arial" w:hAnsi="Arial"/>
                <w:sz w:val="22"/>
                <w:szCs w:val="22"/>
                <w:color w:val="auto"/>
              </w:rPr>
              <w:t>Jim Tillis</w:t>
            </w:r>
          </w:p>
        </w:tc>
        <w:tc>
          <w:tcPr>
            <w:tcW w:w="3580" w:type="dxa"/>
            <w:vAlign w:val="bottom"/>
          </w:tcPr>
          <w:p>
            <w:pPr>
              <w:spacing w:after="0"/>
              <w:rPr>
                <w:sz w:val="21"/>
                <w:szCs w:val="21"/>
                <w:color w:val="auto"/>
              </w:rPr>
            </w:pPr>
          </w:p>
        </w:tc>
      </w:tr>
      <w:tr>
        <w:trPr>
          <w:trHeight w:val="274"/>
        </w:trPr>
        <w:tc>
          <w:tcPr>
            <w:tcW w:w="3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ind w:left="700"/>
              <w:spacing w:after="0"/>
              <w:rPr>
                <w:sz w:val="20"/>
                <w:szCs w:val="20"/>
                <w:color w:val="auto"/>
              </w:rPr>
            </w:pPr>
            <w:r>
              <w:rPr>
                <w:rFonts w:ascii="Arial" w:cs="Arial" w:eastAsia="Arial" w:hAnsi="Arial"/>
                <w:sz w:val="22"/>
                <w:szCs w:val="22"/>
                <w:color w:val="auto"/>
              </w:rPr>
              <w:t>Title:</w:t>
            </w:r>
          </w:p>
        </w:tc>
        <w:tc>
          <w:tcPr>
            <w:tcW w:w="3140" w:type="dxa"/>
            <w:vAlign w:val="bottom"/>
            <w:gridSpan w:val="6"/>
          </w:tcPr>
          <w:p>
            <w:pPr>
              <w:ind w:left="20"/>
              <w:spacing w:after="0"/>
              <w:rPr>
                <w:sz w:val="20"/>
                <w:szCs w:val="20"/>
                <w:color w:val="auto"/>
              </w:rPr>
            </w:pPr>
            <w:r>
              <w:rPr>
                <w:rFonts w:ascii="Arial" w:cs="Arial" w:eastAsia="Arial" w:hAnsi="Arial"/>
                <w:sz w:val="22"/>
                <w:szCs w:val="22"/>
                <w:color w:val="auto"/>
                <w:w w:val="88"/>
              </w:rPr>
              <w:t>Vice President – Human Resources</w:t>
            </w:r>
          </w:p>
        </w:tc>
        <w:tc>
          <w:tcPr>
            <w:tcW w:w="3580" w:type="dxa"/>
            <w:vAlign w:val="bottom"/>
          </w:tcPr>
          <w:p>
            <w:pPr>
              <w:spacing w:after="0"/>
              <w:rPr>
                <w:sz w:val="23"/>
                <w:szCs w:val="23"/>
                <w:color w:val="auto"/>
              </w:rPr>
            </w:pPr>
          </w:p>
        </w:tc>
      </w:tr>
      <w:tr>
        <w:trPr>
          <w:trHeight w:val="698"/>
        </w:trPr>
        <w:tc>
          <w:tcPr>
            <w:tcW w:w="3200" w:type="dxa"/>
            <w:vAlign w:val="bottom"/>
            <w:gridSpan w:val="2"/>
          </w:tcPr>
          <w:p>
            <w:pPr>
              <w:spacing w:after="0"/>
              <w:rPr>
                <w:sz w:val="20"/>
                <w:szCs w:val="20"/>
                <w:color w:val="auto"/>
              </w:rPr>
            </w:pPr>
            <w:r>
              <w:rPr>
                <w:rFonts w:ascii="Arial" w:cs="Arial" w:eastAsia="Arial" w:hAnsi="Arial"/>
                <w:sz w:val="22"/>
                <w:szCs w:val="22"/>
                <w:color w:val="auto"/>
                <w:w w:val="89"/>
              </w:rPr>
              <w:t>_____________________________</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74"/>
        </w:trPr>
        <w:tc>
          <w:tcPr>
            <w:tcW w:w="3200" w:type="dxa"/>
            <w:vAlign w:val="bottom"/>
            <w:gridSpan w:val="2"/>
          </w:tcPr>
          <w:p>
            <w:pPr>
              <w:spacing w:after="0"/>
              <w:rPr>
                <w:sz w:val="20"/>
                <w:szCs w:val="20"/>
                <w:color w:val="auto"/>
              </w:rPr>
            </w:pPr>
            <w:r>
              <w:rPr>
                <w:rFonts w:ascii="Arial" w:cs="Arial" w:eastAsia="Arial" w:hAnsi="Arial"/>
                <w:sz w:val="22"/>
                <w:szCs w:val="22"/>
                <w:color w:val="auto"/>
              </w:rPr>
              <w:t>«Section 16 Officer»</w:t>
            </w: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80" w:type="dxa"/>
            <w:vAlign w:val="bottom"/>
          </w:tcPr>
          <w:p>
            <w:pPr>
              <w:spacing w:after="0"/>
              <w:rPr>
                <w:sz w:val="23"/>
                <w:szCs w:val="23"/>
                <w:color w:val="auto"/>
              </w:rPr>
            </w:pPr>
          </w:p>
        </w:tc>
      </w:tr>
      <w:tr>
        <w:trPr>
          <w:trHeight w:val="449"/>
        </w:trPr>
        <w:tc>
          <w:tcPr>
            <w:tcW w:w="3000" w:type="dxa"/>
            <w:vAlign w:val="bottom"/>
          </w:tcPr>
          <w:p>
            <w:pPr>
              <w:spacing w:after="0"/>
              <w:rPr>
                <w:sz w:val="20"/>
                <w:szCs w:val="20"/>
                <w:color w:val="auto"/>
              </w:rPr>
            </w:pPr>
            <w:r>
              <w:rPr>
                <w:rFonts w:ascii="Arial" w:cs="Arial" w:eastAsia="Arial" w:hAnsi="Arial"/>
                <w:sz w:val="22"/>
                <w:szCs w:val="22"/>
                <w:color w:val="auto"/>
                <w:w w:val="90"/>
              </w:rPr>
              <w:t>Target Number of Phantom Units:</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89"/>
              </w:rPr>
              <w:t>«LTIP_Grant»</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625"/>
        </w:trPr>
        <w:tc>
          <w:tcPr>
            <w:tcW w:w="3200" w:type="dxa"/>
            <w:vAlign w:val="bottom"/>
            <w:gridSpan w:val="2"/>
          </w:tcPr>
          <w:p>
            <w:pPr>
              <w:spacing w:after="0"/>
              <w:rPr>
                <w:sz w:val="20"/>
                <w:szCs w:val="20"/>
                <w:color w:val="auto"/>
              </w:rPr>
            </w:pPr>
            <w:r>
              <w:rPr>
                <w:rFonts w:ascii="Arial" w:cs="Arial" w:eastAsia="Arial" w:hAnsi="Arial"/>
                <w:sz w:val="22"/>
                <w:szCs w:val="22"/>
                <w:color w:val="auto"/>
                <w:w w:val="90"/>
              </w:rPr>
              <w:t>Dated: _______________________</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921"/>
        </w:trPr>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40" w:type="dxa"/>
            <w:vAlign w:val="bottom"/>
            <w:gridSpan w:val="6"/>
          </w:tcPr>
          <w:p>
            <w:pPr>
              <w:ind w:left="40"/>
              <w:spacing w:after="0"/>
              <w:rPr>
                <w:sz w:val="20"/>
                <w:szCs w:val="20"/>
                <w:color w:val="auto"/>
              </w:rPr>
            </w:pPr>
            <w:r>
              <w:rPr>
                <w:rFonts w:ascii="Arial" w:cs="Arial" w:eastAsia="Arial" w:hAnsi="Arial"/>
                <w:sz w:val="22"/>
                <w:szCs w:val="22"/>
                <w:color w:val="auto"/>
              </w:rPr>
              <w:t>Beneficiary Designation</w:t>
            </w:r>
          </w:p>
        </w:tc>
        <w:tc>
          <w:tcPr>
            <w:tcW w:w="3580" w:type="dxa"/>
            <w:vAlign w:val="bottom"/>
          </w:tcPr>
          <w:p>
            <w:pPr>
              <w:spacing w:after="0"/>
              <w:rPr>
                <w:sz w:val="24"/>
                <w:szCs w:val="24"/>
                <w:color w:val="auto"/>
              </w:rPr>
            </w:pPr>
          </w:p>
        </w:tc>
      </w:tr>
      <w:tr>
        <w:trPr>
          <w:trHeight w:val="290"/>
        </w:trPr>
        <w:tc>
          <w:tcPr>
            <w:tcW w:w="3200" w:type="dxa"/>
            <w:vAlign w:val="bottom"/>
            <w:tcBorders>
              <w:bottom w:val="single" w:sz="8" w:color="auto"/>
            </w:tcBorders>
            <w:gridSpan w:val="2"/>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r>
        <w:trPr>
          <w:trHeight w:val="336"/>
        </w:trPr>
        <w:tc>
          <w:tcPr>
            <w:tcW w:w="3200" w:type="dxa"/>
            <w:vAlign w:val="bottom"/>
            <w:tcBorders>
              <w:left w:val="single" w:sz="8" w:color="auto"/>
              <w:bottom w:val="single" w:sz="8" w:color="C0C0C0"/>
            </w:tcBorders>
            <w:gridSpan w:val="2"/>
            <w:shd w:val="clear" w:color="auto" w:fill="C0C0C0"/>
          </w:tcPr>
          <w:p>
            <w:pPr>
              <w:ind w:left="80"/>
              <w:spacing w:after="0"/>
              <w:rPr>
                <w:sz w:val="20"/>
                <w:szCs w:val="20"/>
                <w:color w:val="auto"/>
              </w:rPr>
            </w:pPr>
            <w:r>
              <w:rPr>
                <w:rFonts w:ascii="Arial" w:cs="Arial" w:eastAsia="Arial" w:hAnsi="Arial"/>
                <w:sz w:val="22"/>
                <w:szCs w:val="22"/>
                <w:color w:val="auto"/>
              </w:rPr>
              <w:t>Primary Beneficiary Name</w:t>
            </w:r>
          </w:p>
        </w:tc>
        <w:tc>
          <w:tcPr>
            <w:tcW w:w="1340" w:type="dxa"/>
            <w:vAlign w:val="bottom"/>
            <w:tcBorders>
              <w:bottom w:val="single" w:sz="8" w:color="C0C0C0"/>
            </w:tcBorders>
            <w:shd w:val="clear" w:color="auto" w:fill="C0C0C0"/>
          </w:tcPr>
          <w:p>
            <w:pPr>
              <w:spacing w:after="0"/>
              <w:rPr>
                <w:sz w:val="24"/>
                <w:szCs w:val="24"/>
                <w:color w:val="auto"/>
              </w:rPr>
            </w:pPr>
          </w:p>
        </w:tc>
        <w:tc>
          <w:tcPr>
            <w:tcW w:w="40" w:type="dxa"/>
            <w:vAlign w:val="bottom"/>
            <w:tcBorders>
              <w:bottom w:val="single" w:sz="8" w:color="C0C0C0"/>
            </w:tcBorders>
            <w:shd w:val="clear" w:color="auto" w:fill="C0C0C0"/>
          </w:tcPr>
          <w:p>
            <w:pPr>
              <w:spacing w:after="0"/>
              <w:rPr>
                <w:sz w:val="24"/>
                <w:szCs w:val="24"/>
                <w:color w:val="auto"/>
              </w:rPr>
            </w:pPr>
          </w:p>
        </w:tc>
        <w:tc>
          <w:tcPr>
            <w:tcW w:w="160" w:type="dxa"/>
            <w:vAlign w:val="bottom"/>
            <w:tcBorders>
              <w:bottom w:val="single" w:sz="8" w:color="C0C0C0"/>
            </w:tcBorders>
            <w:shd w:val="clear" w:color="auto" w:fill="C0C0C0"/>
          </w:tcPr>
          <w:p>
            <w:pPr>
              <w:spacing w:after="0"/>
              <w:rPr>
                <w:sz w:val="24"/>
                <w:szCs w:val="24"/>
                <w:color w:val="auto"/>
              </w:rPr>
            </w:pPr>
          </w:p>
        </w:tc>
        <w:tc>
          <w:tcPr>
            <w:tcW w:w="620" w:type="dxa"/>
            <w:vAlign w:val="bottom"/>
            <w:tcBorders>
              <w:bottom w:val="single" w:sz="8" w:color="C0C0C0"/>
              <w:right w:val="single" w:sz="8" w:color="auto"/>
            </w:tcBorders>
            <w:shd w:val="clear" w:color="auto" w:fill="C0C0C0"/>
          </w:tcPr>
          <w:p>
            <w:pPr>
              <w:spacing w:after="0"/>
              <w:rPr>
                <w:sz w:val="24"/>
                <w:szCs w:val="24"/>
                <w:color w:val="auto"/>
              </w:rPr>
            </w:pPr>
          </w:p>
        </w:tc>
        <w:tc>
          <w:tcPr>
            <w:tcW w:w="2280" w:type="dxa"/>
            <w:vAlign w:val="bottom"/>
            <w:tcBorders>
              <w:bottom w:val="single" w:sz="8" w:color="C0C0C0"/>
              <w:right w:val="single" w:sz="8" w:color="auto"/>
            </w:tcBorders>
            <w:gridSpan w:val="2"/>
            <w:shd w:val="clear" w:color="auto" w:fill="C0C0C0"/>
          </w:tcPr>
          <w:p>
            <w:pPr>
              <w:ind w:left="60"/>
              <w:spacing w:after="0"/>
              <w:rPr>
                <w:sz w:val="20"/>
                <w:szCs w:val="20"/>
                <w:color w:val="auto"/>
              </w:rPr>
            </w:pPr>
            <w:r>
              <w:rPr>
                <w:rFonts w:ascii="Arial" w:cs="Arial" w:eastAsia="Arial" w:hAnsi="Arial"/>
                <w:sz w:val="22"/>
                <w:szCs w:val="22"/>
                <w:color w:val="auto"/>
              </w:rPr>
              <w:t>Relationship</w:t>
            </w:r>
          </w:p>
        </w:tc>
        <w:tc>
          <w:tcPr>
            <w:tcW w:w="40" w:type="dxa"/>
            <w:vAlign w:val="bottom"/>
            <w:tcBorders>
              <w:bottom w:val="single" w:sz="8" w:color="C0C0C0"/>
            </w:tcBorders>
            <w:shd w:val="clear" w:color="auto" w:fill="C0C0C0"/>
          </w:tcPr>
          <w:p>
            <w:pPr>
              <w:spacing w:after="0"/>
              <w:rPr>
                <w:sz w:val="24"/>
                <w:szCs w:val="24"/>
                <w:color w:val="auto"/>
              </w:rPr>
            </w:pPr>
          </w:p>
        </w:tc>
        <w:tc>
          <w:tcPr>
            <w:tcW w:w="358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37"/>
        </w:trPr>
        <w:tc>
          <w:tcPr>
            <w:tcW w:w="3000" w:type="dxa"/>
            <w:vAlign w:val="bottom"/>
            <w:tcBorders>
              <w:top w:val="single" w:sz="8" w:color="auto"/>
              <w:left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right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3580" w:type="dxa"/>
            <w:vAlign w:val="bottom"/>
            <w:tcBorders>
              <w:top w:val="single" w:sz="8" w:color="auto"/>
              <w:bottom w:val="single" w:sz="8" w:color="auto"/>
              <w:right w:val="single" w:sz="8" w:color="auto"/>
            </w:tcBorders>
          </w:tcPr>
          <w:p>
            <w:pPr>
              <w:spacing w:after="0"/>
              <w:rPr>
                <w:sz w:val="20"/>
                <w:szCs w:val="20"/>
                <w:color w:val="auto"/>
              </w:rPr>
            </w:pPr>
          </w:p>
        </w:tc>
      </w:tr>
      <w:tr>
        <w:trPr>
          <w:trHeight w:val="236"/>
        </w:trPr>
        <w:tc>
          <w:tcPr>
            <w:tcW w:w="300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r>
      <w:tr>
        <w:trPr>
          <w:trHeight w:val="237"/>
        </w:trPr>
        <w:tc>
          <w:tcPr>
            <w:tcW w:w="300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r>
      <w:tr>
        <w:trPr>
          <w:trHeight w:val="336"/>
        </w:trPr>
        <w:tc>
          <w:tcPr>
            <w:tcW w:w="3200" w:type="dxa"/>
            <w:vAlign w:val="bottom"/>
            <w:tcBorders>
              <w:left w:val="single" w:sz="8" w:color="auto"/>
              <w:bottom w:val="single" w:sz="8" w:color="C0C0C0"/>
            </w:tcBorders>
            <w:gridSpan w:val="2"/>
            <w:shd w:val="clear" w:color="auto" w:fill="C0C0C0"/>
          </w:tcPr>
          <w:p>
            <w:pPr>
              <w:ind w:left="80"/>
              <w:spacing w:after="0"/>
              <w:rPr>
                <w:sz w:val="20"/>
                <w:szCs w:val="20"/>
                <w:color w:val="auto"/>
              </w:rPr>
            </w:pPr>
            <w:r>
              <w:rPr>
                <w:rFonts w:ascii="Arial" w:cs="Arial" w:eastAsia="Arial" w:hAnsi="Arial"/>
                <w:sz w:val="22"/>
                <w:szCs w:val="22"/>
                <w:color w:val="auto"/>
              </w:rPr>
              <w:t>Secondary Beneficiary Name</w:t>
            </w:r>
          </w:p>
        </w:tc>
        <w:tc>
          <w:tcPr>
            <w:tcW w:w="1340" w:type="dxa"/>
            <w:vAlign w:val="bottom"/>
            <w:tcBorders>
              <w:bottom w:val="single" w:sz="8" w:color="C0C0C0"/>
            </w:tcBorders>
            <w:shd w:val="clear" w:color="auto" w:fill="C0C0C0"/>
          </w:tcPr>
          <w:p>
            <w:pPr>
              <w:spacing w:after="0"/>
              <w:rPr>
                <w:sz w:val="24"/>
                <w:szCs w:val="24"/>
                <w:color w:val="auto"/>
              </w:rPr>
            </w:pPr>
          </w:p>
        </w:tc>
        <w:tc>
          <w:tcPr>
            <w:tcW w:w="40" w:type="dxa"/>
            <w:vAlign w:val="bottom"/>
            <w:tcBorders>
              <w:bottom w:val="single" w:sz="8" w:color="C0C0C0"/>
            </w:tcBorders>
            <w:shd w:val="clear" w:color="auto" w:fill="C0C0C0"/>
          </w:tcPr>
          <w:p>
            <w:pPr>
              <w:spacing w:after="0"/>
              <w:rPr>
                <w:sz w:val="24"/>
                <w:szCs w:val="24"/>
                <w:color w:val="auto"/>
              </w:rPr>
            </w:pPr>
          </w:p>
        </w:tc>
        <w:tc>
          <w:tcPr>
            <w:tcW w:w="160" w:type="dxa"/>
            <w:vAlign w:val="bottom"/>
            <w:tcBorders>
              <w:bottom w:val="single" w:sz="8" w:color="C0C0C0"/>
            </w:tcBorders>
            <w:shd w:val="clear" w:color="auto" w:fill="C0C0C0"/>
          </w:tcPr>
          <w:p>
            <w:pPr>
              <w:spacing w:after="0"/>
              <w:rPr>
                <w:sz w:val="24"/>
                <w:szCs w:val="24"/>
                <w:color w:val="auto"/>
              </w:rPr>
            </w:pPr>
          </w:p>
        </w:tc>
        <w:tc>
          <w:tcPr>
            <w:tcW w:w="620" w:type="dxa"/>
            <w:vAlign w:val="bottom"/>
            <w:tcBorders>
              <w:bottom w:val="single" w:sz="8" w:color="C0C0C0"/>
              <w:right w:val="single" w:sz="8" w:color="auto"/>
            </w:tcBorders>
            <w:shd w:val="clear" w:color="auto" w:fill="C0C0C0"/>
          </w:tcPr>
          <w:p>
            <w:pPr>
              <w:spacing w:after="0"/>
              <w:rPr>
                <w:sz w:val="24"/>
                <w:szCs w:val="24"/>
                <w:color w:val="auto"/>
              </w:rPr>
            </w:pPr>
          </w:p>
        </w:tc>
        <w:tc>
          <w:tcPr>
            <w:tcW w:w="2280" w:type="dxa"/>
            <w:vAlign w:val="bottom"/>
            <w:tcBorders>
              <w:bottom w:val="single" w:sz="8" w:color="C0C0C0"/>
              <w:right w:val="single" w:sz="8" w:color="auto"/>
            </w:tcBorders>
            <w:gridSpan w:val="2"/>
            <w:shd w:val="clear" w:color="auto" w:fill="C0C0C0"/>
          </w:tcPr>
          <w:p>
            <w:pPr>
              <w:ind w:left="60"/>
              <w:spacing w:after="0"/>
              <w:rPr>
                <w:sz w:val="20"/>
                <w:szCs w:val="20"/>
                <w:color w:val="auto"/>
              </w:rPr>
            </w:pPr>
            <w:r>
              <w:rPr>
                <w:rFonts w:ascii="Arial" w:cs="Arial" w:eastAsia="Arial" w:hAnsi="Arial"/>
                <w:sz w:val="22"/>
                <w:szCs w:val="22"/>
                <w:color w:val="auto"/>
              </w:rPr>
              <w:t>Relationship</w:t>
            </w:r>
          </w:p>
        </w:tc>
        <w:tc>
          <w:tcPr>
            <w:tcW w:w="40" w:type="dxa"/>
            <w:vAlign w:val="bottom"/>
            <w:tcBorders>
              <w:bottom w:val="single" w:sz="8" w:color="C0C0C0"/>
            </w:tcBorders>
            <w:shd w:val="clear" w:color="auto" w:fill="C0C0C0"/>
          </w:tcPr>
          <w:p>
            <w:pPr>
              <w:spacing w:after="0"/>
              <w:rPr>
                <w:sz w:val="24"/>
                <w:szCs w:val="24"/>
                <w:color w:val="auto"/>
              </w:rPr>
            </w:pPr>
          </w:p>
        </w:tc>
        <w:tc>
          <w:tcPr>
            <w:tcW w:w="358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10"/>
        </w:trPr>
        <w:tc>
          <w:tcPr>
            <w:tcW w:w="3000" w:type="dxa"/>
            <w:vAlign w:val="bottom"/>
            <w:tcBorders>
              <w:top w:val="single" w:sz="8" w:color="auto"/>
              <w:left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right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right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580" w:type="dxa"/>
            <w:vAlign w:val="bottom"/>
            <w:tcBorders>
              <w:top w:val="single" w:sz="8" w:color="auto"/>
              <w:bottom w:val="single" w:sz="8" w:color="auto"/>
              <w:right w:val="single" w:sz="8" w:color="auto"/>
            </w:tcBorders>
          </w:tcPr>
          <w:p>
            <w:pPr>
              <w:spacing w:after="0"/>
              <w:rPr>
                <w:sz w:val="18"/>
                <w:szCs w:val="18"/>
                <w:color w:val="auto"/>
              </w:rPr>
            </w:pPr>
          </w:p>
        </w:tc>
      </w:tr>
      <w:tr>
        <w:trPr>
          <w:trHeight w:val="210"/>
        </w:trPr>
        <w:tc>
          <w:tcPr>
            <w:tcW w:w="300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r>
        <w:trPr>
          <w:trHeight w:val="209"/>
        </w:trPr>
        <w:tc>
          <w:tcPr>
            <w:tcW w:w="300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24" w:lineRule="exact"/>
        <w:rPr>
          <w:sz w:val="20"/>
          <w:szCs w:val="20"/>
          <w:color w:val="auto"/>
        </w:rPr>
      </w:pPr>
    </w:p>
    <w:p>
      <w:pPr>
        <w:ind w:left="2240" w:hanging="241"/>
        <w:spacing w:after="0"/>
        <w:tabs>
          <w:tab w:leader="none" w:pos="2240" w:val="left"/>
        </w:tabs>
        <w:numPr>
          <w:ilvl w:val="0"/>
          <w:numId w:val="53"/>
        </w:numPr>
        <w:rPr>
          <w:rFonts w:ascii="MS PGothic" w:cs="MS PGothic" w:eastAsia="MS PGothic" w:hAnsi="MS PGothic"/>
          <w:sz w:val="22"/>
          <w:szCs w:val="22"/>
          <w:color w:val="auto"/>
        </w:rPr>
      </w:pPr>
      <w:r>
        <w:rPr>
          <w:rFonts w:ascii="Arial" w:cs="Arial" w:eastAsia="Arial" w:hAnsi="Arial"/>
          <w:sz w:val="22"/>
          <w:szCs w:val="22"/>
          <w:color w:val="auto"/>
        </w:rPr>
        <w:t>Check this box only if this beneficiary designation does not apply to prior grants.</w:t>
      </w:r>
    </w:p>
    <w:p>
      <w:pPr>
        <w:sectPr>
          <w:pgSz w:w="11900" w:h="16838" w:orient="portrait"/>
          <w:cols w:equalWidth="0" w:num="1">
            <w:col w:w="11260"/>
          </w:cols>
          <w:pgMar w:left="320" w:top="118" w:right="319" w:bottom="1440" w:gutter="0" w:footer="0" w:header="0"/>
        </w:sectPr>
      </w:pPr>
    </w:p>
    <w:bookmarkStart w:id="74" w:name="page75"/>
    <w:bookmarkEnd w:id="74"/>
    <w:p>
      <w:pPr>
        <w:jc w:val="center"/>
        <w:ind w:right="312"/>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Tranche 2 Vesting Terms</w:t>
      </w:r>
    </w:p>
    <w:p>
      <w:pPr>
        <w:spacing w:after="0" w:line="14"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(Total Shareholder Return)</w:t>
      </w:r>
    </w:p>
    <w:p>
      <w:pPr>
        <w:spacing w:after="0" w:line="222" w:lineRule="exact"/>
        <w:rPr>
          <w:sz w:val="20"/>
          <w:szCs w:val="20"/>
          <w:color w:val="auto"/>
        </w:rPr>
      </w:pPr>
    </w:p>
    <w:p>
      <w:pPr>
        <w:jc w:val="both"/>
        <w:ind w:left="328" w:hanging="328"/>
        <w:spacing w:after="0" w:line="294" w:lineRule="auto"/>
        <w:tabs>
          <w:tab w:leader="none" w:pos="328" w:val="left"/>
        </w:tabs>
        <w:numPr>
          <w:ilvl w:val="0"/>
          <w:numId w:val="54"/>
        </w:numPr>
        <w:rPr>
          <w:rFonts w:ascii="Arial" w:cs="Arial" w:eastAsia="Arial" w:hAnsi="Arial"/>
          <w:sz w:val="16"/>
          <w:szCs w:val="16"/>
          <w:color w:val="auto"/>
        </w:rPr>
      </w:pPr>
      <w:r>
        <w:rPr>
          <w:rFonts w:ascii="Arial" w:cs="Arial" w:eastAsia="Arial" w:hAnsi="Arial"/>
          <w:sz w:val="16"/>
          <w:szCs w:val="16"/>
          <w:i w:val="1"/>
          <w:iCs w:val="1"/>
          <w:u w:val="single" w:color="auto"/>
          <w:color w:val="auto"/>
        </w:rPr>
        <w:t>General</w:t>
      </w:r>
      <w:r>
        <w:rPr>
          <w:rFonts w:ascii="Arial" w:cs="Arial" w:eastAsia="Arial" w:hAnsi="Arial"/>
          <w:sz w:val="16"/>
          <w:szCs w:val="16"/>
          <w:color w:val="auto"/>
        </w:rPr>
        <w:t>. Consistent with the Company’s pay for performance philosophy and in order to more closely align the interests of management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of investors, a portion of your Phantom Units will vest based on PAA’s total shareholder return (“TSR”) compared to the TSR of a peer group as described below. TSR, which will be calculated using data from Bloomberg, is a primary long-term measure of PAA’s performance.</w:t>
      </w:r>
    </w:p>
    <w:p>
      <w:pPr>
        <w:spacing w:after="0" w:line="39" w:lineRule="exact"/>
        <w:rPr>
          <w:rFonts w:ascii="Arial" w:cs="Arial" w:eastAsia="Arial" w:hAnsi="Arial"/>
          <w:sz w:val="16"/>
          <w:szCs w:val="16"/>
          <w:color w:val="auto"/>
        </w:rPr>
      </w:pPr>
    </w:p>
    <w:p>
      <w:pPr>
        <w:jc w:val="both"/>
        <w:ind w:left="328" w:hanging="328"/>
        <w:spacing w:after="0" w:line="266" w:lineRule="auto"/>
        <w:tabs>
          <w:tab w:leader="none" w:pos="328" w:val="left"/>
        </w:tabs>
        <w:numPr>
          <w:ilvl w:val="0"/>
          <w:numId w:val="54"/>
        </w:numPr>
        <w:rPr>
          <w:rFonts w:ascii="Arial" w:cs="Arial" w:eastAsia="Arial" w:hAnsi="Arial"/>
          <w:sz w:val="16"/>
          <w:szCs w:val="16"/>
          <w:color w:val="auto"/>
        </w:rPr>
      </w:pPr>
      <w:r>
        <w:rPr>
          <w:rFonts w:ascii="Arial" w:cs="Arial" w:eastAsia="Arial" w:hAnsi="Arial"/>
          <w:sz w:val="16"/>
          <w:szCs w:val="16"/>
          <w:i w:val="1"/>
          <w:iCs w:val="1"/>
          <w:u w:val="single" w:color="auto"/>
          <w:color w:val="auto"/>
        </w:rPr>
        <w:t>Vesting and Payout</w:t>
      </w:r>
      <w:r>
        <w:rPr>
          <w:rFonts w:ascii="Arial" w:cs="Arial" w:eastAsia="Arial" w:hAnsi="Arial"/>
          <w:sz w:val="16"/>
          <w:szCs w:val="16"/>
          <w:color w:val="auto"/>
        </w:rPr>
        <w:t>. As soon as administratively feasible following the close of the three-year period ending on June 30, 2024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the Compensation Committee shall determine and certify the TSR Payout Percentage (as defined below). The Compensation Committee shall make such determination based on a scaled payout range of between 0% and 200% as provided in the table below (the specific payout percentage is referred to as the “TSR Payout Percentage”) based on PAA’s TSR ranking at the end of the Performance Period compared to the TSR ranking of the various companies included in the PAA Peer Group described below. If PAA’s absolute TSR is within 50 basis points of the TSR of one or more peer group comparators (i.e., 50 basis points higher or lower), PAA and such comparator(s) shall be deemed to have the same rank and the TSR Payout Percentage shall be equal to the average of the TSR Payout Percentages associated with the relevant rankings as set forth in the table below. If PAA’s absolute TSR at the end of the Performance Period is less than 0% and the TSR Payout Percentage is greater than 100%,</w:t>
      </w:r>
    </w:p>
    <w:p>
      <w:pPr>
        <w:spacing w:after="0" w:line="4" w:lineRule="exact"/>
        <w:rPr>
          <w:rFonts w:ascii="Arial" w:cs="Arial" w:eastAsia="Arial" w:hAnsi="Arial"/>
          <w:sz w:val="16"/>
          <w:szCs w:val="16"/>
          <w:color w:val="auto"/>
        </w:rPr>
      </w:pPr>
    </w:p>
    <w:p>
      <w:pPr>
        <w:jc w:val="both"/>
        <w:ind w:left="328" w:hanging="4"/>
        <w:spacing w:after="0" w:line="238" w:lineRule="auto"/>
        <w:tabs>
          <w:tab w:leader="none" w:pos="55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 TSR Payout Percentage above 125% will be reduced by 25 gross percentage points, and (ii) a TSR Payout Percentage between 100% and 125% will be reduced to 100%. The number of Tranche 2 Phantom Units vesting will be determined by multiplying your target number of Tranche 2 Phantom Units by the TSR Payout Percentage as certified by the Compensation Committee. If the resulting amount includes a fraction, it will be rounded down to the nearest whole number.</w:t>
      </w:r>
    </w:p>
    <w:p>
      <w:pPr>
        <w:spacing w:after="0" w:line="345" w:lineRule="exact"/>
        <w:rPr>
          <w:sz w:val="20"/>
          <w:szCs w:val="20"/>
          <w:color w:val="auto"/>
        </w:rPr>
      </w:pPr>
    </w:p>
    <w:tbl>
      <w:tblPr>
        <w:tblLayout w:type="fixed"/>
        <w:tblInd w:w="1018" w:type="dxa"/>
        <w:tblCellMar>
          <w:top w:w="0" w:type="dxa"/>
          <w:left w:w="0" w:type="dxa"/>
          <w:bottom w:w="0" w:type="dxa"/>
          <w:right w:w="0" w:type="dxa"/>
        </w:tblCellMar>
      </w:tblPr>
      <w:tr>
        <w:trPr>
          <w:trHeight w:val="225"/>
        </w:trPr>
        <w:tc>
          <w:tcPr>
            <w:tcW w:w="3380" w:type="dxa"/>
            <w:vAlign w:val="bottom"/>
            <w:tcBorders>
              <w:top w:val="single" w:sz="8" w:color="auto"/>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w w:val="95"/>
              </w:rPr>
              <w:t>PAA TSR Ranking vs. PAA Peer Group</w:t>
            </w:r>
          </w:p>
        </w:tc>
        <w:tc>
          <w:tcPr>
            <w:tcW w:w="3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TSR Payout</w:t>
            </w:r>
          </w:p>
        </w:tc>
        <w:tc>
          <w:tcPr>
            <w:tcW w:w="0" w:type="dxa"/>
            <w:vAlign w:val="bottom"/>
          </w:tcPr>
          <w:p>
            <w:pPr>
              <w:spacing w:after="0"/>
              <w:rPr>
                <w:sz w:val="1"/>
                <w:szCs w:val="1"/>
                <w:color w:val="auto"/>
              </w:rPr>
            </w:pPr>
          </w:p>
        </w:tc>
      </w:tr>
      <w:tr>
        <w:trPr>
          <w:trHeight w:val="241"/>
        </w:trPr>
        <w:tc>
          <w:tcPr>
            <w:tcW w:w="338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57"/>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200.0%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200.0%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185.6%</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171.5%</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157.1%</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142.9%</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128.5%</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114.4%</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87.6%</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75.0%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62.6%</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50.0%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37.6%</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25.0%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0908"/>
          </w:cols>
          <w:pgMar w:left="652" w:top="1408"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Illustrative Examples (based on an assumed target number of Tranche 2 Phantom Units of 1,000):</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5120" w:type="dxa"/>
            <w:vAlign w:val="bottom"/>
            <w:tcBorders>
              <w:top w:val="single" w:sz="8" w:color="auto"/>
              <w:left w:val="single" w:sz="8" w:color="auto"/>
              <w:right w:val="single" w:sz="8" w:color="auto"/>
            </w:tcBorders>
          </w:tcPr>
          <w:p>
            <w:pPr>
              <w:ind w:left="1040"/>
              <w:spacing w:after="0"/>
              <w:rPr>
                <w:sz w:val="20"/>
                <w:szCs w:val="20"/>
                <w:color w:val="auto"/>
              </w:rPr>
            </w:pPr>
            <w:r>
              <w:rPr>
                <w:rFonts w:ascii="Arial" w:cs="Arial" w:eastAsia="Arial" w:hAnsi="Arial"/>
                <w:sz w:val="18"/>
                <w:szCs w:val="18"/>
                <w:b w:val="1"/>
                <w:bCs w:val="1"/>
                <w:color w:val="auto"/>
              </w:rPr>
              <w:t>PAA TSR Ranking vs. PAA Peer Group</w:t>
            </w:r>
          </w:p>
        </w:tc>
        <w:tc>
          <w:tcPr>
            <w:tcW w:w="500" w:type="dxa"/>
            <w:vAlign w:val="bottom"/>
            <w:tcBorders>
              <w:top w:val="single" w:sz="8" w:color="auto"/>
            </w:tcBorders>
          </w:tcPr>
          <w:p>
            <w:pPr>
              <w:spacing w:after="0"/>
              <w:rPr>
                <w:sz w:val="19"/>
                <w:szCs w:val="19"/>
                <w:color w:val="auto"/>
              </w:rPr>
            </w:pPr>
          </w:p>
        </w:tc>
        <w:tc>
          <w:tcPr>
            <w:tcW w:w="5640" w:type="dxa"/>
            <w:vAlign w:val="bottom"/>
            <w:tcBorders>
              <w:top w:val="single" w:sz="8" w:color="auto"/>
              <w:right w:val="single" w:sz="8" w:color="auto"/>
            </w:tcBorders>
          </w:tcPr>
          <w:p>
            <w:pPr>
              <w:jc w:val="center"/>
              <w:ind w:right="450"/>
              <w:spacing w:after="0"/>
              <w:rPr>
                <w:sz w:val="20"/>
                <w:szCs w:val="20"/>
                <w:color w:val="auto"/>
              </w:rPr>
            </w:pPr>
            <w:r>
              <w:rPr>
                <w:rFonts w:ascii="Arial" w:cs="Arial" w:eastAsia="Arial" w:hAnsi="Arial"/>
                <w:sz w:val="18"/>
                <w:szCs w:val="18"/>
                <w:b w:val="1"/>
                <w:bCs w:val="1"/>
                <w:color w:val="auto"/>
                <w:w w:val="90"/>
              </w:rPr>
              <w:t>TSR Payout Percentage / Number of Units Vesting</w:t>
            </w:r>
          </w:p>
        </w:tc>
      </w:tr>
      <w:tr>
        <w:trPr>
          <w:trHeight w:val="241"/>
        </w:trPr>
        <w:tc>
          <w:tcPr>
            <w:tcW w:w="5120" w:type="dxa"/>
            <w:vAlign w:val="bottom"/>
            <w:tcBorders>
              <w:left w:val="single" w:sz="8" w:color="auto"/>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640" w:type="dxa"/>
            <w:vAlign w:val="bottom"/>
            <w:tcBorders>
              <w:bottom w:val="single" w:sz="8" w:color="auto"/>
              <w:right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9"/>
              </w:rPr>
              <w:t>(impact of negative absolute TSR)</w:t>
            </w:r>
          </w:p>
        </w:tc>
      </w:tr>
      <w:tr>
        <w:trPr>
          <w:trHeight w:val="257"/>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 or #2</w:t>
            </w:r>
          </w:p>
        </w:tc>
        <w:tc>
          <w:tcPr>
            <w:tcW w:w="500" w:type="dxa"/>
            <w:vAlign w:val="bottom"/>
          </w:tcPr>
          <w:p>
            <w:pPr>
              <w:ind w:left="60"/>
              <w:spacing w:after="0"/>
              <w:rPr>
                <w:sz w:val="20"/>
                <w:szCs w:val="20"/>
                <w:color w:val="auto"/>
              </w:rPr>
            </w:pPr>
            <w:r>
              <w:rPr>
                <w:rFonts w:ascii="Arial" w:cs="Arial" w:eastAsia="Arial" w:hAnsi="Arial"/>
                <w:sz w:val="18"/>
                <w:szCs w:val="18"/>
                <w:color w:val="auto"/>
                <w:w w:val="91"/>
              </w:rPr>
              <w:t>200%</w:t>
            </w:r>
          </w:p>
        </w:tc>
        <w:tc>
          <w:tcPr>
            <w:tcW w:w="5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2,000 units</w:t>
            </w:r>
          </w:p>
        </w:tc>
      </w:tr>
      <w:tr>
        <w:trPr>
          <w:trHeight w:val="27"/>
        </w:trPr>
        <w:tc>
          <w:tcPr>
            <w:tcW w:w="5120" w:type="dxa"/>
            <w:vAlign w:val="bottom"/>
            <w:tcBorders>
              <w:left w:val="single" w:sz="8" w:color="auto"/>
              <w:bottom w:val="single" w:sz="8" w:color="auto"/>
              <w:right w:val="single" w:sz="8" w:color="auto"/>
            </w:tcBorders>
          </w:tcPr>
          <w:p>
            <w:pPr>
              <w:spacing w:after="0"/>
              <w:rPr>
                <w:sz w:val="2"/>
                <w:szCs w:val="2"/>
                <w:color w:val="auto"/>
              </w:rPr>
            </w:pPr>
          </w:p>
        </w:tc>
        <w:tc>
          <w:tcPr>
            <w:tcW w:w="614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w:t>
            </w:r>
          </w:p>
        </w:tc>
        <w:tc>
          <w:tcPr>
            <w:tcW w:w="61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157.1% / 1,571 units</w:t>
            </w:r>
          </w:p>
        </w:tc>
      </w:tr>
      <w:tr>
        <w:trPr>
          <w:trHeight w:val="27"/>
        </w:trPr>
        <w:tc>
          <w:tcPr>
            <w:tcW w:w="5120" w:type="dxa"/>
            <w:vAlign w:val="bottom"/>
            <w:tcBorders>
              <w:left w:val="single" w:sz="8" w:color="auto"/>
              <w:bottom w:val="single" w:sz="8" w:color="auto"/>
              <w:right w:val="single" w:sz="8" w:color="auto"/>
            </w:tcBorders>
          </w:tcPr>
          <w:p>
            <w:pPr>
              <w:spacing w:after="0"/>
              <w:rPr>
                <w:sz w:val="2"/>
                <w:szCs w:val="2"/>
                <w:color w:val="auto"/>
              </w:rPr>
            </w:pPr>
          </w:p>
        </w:tc>
        <w:tc>
          <w:tcPr>
            <w:tcW w:w="614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 but PAA’s absolute TSR is less than 0%</w:t>
            </w:r>
          </w:p>
        </w:tc>
        <w:tc>
          <w:tcPr>
            <w:tcW w:w="61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132.1% / 1,321 units (TSR Payout Percentage reduced by 25 percentage points)</w:t>
            </w:r>
          </w:p>
        </w:tc>
      </w:tr>
      <w:tr>
        <w:trPr>
          <w:trHeight w:val="27"/>
        </w:trPr>
        <w:tc>
          <w:tcPr>
            <w:tcW w:w="5120" w:type="dxa"/>
            <w:vAlign w:val="bottom"/>
            <w:tcBorders>
              <w:left w:val="single" w:sz="8" w:color="auto"/>
              <w:bottom w:val="single" w:sz="8" w:color="auto"/>
              <w:right w:val="single" w:sz="8" w:color="auto"/>
            </w:tcBorders>
          </w:tcPr>
          <w:p>
            <w:pPr>
              <w:spacing w:after="0"/>
              <w:rPr>
                <w:sz w:val="2"/>
                <w:szCs w:val="2"/>
                <w:color w:val="auto"/>
              </w:rPr>
            </w:pPr>
          </w:p>
        </w:tc>
        <w:tc>
          <w:tcPr>
            <w:tcW w:w="614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w:t>
            </w:r>
          </w:p>
        </w:tc>
        <w:tc>
          <w:tcPr>
            <w:tcW w:w="61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114.4% / 1,144 units</w:t>
            </w:r>
          </w:p>
        </w:tc>
      </w:tr>
      <w:tr>
        <w:trPr>
          <w:trHeight w:val="27"/>
        </w:trPr>
        <w:tc>
          <w:tcPr>
            <w:tcW w:w="5120" w:type="dxa"/>
            <w:vAlign w:val="bottom"/>
            <w:tcBorders>
              <w:left w:val="single" w:sz="8" w:color="auto"/>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 but PAA’s absolute TSR is less than 0%</w:t>
            </w:r>
          </w:p>
        </w:tc>
        <w:tc>
          <w:tcPr>
            <w:tcW w:w="500" w:type="dxa"/>
            <w:vAlign w:val="bottom"/>
          </w:tcPr>
          <w:p>
            <w:pPr>
              <w:ind w:left="60"/>
              <w:spacing w:after="0"/>
              <w:rPr>
                <w:sz w:val="20"/>
                <w:szCs w:val="20"/>
                <w:color w:val="auto"/>
              </w:rPr>
            </w:pPr>
            <w:r>
              <w:rPr>
                <w:rFonts w:ascii="Arial" w:cs="Arial" w:eastAsia="Arial" w:hAnsi="Arial"/>
                <w:sz w:val="18"/>
                <w:szCs w:val="18"/>
                <w:color w:val="auto"/>
                <w:w w:val="91"/>
              </w:rPr>
              <w:t>100%</w:t>
            </w:r>
          </w:p>
        </w:tc>
        <w:tc>
          <w:tcPr>
            <w:tcW w:w="5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1,000 units (TSR Payout Percentage reduced from 114.4% to 100%)</w:t>
            </w:r>
          </w:p>
        </w:tc>
      </w:tr>
      <w:tr>
        <w:trPr>
          <w:trHeight w:val="27"/>
        </w:trPr>
        <w:tc>
          <w:tcPr>
            <w:tcW w:w="5120" w:type="dxa"/>
            <w:vAlign w:val="bottom"/>
            <w:tcBorders>
              <w:left w:val="single" w:sz="8" w:color="auto"/>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w:t>
            </w:r>
          </w:p>
        </w:tc>
        <w:tc>
          <w:tcPr>
            <w:tcW w:w="500" w:type="dxa"/>
            <w:vAlign w:val="bottom"/>
          </w:tcPr>
          <w:p>
            <w:pPr>
              <w:ind w:left="60"/>
              <w:spacing w:after="0"/>
              <w:rPr>
                <w:sz w:val="20"/>
                <w:szCs w:val="20"/>
                <w:color w:val="auto"/>
              </w:rPr>
            </w:pPr>
            <w:r>
              <w:rPr>
                <w:rFonts w:ascii="Arial" w:cs="Arial" w:eastAsia="Arial" w:hAnsi="Arial"/>
                <w:sz w:val="18"/>
                <w:szCs w:val="18"/>
                <w:color w:val="auto"/>
                <w:w w:val="91"/>
              </w:rPr>
              <w:t>100%</w:t>
            </w:r>
          </w:p>
        </w:tc>
        <w:tc>
          <w:tcPr>
            <w:tcW w:w="5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1,000 units (performance at Target)</w:t>
            </w:r>
          </w:p>
        </w:tc>
      </w:tr>
      <w:tr>
        <w:trPr>
          <w:trHeight w:val="27"/>
        </w:trPr>
        <w:tc>
          <w:tcPr>
            <w:tcW w:w="5120" w:type="dxa"/>
            <w:vAlign w:val="bottom"/>
            <w:tcBorders>
              <w:left w:val="single" w:sz="8" w:color="auto"/>
              <w:bottom w:val="single" w:sz="8" w:color="auto"/>
              <w:right w:val="single" w:sz="8" w:color="auto"/>
            </w:tcBorders>
          </w:tcPr>
          <w:p>
            <w:pPr>
              <w:spacing w:after="0"/>
              <w:rPr>
                <w:sz w:val="2"/>
                <w:szCs w:val="2"/>
                <w:color w:val="auto"/>
              </w:rPr>
            </w:pPr>
          </w:p>
        </w:tc>
        <w:tc>
          <w:tcPr>
            <w:tcW w:w="614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61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50% / 500 units</w:t>
            </w:r>
          </w:p>
        </w:tc>
      </w:tr>
      <w:tr>
        <w:trPr>
          <w:trHeight w:val="27"/>
        </w:trPr>
        <w:tc>
          <w:tcPr>
            <w:tcW w:w="5120" w:type="dxa"/>
            <w:vAlign w:val="bottom"/>
            <w:tcBorders>
              <w:left w:val="single" w:sz="8" w:color="auto"/>
              <w:bottom w:val="single" w:sz="8" w:color="auto"/>
              <w:right w:val="single" w:sz="8" w:color="auto"/>
            </w:tcBorders>
          </w:tcPr>
          <w:p>
            <w:pPr>
              <w:spacing w:after="0"/>
              <w:rPr>
                <w:sz w:val="2"/>
                <w:szCs w:val="2"/>
                <w:color w:val="auto"/>
              </w:rPr>
            </w:pPr>
          </w:p>
        </w:tc>
        <w:tc>
          <w:tcPr>
            <w:tcW w:w="614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#16 or #17</w:t>
            </w:r>
          </w:p>
        </w:tc>
        <w:tc>
          <w:tcPr>
            <w:tcW w:w="61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0% / 0 units</w:t>
            </w:r>
          </w:p>
        </w:tc>
      </w:tr>
      <w:tr>
        <w:trPr>
          <w:trHeight w:val="27"/>
        </w:trPr>
        <w:tc>
          <w:tcPr>
            <w:tcW w:w="5120" w:type="dxa"/>
            <w:vAlign w:val="bottom"/>
            <w:tcBorders>
              <w:left w:val="single" w:sz="8" w:color="auto"/>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i w:val="1"/>
          <w:iCs w:val="1"/>
          <w:u w:val="single" w:color="auto"/>
          <w:color w:val="auto"/>
        </w:rPr>
        <w:t>PAA Peer Group (2021-2024 Performance Period)</w:t>
      </w:r>
      <w:r>
        <w:rPr>
          <w:rFonts w:ascii="Arial" w:cs="Arial" w:eastAsia="Arial" w:hAnsi="Arial"/>
          <w:sz w:val="18"/>
          <w:szCs w:val="18"/>
          <w:color w:val="auto"/>
        </w:rPr>
        <w:t>:</w:t>
      </w:r>
    </w:p>
    <w:p>
      <w:pPr>
        <w:spacing w:after="0" w:line="368" w:lineRule="exact"/>
        <w:rPr>
          <w:sz w:val="20"/>
          <w:szCs w:val="20"/>
          <w:color w:val="auto"/>
        </w:rPr>
      </w:pPr>
    </w:p>
    <w:tbl>
      <w:tblPr>
        <w:tblLayout w:type="fixed"/>
        <w:tblInd w:w="1250" w:type="dxa"/>
        <w:tblCellMar>
          <w:top w:w="0" w:type="dxa"/>
          <w:left w:w="0" w:type="dxa"/>
          <w:bottom w:w="0" w:type="dxa"/>
          <w:right w:w="0" w:type="dxa"/>
        </w:tblCellMar>
      </w:tblPr>
      <w:tr>
        <w:trPr>
          <w:trHeight w:val="270"/>
        </w:trPr>
        <w:tc>
          <w:tcPr>
            <w:tcW w:w="3760" w:type="dxa"/>
            <w:vAlign w:val="bottom"/>
            <w:tcBorders>
              <w:top w:val="single" w:sz="8" w:color="auto"/>
              <w:left w:val="single" w:sz="8" w:color="auto"/>
              <w:right w:val="single" w:sz="8" w:color="auto"/>
            </w:tcBorders>
          </w:tcPr>
          <w:p>
            <w:pPr>
              <w:ind w:left="1260"/>
              <w:spacing w:after="0"/>
              <w:rPr>
                <w:sz w:val="20"/>
                <w:szCs w:val="20"/>
                <w:color w:val="auto"/>
              </w:rPr>
            </w:pPr>
            <w:r>
              <w:rPr>
                <w:rFonts w:ascii="Arial" w:cs="Arial" w:eastAsia="Arial" w:hAnsi="Arial"/>
                <w:sz w:val="18"/>
                <w:szCs w:val="18"/>
                <w:b w:val="1"/>
                <w:bCs w:val="1"/>
                <w:color w:val="auto"/>
              </w:rPr>
              <w:t>Company Name</w:t>
            </w:r>
          </w:p>
        </w:tc>
        <w:tc>
          <w:tcPr>
            <w:tcW w:w="4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Ticker</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Enterprise Products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EPD</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Kinder Morgan Inc.</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KMI</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Williams Companies Inc.</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WMB</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MPLX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MPLX</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Energy Transfer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ET</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ONEOK Inc.</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OKE</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Magellan Midstream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MMP</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Phillips 66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PSXP</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Targa Resources Corp.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TRGP</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DCP Midstream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DCP</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Western Midstream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WES</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Holly Energy Partners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HEP</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NuStar Energy LP</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NS</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EnLink Midstream LLC</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ENLC</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Alerian Midstream Energy Index</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AMNA</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50"/>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S&amp;P 500 Index</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SPX</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53" w:lineRule="auto"/>
        <w:rPr>
          <w:sz w:val="20"/>
          <w:szCs w:val="20"/>
          <w:color w:val="auto"/>
        </w:rPr>
      </w:pPr>
      <w:r>
        <w:rPr>
          <w:rFonts w:ascii="Arial" w:cs="Arial" w:eastAsia="Arial" w:hAnsi="Arial"/>
          <w:sz w:val="17"/>
          <w:szCs w:val="17"/>
          <w:color w:val="auto"/>
        </w:rPr>
        <w:t>In the event any member of the PAA Peer Group files for bankruptcy, liquidates or reorganizes under the United States Bankruptcy Code or other applicable bankruptcy law, such entity shall remain in the PAA Peer Group but shall be deemed to have a TSR of -100% for purposes of calculating the TSR Payout Percentage. If any member of the PAA Peer Group is acquired by an unrelated entity before the end of the Performance Period, such member shall be removed from the PAA Peer Group for purposes of calculating the TSR Payout Percentage. The Compensation Committee shall have discretionary authority to replace such member for purposes of calculating the TSR Payout Percentage. In all other cases involving merger, reorganization or other material change in ownership, legal structure or business operations of any member of the PAA Peer Group, including acquisition by a related entity before the end of the Performance Period, the Compensation Committee shall have authority to retain, remove or replace such member for purposes of calculating the TSR Payout Percentage. In connection with any change to the PAA Peer Group, the Compensation Committee shall also have authority to make related adjustments to the rankings and TSR Payout Percentages.</w:t>
      </w:r>
    </w:p>
    <w:p>
      <w:pPr>
        <w:sectPr>
          <w:pgSz w:w="11900" w:h="16838" w:orient="portrait"/>
          <w:cols w:equalWidth="0" w:num="1">
            <w:col w:w="11260"/>
          </w:cols>
          <w:pgMar w:left="320" w:top="14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w:t>
      </w:r>
    </w:p>
    <w:p>
      <w:pPr>
        <w:sectPr>
          <w:pgSz w:w="11900" w:h="16838" w:orient="portrait"/>
          <w:cols w:equalWidth="0" w:num="1">
            <w:col w:w="11260"/>
          </w:cols>
          <w:pgMar w:left="320" w:top="1421" w:right="319" w:bottom="1440" w:gutter="0" w:footer="0" w:header="0"/>
          <w:type w:val="continuous"/>
        </w:sectPr>
      </w:pPr>
    </w:p>
    <w:bookmarkStart w:id="76" w:name="page77"/>
    <w:bookmarkEnd w:id="76"/>
    <w:p>
      <w:pPr>
        <w:jc w:val="center"/>
        <w:ind w:right="312"/>
        <w:spacing w:after="0"/>
        <w:rPr>
          <w:sz w:val="20"/>
          <w:szCs w:val="20"/>
          <w:color w:val="auto"/>
        </w:rPr>
      </w:pPr>
      <w:r>
        <w:rPr>
          <w:rFonts w:ascii="Arial" w:cs="Arial" w:eastAsia="Arial" w:hAnsi="Arial"/>
          <w:sz w:val="22"/>
          <w:szCs w:val="22"/>
          <w:b w:val="1"/>
          <w:bCs w:val="1"/>
          <w:color w:val="auto"/>
        </w:rPr>
        <w:t>Exhibit B</w:t>
      </w:r>
    </w:p>
    <w:p>
      <w:pPr>
        <w:spacing w:after="0" w:line="233"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Tranche 3 Vesting Terms</w:t>
      </w:r>
    </w:p>
    <w:p>
      <w:pPr>
        <w:spacing w:after="0" w:line="14"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(Cumulative DCF with Leverage Modifier)</w:t>
      </w:r>
    </w:p>
    <w:p>
      <w:pPr>
        <w:spacing w:after="0" w:line="222" w:lineRule="exact"/>
        <w:rPr>
          <w:sz w:val="20"/>
          <w:szCs w:val="20"/>
          <w:color w:val="auto"/>
        </w:rPr>
      </w:pPr>
    </w:p>
    <w:p>
      <w:pPr>
        <w:jc w:val="both"/>
        <w:ind w:left="328" w:hanging="328"/>
        <w:spacing w:after="0" w:line="257" w:lineRule="auto"/>
        <w:tabs>
          <w:tab w:leader="none" w:pos="328" w:val="left"/>
        </w:tabs>
        <w:numPr>
          <w:ilvl w:val="0"/>
          <w:numId w:val="56"/>
        </w:numPr>
        <w:rPr>
          <w:rFonts w:ascii="Arial" w:cs="Arial" w:eastAsia="Arial" w:hAnsi="Arial"/>
          <w:sz w:val="17"/>
          <w:szCs w:val="17"/>
          <w:color w:val="auto"/>
        </w:rPr>
      </w:pPr>
      <w:r>
        <w:rPr>
          <w:rFonts w:ascii="Arial" w:cs="Arial" w:eastAsia="Arial" w:hAnsi="Arial"/>
          <w:sz w:val="17"/>
          <w:szCs w:val="17"/>
          <w:i w:val="1"/>
          <w:iCs w:val="1"/>
          <w:u w:val="single" w:color="auto"/>
          <w:color w:val="auto"/>
        </w:rPr>
        <w:t>General</w:t>
      </w:r>
      <w:r>
        <w:rPr>
          <w:rFonts w:ascii="Arial" w:cs="Arial" w:eastAsia="Arial" w:hAnsi="Arial"/>
          <w:sz w:val="17"/>
          <w:szCs w:val="17"/>
          <w:color w:val="auto"/>
        </w:rPr>
        <w:t>. Consistent with the Company’s pay for performance philosophy and in order to more closely align the interests of management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of investors, a portion of your Phantom Units will vest based on PAA’s cumulative distributable cash flow (“DCF”) per common unit equivalent (“CUE”) over a three-year period as described below. PAA’s ability to sustain and increase DCF is a primary long-term measure of PAA’s performance and is consistent with PAA’s overall financial strategy. The final payout calculation will be subject to modification based on leverage levels at the end of the Performance Period; the purpose of the potential leverage modifier is to insure that DCF performance remains tied to leverage levels assumed in PAA’s long term plan as of the grant date (the “Grant Date Plan”).</w:t>
      </w:r>
    </w:p>
    <w:p>
      <w:pPr>
        <w:spacing w:after="0" w:line="67" w:lineRule="exact"/>
        <w:rPr>
          <w:rFonts w:ascii="Arial" w:cs="Arial" w:eastAsia="Arial" w:hAnsi="Arial"/>
          <w:sz w:val="17"/>
          <w:szCs w:val="17"/>
          <w:color w:val="auto"/>
        </w:rPr>
      </w:pPr>
    </w:p>
    <w:p>
      <w:pPr>
        <w:jc w:val="both"/>
        <w:ind w:left="328" w:hanging="328"/>
        <w:spacing w:after="0" w:line="244" w:lineRule="auto"/>
        <w:tabs>
          <w:tab w:leader="none" w:pos="328" w:val="left"/>
        </w:tabs>
        <w:numPr>
          <w:ilvl w:val="0"/>
          <w:numId w:val="56"/>
        </w:numPr>
        <w:rPr>
          <w:rFonts w:ascii="Arial" w:cs="Arial" w:eastAsia="Arial" w:hAnsi="Arial"/>
          <w:sz w:val="18"/>
          <w:szCs w:val="18"/>
          <w:color w:val="auto"/>
        </w:rPr>
      </w:pPr>
      <w:r>
        <w:rPr>
          <w:rFonts w:ascii="Arial" w:cs="Arial" w:eastAsia="Arial" w:hAnsi="Arial"/>
          <w:sz w:val="18"/>
          <w:szCs w:val="18"/>
          <w:i w:val="1"/>
          <w:iCs w:val="1"/>
          <w:u w:val="single" w:color="auto"/>
          <w:color w:val="auto"/>
        </w:rPr>
        <w:t>Vesting and Payout</w:t>
      </w:r>
      <w:r>
        <w:rPr>
          <w:rFonts w:ascii="Arial" w:cs="Arial" w:eastAsia="Arial" w:hAnsi="Arial"/>
          <w:sz w:val="18"/>
          <w:szCs w:val="18"/>
          <w:color w:val="auto"/>
        </w:rPr>
        <w:t>. As soon as administratively feasible following the close of the three-year period ending on June 30, 2024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the Compensation Committee shall determine and certify the DCF Payout Percentage (as defined below). The Compensation Committee shall make such determination based on a scaled payout range between 0% and 200% as provided in the table below (the specific payout percentage is referred to as the “DCF Payout Percentage”) based on PAA’s cumulative DCF per CUE over the Performance Period. If PAA’s cumulative DCF per CUE at the end of the Performance Period is between any two of the stated amounts in the table below, the DCF Payout Percentage will be interpolated between the two levels. The DCF Payout Percentage may be adjusted upward or downward by +/- 50 percentage points (the “Leverage Modifier”) based on PAA’s leverage ratio (long-term debt to adjusted EBITDA as calculated pursuant to PAA’s senior unsecured revolving credit facility) as of June 30, 2024 compared to the leverage ratio assumed in the Grant Date Plan. The Leverage Modifier will be applied as follows:</w:t>
      </w:r>
    </w:p>
    <w:p>
      <w:pPr>
        <w:spacing w:after="0" w:line="77" w:lineRule="exact"/>
        <w:rPr>
          <w:rFonts w:ascii="Arial" w:cs="Arial" w:eastAsia="Arial" w:hAnsi="Arial"/>
          <w:sz w:val="18"/>
          <w:szCs w:val="18"/>
          <w:color w:val="auto"/>
        </w:rPr>
      </w:pPr>
    </w:p>
    <w:p>
      <w:pPr>
        <w:ind w:left="968" w:hanging="320"/>
        <w:spacing w:after="0"/>
        <w:tabs>
          <w:tab w:leader="none" w:pos="968" w:val="left"/>
        </w:tabs>
        <w:numPr>
          <w:ilvl w:val="1"/>
          <w:numId w:val="56"/>
        </w:numPr>
        <w:rPr>
          <w:rFonts w:ascii="Arial" w:cs="Arial" w:eastAsia="Arial" w:hAnsi="Arial"/>
          <w:sz w:val="17"/>
          <w:szCs w:val="17"/>
          <w:color w:val="auto"/>
        </w:rPr>
      </w:pPr>
      <w:r>
        <w:rPr>
          <w:rFonts w:ascii="Arial" w:cs="Arial" w:eastAsia="Arial" w:hAnsi="Arial"/>
          <w:sz w:val="17"/>
          <w:szCs w:val="17"/>
          <w:color w:val="auto"/>
        </w:rPr>
        <w:t>if the leverage ratio as of June 30, 2024 is between 3.1x and 3.4x, there will be no adjustment to the DCF Payout Percentage;</w:t>
      </w:r>
    </w:p>
    <w:p>
      <w:pPr>
        <w:spacing w:after="0" w:line="115" w:lineRule="exact"/>
        <w:rPr>
          <w:rFonts w:ascii="Arial" w:cs="Arial" w:eastAsia="Arial" w:hAnsi="Arial"/>
          <w:sz w:val="17"/>
          <w:szCs w:val="17"/>
          <w:color w:val="auto"/>
        </w:rPr>
      </w:pPr>
    </w:p>
    <w:p>
      <w:pPr>
        <w:ind w:left="968" w:hanging="320"/>
        <w:spacing w:after="0" w:line="261" w:lineRule="auto"/>
        <w:tabs>
          <w:tab w:leader="none" w:pos="958" w:val="left"/>
        </w:tabs>
        <w:numPr>
          <w:ilvl w:val="1"/>
          <w:numId w:val="56"/>
        </w:numPr>
        <w:rPr>
          <w:rFonts w:ascii="Arial" w:cs="Arial" w:eastAsia="Arial" w:hAnsi="Arial"/>
          <w:sz w:val="18"/>
          <w:szCs w:val="18"/>
          <w:color w:val="auto"/>
        </w:rPr>
      </w:pPr>
      <w:r>
        <w:rPr>
          <w:rFonts w:ascii="Arial" w:cs="Arial" w:eastAsia="Arial" w:hAnsi="Arial"/>
          <w:sz w:val="18"/>
          <w:szCs w:val="18"/>
          <w:color w:val="auto"/>
        </w:rPr>
        <w:t>if the leverage ratio as of June 30, 2024 is higher than 3.4x, the DCF Payout Percentage will be reduced by 50 gross percentage points; and</w:t>
      </w:r>
    </w:p>
    <w:p>
      <w:pPr>
        <w:spacing w:after="0" w:line="62" w:lineRule="exact"/>
        <w:rPr>
          <w:rFonts w:ascii="Arial" w:cs="Arial" w:eastAsia="Arial" w:hAnsi="Arial"/>
          <w:sz w:val="18"/>
          <w:szCs w:val="18"/>
          <w:color w:val="auto"/>
        </w:rPr>
      </w:pPr>
    </w:p>
    <w:p>
      <w:pPr>
        <w:ind w:left="968" w:right="20" w:hanging="320"/>
        <w:spacing w:after="0" w:line="261" w:lineRule="auto"/>
        <w:tabs>
          <w:tab w:leader="none" w:pos="968" w:val="left"/>
        </w:tabs>
        <w:numPr>
          <w:ilvl w:val="1"/>
          <w:numId w:val="56"/>
        </w:numPr>
        <w:rPr>
          <w:rFonts w:ascii="Arial" w:cs="Arial" w:eastAsia="Arial" w:hAnsi="Arial"/>
          <w:sz w:val="18"/>
          <w:szCs w:val="18"/>
          <w:color w:val="auto"/>
        </w:rPr>
      </w:pPr>
      <w:r>
        <w:rPr>
          <w:rFonts w:ascii="Arial" w:cs="Arial" w:eastAsia="Arial" w:hAnsi="Arial"/>
          <w:sz w:val="18"/>
          <w:szCs w:val="18"/>
          <w:color w:val="auto"/>
        </w:rPr>
        <w:t>if the leverage ratio as of June 30, 2024 is lower than 3.1x, the DCF Payout Percentage will be increased by 50 gross percentage points (subject to a 200% cap).</w:t>
      </w:r>
    </w:p>
    <w:p>
      <w:pPr>
        <w:spacing w:after="0" w:line="327" w:lineRule="exact"/>
        <w:rPr>
          <w:sz w:val="20"/>
          <w:szCs w:val="20"/>
          <w:color w:val="auto"/>
        </w:rPr>
      </w:pPr>
    </w:p>
    <w:tbl>
      <w:tblPr>
        <w:tblLayout w:type="fixed"/>
        <w:tblInd w:w="898" w:type="dxa"/>
        <w:tblCellMar>
          <w:top w:w="0" w:type="dxa"/>
          <w:left w:w="0" w:type="dxa"/>
          <w:bottom w:w="0" w:type="dxa"/>
          <w:right w:w="0" w:type="dxa"/>
        </w:tblCellMar>
      </w:tblPr>
      <w:tr>
        <w:trPr>
          <w:trHeight w:val="265"/>
        </w:trPr>
        <w:tc>
          <w:tcPr>
            <w:tcW w:w="36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Cumulative DCF Per CUE Over the</w:t>
            </w:r>
          </w:p>
        </w:tc>
        <w:tc>
          <w:tcPr>
            <w:tcW w:w="356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DCF Payout Percentage</w:t>
            </w:r>
          </w:p>
        </w:tc>
      </w:tr>
      <w:tr>
        <w:trPr>
          <w:trHeight w:val="234"/>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Performance Period</w:t>
            </w:r>
          </w:p>
        </w:tc>
        <w:tc>
          <w:tcPr>
            <w:tcW w:w="3560" w:type="dxa"/>
            <w:vAlign w:val="bottom"/>
            <w:tcBorders>
              <w:right w:val="single" w:sz="8" w:color="auto"/>
            </w:tcBorders>
          </w:tcPr>
          <w:p>
            <w:pPr>
              <w:spacing w:after="0"/>
              <w:rPr>
                <w:sz w:val="20"/>
                <w:szCs w:val="20"/>
                <w:color w:val="auto"/>
              </w:rPr>
            </w:pP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$6.75 (112.5% of target)</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$6.5625</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175%</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$6.3750</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$6.1875</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125%</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$6.00 (target)</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$5.85</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75%</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$5.70</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$5.55</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5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$5.40 (90% of target)</w:t>
            </w:r>
          </w:p>
        </w:tc>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left="328"/>
        <w:spacing w:after="0" w:line="248" w:lineRule="auto"/>
        <w:rPr>
          <w:sz w:val="20"/>
          <w:szCs w:val="20"/>
          <w:color w:val="auto"/>
        </w:rPr>
      </w:pPr>
      <w:r>
        <w:rPr>
          <w:rFonts w:ascii="Arial" w:cs="Arial" w:eastAsia="Arial" w:hAnsi="Arial"/>
          <w:sz w:val="18"/>
          <w:szCs w:val="18"/>
          <w:color w:val="auto"/>
        </w:rPr>
        <w:t>Note: Both the cumulative DCF per CUE targets set forth in the table above and the leverage ratios referenced above are based on the Grant Date Plan, excluding the earnings and leverage impacts of potential asset sales (other than asset sales under contract as of the grant date). Accordingly, when calculating the DCF Payout Percentage, the following adjustments will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0908"/>
          </w:cols>
          <w:pgMar w:left="652" w:top="1408" w:right="339" w:bottom="1440" w:gutter="0" w:footer="0" w:header="0"/>
        </w:sectPr>
      </w:pPr>
    </w:p>
    <w:bookmarkStart w:id="77" w:name="page78"/>
    <w:bookmarkEnd w:id="77"/>
    <w:p>
      <w:pPr>
        <w:jc w:val="both"/>
        <w:ind w:left="980" w:right="20" w:hanging="324"/>
        <w:spacing w:after="0" w:line="270" w:lineRule="auto"/>
        <w:tabs>
          <w:tab w:leader="none" w:pos="977"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cumulative DCF per CUE target for the Performance Period as set forth in the table above will be adjusted downward to account for the loss of earnings assumed in the Grant Date Plan for any divested assets, net of avoided interest expense allocable to the divested assets (calculated based on an assumption that 100% of the net sales proceeds from such divestitures are used to reduce debt); and</w:t>
      </w:r>
    </w:p>
    <w:p>
      <w:pPr>
        <w:spacing w:after="0" w:line="55" w:lineRule="exact"/>
        <w:rPr>
          <w:rFonts w:ascii="Arial" w:cs="Arial" w:eastAsia="Arial" w:hAnsi="Arial"/>
          <w:sz w:val="17"/>
          <w:szCs w:val="17"/>
          <w:color w:val="auto"/>
        </w:rPr>
      </w:pPr>
    </w:p>
    <w:p>
      <w:pPr>
        <w:ind w:left="980" w:right="20" w:hanging="324"/>
        <w:spacing w:after="0" w:line="291" w:lineRule="auto"/>
        <w:tabs>
          <w:tab w:leader="none" w:pos="974" w:val="left"/>
        </w:tabs>
        <w:numPr>
          <w:ilvl w:val="0"/>
          <w:numId w:val="57"/>
        </w:numPr>
        <w:rPr>
          <w:rFonts w:ascii="Arial" w:cs="Arial" w:eastAsia="Arial" w:hAnsi="Arial"/>
          <w:sz w:val="17"/>
          <w:szCs w:val="17"/>
          <w:color w:val="auto"/>
        </w:rPr>
      </w:pPr>
      <w:r>
        <w:rPr>
          <w:rFonts w:ascii="Arial" w:cs="Arial" w:eastAsia="Arial" w:hAnsi="Arial"/>
          <w:sz w:val="17"/>
          <w:szCs w:val="17"/>
          <w:color w:val="auto"/>
        </w:rPr>
        <w:t>with respect to any divested assets that were included as divestitures in the Grant Date Plan, the leverage ratio target will be adjusted to reflect the leverage impact of any such divested assets based on the assumptions originally set forth in the Grant Date Plan.</w:t>
      </w:r>
    </w:p>
    <w:p>
      <w:pPr>
        <w:spacing w:after="0" w:line="39" w:lineRule="exact"/>
        <w:rPr>
          <w:sz w:val="20"/>
          <w:szCs w:val="20"/>
          <w:color w:val="auto"/>
        </w:rPr>
      </w:pPr>
    </w:p>
    <w:p>
      <w:pPr>
        <w:jc w:val="both"/>
        <w:ind w:left="660" w:right="20"/>
        <w:spacing w:after="0"/>
        <w:rPr>
          <w:sz w:val="20"/>
          <w:szCs w:val="20"/>
          <w:color w:val="auto"/>
        </w:rPr>
      </w:pPr>
      <w:r>
        <w:rPr>
          <w:rFonts w:ascii="Arial" w:cs="Arial" w:eastAsia="Arial" w:hAnsi="Arial"/>
          <w:sz w:val="18"/>
          <w:szCs w:val="18"/>
          <w:color w:val="auto"/>
        </w:rPr>
        <w:t>In addition, for the Leverage Modifier, the leverage ratio calculation will be adjusted up or down as appropriate to neutralize the impact on leverage of any DCF per CUE over or under performance that has already been taken into account in determining the final amount of cumulative DCF per CUE during the Performance Period (with the goal of isolating the balance sheet impact of other actions such as timing and amount of asset sales, amount of capital expenditures, etc.). The number of Tranche 3 Phantom Units vesting will be determined by multiplying your target number of Tranche 3 Phantom Units by the DCF Payout Percentage as certified by the Compensation Committee. If the resulting amount includes a fraction, it will be rounded down to the nearest whole number.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Illustrative Examples (based on an assumed target number of Tranche 3 Phantom Units of 1,000):</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6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PAA Cumulative DCF per CUE</w:t>
            </w:r>
          </w:p>
        </w:tc>
        <w:tc>
          <w:tcPr>
            <w:tcW w:w="21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w w:val="90"/>
              </w:rPr>
              <w:t>Leverage Ratio as of June</w:t>
            </w:r>
          </w:p>
        </w:tc>
        <w:tc>
          <w:tcPr>
            <w:tcW w:w="500" w:type="dxa"/>
            <w:vAlign w:val="bottom"/>
            <w:tcBorders>
              <w:top w:val="single" w:sz="8" w:color="auto"/>
            </w:tcBorders>
          </w:tcPr>
          <w:p>
            <w:pPr>
              <w:spacing w:after="0"/>
              <w:rPr>
                <w:sz w:val="19"/>
                <w:szCs w:val="19"/>
                <w:color w:val="auto"/>
              </w:rPr>
            </w:pPr>
          </w:p>
        </w:tc>
        <w:tc>
          <w:tcPr>
            <w:tcW w:w="596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DCF Payout Percentage / Number of Units Vesting</w:t>
            </w:r>
          </w:p>
        </w:tc>
      </w:tr>
      <w:tr>
        <w:trPr>
          <w:trHeight w:val="275"/>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Over the Performance Period</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30, 2024</w:t>
            </w:r>
          </w:p>
        </w:tc>
        <w:tc>
          <w:tcPr>
            <w:tcW w:w="500" w:type="dxa"/>
            <w:vAlign w:val="bottom"/>
          </w:tcPr>
          <w:p>
            <w:pPr>
              <w:spacing w:after="0"/>
              <w:rPr>
                <w:sz w:val="23"/>
                <w:szCs w:val="23"/>
                <w:color w:val="auto"/>
              </w:rPr>
            </w:pPr>
          </w:p>
        </w:tc>
        <w:tc>
          <w:tcPr>
            <w:tcW w:w="596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(Impact of Leverage Modifier)</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$6.75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3.25x</w:t>
            </w:r>
          </w:p>
        </w:tc>
        <w:tc>
          <w:tcPr>
            <w:tcW w:w="500" w:type="dxa"/>
            <w:vAlign w:val="bottom"/>
          </w:tcPr>
          <w:p>
            <w:pPr>
              <w:ind w:left="60"/>
              <w:spacing w:after="0"/>
              <w:rPr>
                <w:sz w:val="20"/>
                <w:szCs w:val="20"/>
                <w:color w:val="auto"/>
              </w:rPr>
            </w:pPr>
            <w:r>
              <w:rPr>
                <w:rFonts w:ascii="Arial" w:cs="Arial" w:eastAsia="Arial" w:hAnsi="Arial"/>
                <w:sz w:val="18"/>
                <w:szCs w:val="18"/>
                <w:color w:val="auto"/>
                <w:w w:val="91"/>
              </w:rPr>
              <w:t>200%</w:t>
            </w:r>
          </w:p>
        </w:tc>
        <w:tc>
          <w:tcPr>
            <w:tcW w:w="5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2,000 units (no adjustment to DCF Payout Percentage)</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$6.75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3.45x</w:t>
            </w:r>
          </w:p>
        </w:tc>
        <w:tc>
          <w:tcPr>
            <w:tcW w:w="500" w:type="dxa"/>
            <w:vAlign w:val="bottom"/>
          </w:tcPr>
          <w:p>
            <w:pPr>
              <w:ind w:left="60"/>
              <w:spacing w:after="0"/>
              <w:rPr>
                <w:sz w:val="20"/>
                <w:szCs w:val="20"/>
                <w:color w:val="auto"/>
              </w:rPr>
            </w:pPr>
            <w:r>
              <w:rPr>
                <w:rFonts w:ascii="Arial" w:cs="Arial" w:eastAsia="Arial" w:hAnsi="Arial"/>
                <w:sz w:val="18"/>
                <w:szCs w:val="18"/>
                <w:color w:val="auto"/>
                <w:w w:val="91"/>
              </w:rPr>
              <w:t>150%</w:t>
            </w:r>
          </w:p>
        </w:tc>
        <w:tc>
          <w:tcPr>
            <w:tcW w:w="5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1,500 units (DCF Payout Percentage reduced by 50 percentage points)</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$6.75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2.95x</w:t>
            </w:r>
          </w:p>
        </w:tc>
        <w:tc>
          <w:tcPr>
            <w:tcW w:w="500" w:type="dxa"/>
            <w:vAlign w:val="bottom"/>
          </w:tcPr>
          <w:p>
            <w:pPr>
              <w:ind w:left="60"/>
              <w:spacing w:after="0"/>
              <w:rPr>
                <w:sz w:val="20"/>
                <w:szCs w:val="20"/>
                <w:color w:val="auto"/>
              </w:rPr>
            </w:pPr>
            <w:r>
              <w:rPr>
                <w:rFonts w:ascii="Arial" w:cs="Arial" w:eastAsia="Arial" w:hAnsi="Arial"/>
                <w:sz w:val="18"/>
                <w:szCs w:val="18"/>
                <w:color w:val="auto"/>
                <w:w w:val="91"/>
              </w:rPr>
              <w:t>200%</w:t>
            </w:r>
          </w:p>
        </w:tc>
        <w:tc>
          <w:tcPr>
            <w:tcW w:w="5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2,000 units (DCF Payout Percentage capped at 200%)</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3.25x</w:t>
            </w:r>
          </w:p>
        </w:tc>
        <w:tc>
          <w:tcPr>
            <w:tcW w:w="500" w:type="dxa"/>
            <w:vAlign w:val="bottom"/>
          </w:tcPr>
          <w:p>
            <w:pPr>
              <w:ind w:left="60"/>
              <w:spacing w:after="0"/>
              <w:rPr>
                <w:sz w:val="20"/>
                <w:szCs w:val="20"/>
                <w:color w:val="auto"/>
              </w:rPr>
            </w:pPr>
            <w:r>
              <w:rPr>
                <w:rFonts w:ascii="Arial" w:cs="Arial" w:eastAsia="Arial" w:hAnsi="Arial"/>
                <w:sz w:val="18"/>
                <w:szCs w:val="18"/>
                <w:color w:val="auto"/>
                <w:w w:val="91"/>
              </w:rPr>
              <w:t>100%</w:t>
            </w:r>
          </w:p>
        </w:tc>
        <w:tc>
          <w:tcPr>
            <w:tcW w:w="5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1,000 units (no adjustment to DCF Payout Percentage)</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646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3.45x</w:t>
            </w:r>
          </w:p>
        </w:tc>
        <w:tc>
          <w:tcPr>
            <w:tcW w:w="6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50% / 500 units (DCF Payout Percentage reduced by 50 percentage points)</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2.95x</w:t>
            </w:r>
          </w:p>
        </w:tc>
        <w:tc>
          <w:tcPr>
            <w:tcW w:w="500" w:type="dxa"/>
            <w:vAlign w:val="bottom"/>
          </w:tcPr>
          <w:p>
            <w:pPr>
              <w:ind w:left="60"/>
              <w:spacing w:after="0"/>
              <w:rPr>
                <w:sz w:val="20"/>
                <w:szCs w:val="20"/>
                <w:color w:val="auto"/>
              </w:rPr>
            </w:pPr>
            <w:r>
              <w:rPr>
                <w:rFonts w:ascii="Arial" w:cs="Arial" w:eastAsia="Arial" w:hAnsi="Arial"/>
                <w:sz w:val="18"/>
                <w:szCs w:val="18"/>
                <w:color w:val="auto"/>
                <w:w w:val="91"/>
              </w:rPr>
              <w:t>150%</w:t>
            </w:r>
          </w:p>
        </w:tc>
        <w:tc>
          <w:tcPr>
            <w:tcW w:w="5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 1,500 units (DCF Payout Percentage increased by 50 percentage points)</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646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$5.40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3.25x</w:t>
            </w:r>
          </w:p>
        </w:tc>
        <w:tc>
          <w:tcPr>
            <w:tcW w:w="6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0% / 0 units (no adjustment to DCF Payout Percentage)</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646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$5.40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3.45x</w:t>
            </w:r>
          </w:p>
        </w:tc>
        <w:tc>
          <w:tcPr>
            <w:tcW w:w="6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0% / 0 units (no adjustment to DCF Payout Percentage)</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646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$5.40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2.95x</w:t>
            </w:r>
          </w:p>
        </w:tc>
        <w:tc>
          <w:tcPr>
            <w:tcW w:w="6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50% / 500 units (DCF Payout Percentage increased by 50 percentage points)</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260"/>
          </w:cols>
          <w:pgMar w:left="320" w:top="1421" w:right="31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11430</wp:posOffset>
            </wp:positionV>
            <wp:extent cx="2322830" cy="5911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4">
                      <a:extLst>
                        <a:ext uri="{28A0092B-C50C-407E-A947-70E740481C1C}"/>
                      </a:extLst>
                    </a:blip>
                    <a:srcRect/>
                    <a:stretch>
                      <a:fillRect/>
                    </a:stretch>
                  </pic:blipFill>
                  <pic:spPr bwMode="auto">
                    <a:xfrm>
                      <a:off x="0" y="0"/>
                      <a:ext cx="232283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2021 ANNUAL DIRECTOR GRANT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19, 2021</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«FirstName» «LastName»</w:t>
      </w:r>
    </w:p>
    <w:p>
      <w:pPr>
        <w:spacing w:after="0" w:line="238" w:lineRule="auto"/>
        <w:rPr>
          <w:sz w:val="20"/>
          <w:szCs w:val="20"/>
          <w:color w:val="auto"/>
        </w:rPr>
      </w:pPr>
      <w:r>
        <w:rPr>
          <w:rFonts w:ascii="Arial" w:cs="Arial" w:eastAsia="Arial" w:hAnsi="Arial"/>
          <w:sz w:val="22"/>
          <w:szCs w:val="22"/>
          <w:color w:val="auto"/>
        </w:rPr>
        <w:t>«Address»</w:t>
      </w:r>
    </w:p>
    <w:p>
      <w:pPr>
        <w:spacing w:after="0"/>
        <w:rPr>
          <w:sz w:val="20"/>
          <w:szCs w:val="20"/>
          <w:color w:val="auto"/>
        </w:rPr>
      </w:pPr>
      <w:r>
        <w:rPr>
          <w:rFonts w:ascii="Arial" w:cs="Arial" w:eastAsia="Arial" w:hAnsi="Arial"/>
          <w:sz w:val="22"/>
          <w:szCs w:val="22"/>
          <w:color w:val="auto"/>
        </w:rPr>
        <w:t>«City», «State» «Zip»</w:t>
      </w:r>
    </w:p>
    <w:p>
      <w:pPr>
        <w:spacing w:after="0" w:line="21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Grant of Phantom Class A Shares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«Salutation»:</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I am pleased to inform you that you have been granted 11,900 Phantom Class A Shares as of the above date pursuant to the Plains GP Holdings, L.P. Long-Term Incentive Plan (the “Plan”). In tandem with each Phantom Class A Share granted hereby you have been granted a distribution equivalent right (a “DER”). A DER represents the right to receive a cash payment equivalent to the amount, if any, paid in cash distributions on one Class A Share of Plains GP Holdings, L.P. (“PAGP” or the “Partnership”) to the holder of such Class A Share. The terms and conditions of this grant are as set forth below.</w:t>
      </w:r>
    </w:p>
    <w:p>
      <w:pPr>
        <w:spacing w:after="0" w:line="174" w:lineRule="exact"/>
        <w:rPr>
          <w:sz w:val="20"/>
          <w:szCs w:val="20"/>
          <w:color w:val="auto"/>
        </w:rPr>
      </w:pPr>
    </w:p>
    <w:p>
      <w:pPr>
        <w:ind w:left="660" w:hanging="328"/>
        <w:spacing w:after="0" w:line="328" w:lineRule="auto"/>
        <w:tabs>
          <w:tab w:leader="none" w:pos="6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Subject to the further provisions of this Agreement, your Phantom Class A Shares shall vest (become payable in the form of one Class A Share of PAGP for each Phantom Class A Share that vests) on the August 2025 Distribution Date.</w:t>
      </w:r>
    </w:p>
    <w:p>
      <w:pPr>
        <w:spacing w:after="0" w:line="131" w:lineRule="exact"/>
        <w:rPr>
          <w:rFonts w:ascii="Arial" w:cs="Arial" w:eastAsia="Arial" w:hAnsi="Arial"/>
          <w:sz w:val="19"/>
          <w:szCs w:val="19"/>
          <w:color w:val="auto"/>
        </w:rPr>
      </w:pPr>
    </w:p>
    <w:p>
      <w:pPr>
        <w:ind w:left="660" w:hanging="328"/>
        <w:spacing w:after="0" w:line="250" w:lineRule="auto"/>
        <w:tabs>
          <w:tab w:leader="none" w:pos="6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be payable in cash substantially contemporaneously with each Distribution Date.</w:t>
      </w:r>
    </w:p>
    <w:p>
      <w:pPr>
        <w:spacing w:after="0" w:line="201" w:lineRule="exact"/>
        <w:rPr>
          <w:rFonts w:ascii="Arial" w:cs="Arial" w:eastAsia="Arial" w:hAnsi="Arial"/>
          <w:sz w:val="22"/>
          <w:szCs w:val="22"/>
          <w:color w:val="auto"/>
        </w:rPr>
      </w:pPr>
    </w:p>
    <w:p>
      <w:pPr>
        <w:ind w:left="660" w:hanging="328"/>
        <w:spacing w:after="0"/>
        <w:tabs>
          <w:tab w:leader="none" w:pos="6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Immediately after the vesting of any Phantom Class A Shares, an equal number of DERs shall expire.</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Upon any forfeiture of Phantom Class A Shares, an equal number of DERs shall expire.</w:t>
      </w:r>
    </w:p>
    <w:p>
      <w:pPr>
        <w:spacing w:after="0" w:line="233" w:lineRule="exact"/>
        <w:rPr>
          <w:rFonts w:ascii="Arial" w:cs="Arial" w:eastAsia="Arial" w:hAnsi="Arial"/>
          <w:sz w:val="22"/>
          <w:szCs w:val="22"/>
          <w:color w:val="auto"/>
        </w:rPr>
      </w:pPr>
    </w:p>
    <w:p>
      <w:pPr>
        <w:jc w:val="both"/>
        <w:ind w:left="660" w:hanging="328"/>
        <w:spacing w:after="0" w:line="238" w:lineRule="auto"/>
        <w:tabs>
          <w:tab w:leader="none" w:pos="6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In the event that (i) you voluntarily terminate your service on the Board of Directors (other than for Retirement) or (ii) your service on the Board of Directors is terminated by the Board (by a majority vote of the remaining Directors) for Cause (as defined in the LLC Agreement), all unvested Phantom Class A Shares (and tandem DERs) shall be forfeited as of the date service terminates.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000080"/>
        </w:rPr>
        <w:t xml:space="preserve">333 Clay Street, Suite 1600 </w:t>
      </w:r>
      <w:r>
        <w:rPr>
          <w:rFonts w:ascii="Arial" w:cs="Arial" w:eastAsia="Arial" w:hAnsi="Arial"/>
          <w:sz w:val="25"/>
          <w:szCs w:val="25"/>
          <w:color w:val="000080"/>
        </w:rPr>
        <w:t>■</w:t>
      </w:r>
      <w:r>
        <w:rPr>
          <w:rFonts w:ascii="Arial" w:cs="Arial" w:eastAsia="Arial" w:hAnsi="Arial"/>
          <w:sz w:val="20"/>
          <w:szCs w:val="20"/>
          <w:color w:val="000080"/>
        </w:rPr>
        <w:t xml:space="preserve"> Houston, Texas 77002 </w:t>
      </w:r>
      <w:r>
        <w:rPr>
          <w:rFonts w:ascii="Arial" w:cs="Arial" w:eastAsia="Arial" w:hAnsi="Arial"/>
          <w:sz w:val="25"/>
          <w:szCs w:val="25"/>
          <w:color w:val="000080"/>
        </w:rPr>
        <w:t>■</w:t>
      </w:r>
      <w:r>
        <w:rPr>
          <w:rFonts w:ascii="Arial" w:cs="Arial" w:eastAsia="Arial" w:hAnsi="Arial"/>
          <w:sz w:val="20"/>
          <w:szCs w:val="20"/>
          <w:color w:val="000080"/>
        </w:rPr>
        <w:t xml:space="preserve"> 713-646-4100 or 800-564-3036</w:t>
      </w:r>
    </w:p>
    <w:p>
      <w:pPr>
        <w:sectPr>
          <w:pgSz w:w="11900" w:h="16838" w:orient="portrait"/>
          <w:cols w:equalWidth="0" w:num="1">
            <w:col w:w="11240"/>
          </w:cols>
          <w:pgMar w:left="320" w:top="111" w:right="339" w:bottom="1440" w:gutter="0" w:footer="0" w:header="0"/>
        </w:sectPr>
      </w:pPr>
    </w:p>
    <w:bookmarkStart w:id="79" w:name="page80"/>
    <w:bookmarkEnd w:id="79"/>
    <w:p>
      <w:pPr>
        <w:jc w:val="center"/>
        <w:ind w:right="-19"/>
        <w:spacing w:after="0"/>
        <w:tabs>
          <w:tab w:leader="none" w:pos="200" w:val="left"/>
          <w:tab w:leader="none" w:pos="180" w:val="left"/>
        </w:tabs>
        <w:rPr>
          <w:sz w:val="20"/>
          <w:szCs w:val="20"/>
          <w:color w:val="auto"/>
        </w:rPr>
      </w:pPr>
      <w:r>
        <w:rPr>
          <w:rFonts w:ascii="Arial" w:cs="Arial" w:eastAsia="Arial" w:hAnsi="Arial"/>
          <w:sz w:val="22"/>
          <w:szCs w:val="22"/>
          <w:color w:val="auto"/>
        </w:rPr>
        <w:t>«FirstName» «LastName»</w:t>
        <w:tab/>
        <w:t>- 2 -</w:t>
      </w:r>
      <w:r>
        <w:rPr>
          <w:sz w:val="20"/>
          <w:szCs w:val="20"/>
          <w:color w:val="auto"/>
        </w:rPr>
        <w:tab/>
      </w:r>
      <w:r>
        <w:rPr>
          <w:rFonts w:ascii="Arial" w:cs="Arial" w:eastAsia="Arial" w:hAnsi="Arial"/>
          <w:sz w:val="19"/>
          <w:szCs w:val="19"/>
          <w:color w:val="auto"/>
        </w:rPr>
        <w:t>August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660" w:hanging="328"/>
        <w:spacing w:after="0" w:line="236" w:lineRule="auto"/>
        <w:tabs>
          <w:tab w:leader="none" w:pos="6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In the event your service on the Board of Directors is terminated (i) because of your death or disability (as determined in good faith by the Board), (ii) due to your Retirement, or (iii) for any reason other than as described in clauses (i) and (ii) of paragraph 5 above, all unvested Phantom Class A Shares shall immediately become nonforfeitable and shall vest in full as of the next following Distribution Date. Upon such payment, the tandem DERs associated with the Phantom Class A Shares that are vesting shall expire.</w:t>
      </w:r>
    </w:p>
    <w:p>
      <w:pPr>
        <w:spacing w:after="0" w:line="214" w:lineRule="exact"/>
        <w:rPr>
          <w:rFonts w:ascii="Arial" w:cs="Arial" w:eastAsia="Arial" w:hAnsi="Arial"/>
          <w:sz w:val="22"/>
          <w:szCs w:val="22"/>
          <w:color w:val="auto"/>
        </w:rPr>
      </w:pPr>
    </w:p>
    <w:p>
      <w:pPr>
        <w:ind w:left="660" w:hanging="328"/>
        <w:spacing w:after="0" w:line="328" w:lineRule="auto"/>
        <w:tabs>
          <w:tab w:leader="none" w:pos="660" w:val="left"/>
        </w:tabs>
        <w:numPr>
          <w:ilvl w:val="0"/>
          <w:numId w:val="59"/>
        </w:numPr>
        <w:rPr>
          <w:rFonts w:ascii="Arial" w:cs="Arial" w:eastAsia="Arial" w:hAnsi="Arial"/>
          <w:sz w:val="19"/>
          <w:szCs w:val="19"/>
          <w:color w:val="auto"/>
        </w:rPr>
      </w:pPr>
      <w:r>
        <w:rPr>
          <w:rFonts w:ascii="Arial" w:cs="Arial" w:eastAsia="Arial" w:hAnsi="Arial"/>
          <w:sz w:val="19"/>
          <w:szCs w:val="19"/>
          <w:color w:val="auto"/>
        </w:rPr>
        <w:t>For the avoidance of doubt, to the extent the expiration of a DER relates to the vesting of a Phantom Class A Share on a Distribution Date, the intent is for the DER to be paid with respect to such Distribution Date before the DER expires.</w:t>
      </w:r>
    </w:p>
    <w:p>
      <w:pPr>
        <w:spacing w:after="0" w:line="132" w:lineRule="exact"/>
        <w:rPr>
          <w:sz w:val="20"/>
          <w:szCs w:val="20"/>
          <w:color w:val="auto"/>
        </w:rPr>
      </w:pPr>
    </w:p>
    <w:p>
      <w:pPr>
        <w:jc w:val="both"/>
        <w:ind w:firstLine="286"/>
        <w:spacing w:after="0" w:line="234" w:lineRule="auto"/>
        <w:rPr>
          <w:sz w:val="20"/>
          <w:szCs w:val="20"/>
          <w:color w:val="auto"/>
        </w:rPr>
      </w:pPr>
      <w:r>
        <w:rPr>
          <w:rFonts w:ascii="Arial" w:cs="Arial" w:eastAsia="Arial" w:hAnsi="Arial"/>
          <w:sz w:val="22"/>
          <w:szCs w:val="22"/>
          <w:color w:val="auto"/>
        </w:rPr>
        <w:t>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w:t>
      </w:r>
    </w:p>
    <w:p>
      <w:pPr>
        <w:spacing w:after="0" w:line="218" w:lineRule="exact"/>
        <w:rPr>
          <w:sz w:val="20"/>
          <w:szCs w:val="20"/>
          <w:color w:val="auto"/>
        </w:rPr>
      </w:pPr>
    </w:p>
    <w:p>
      <w:pPr>
        <w:jc w:val="both"/>
        <w:ind w:firstLine="236"/>
        <w:spacing w:after="0" w:line="235"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Second Amended and Restated Agreement of Limited Partnership of Plains GP Holdings, L.P., as amended (the “Partnership Agreement”) or the Third Amended and Restated Limited Liability Company Agreement of PAA GP Holdings LLC, as amended (the “LLC Agreement”). By signing below, you agree that the Phantom Class A Shares and DERs granted hereunder are governed by the terms of the Plan. Copies of the Plan, the Partnership Agreement and the LLC Agreement are available upon request.</w:t>
      </w:r>
    </w:p>
    <w:p>
      <w:pPr>
        <w:sectPr>
          <w:pgSz w:w="11900" w:h="16838" w:orient="portrait"/>
          <w:cols w:equalWidth="0" w:num="1">
            <w:col w:w="11240"/>
          </w:cols>
          <w:pgMar w:left="320" w:top="118" w:right="339" w:bottom="1440" w:gutter="0" w:footer="0" w:header="0"/>
        </w:sectPr>
      </w:pPr>
    </w:p>
    <w:bookmarkStart w:id="80" w:name="page81"/>
    <w:bookmarkEnd w:id="80"/>
    <w:p>
      <w:pPr>
        <w:jc w:val="center"/>
        <w:ind w:right="-19"/>
        <w:spacing w:after="0"/>
        <w:tabs>
          <w:tab w:leader="none" w:pos="200" w:val="left"/>
          <w:tab w:leader="none" w:pos="180" w:val="left"/>
        </w:tabs>
        <w:rPr>
          <w:sz w:val="20"/>
          <w:szCs w:val="20"/>
          <w:color w:val="auto"/>
        </w:rPr>
      </w:pPr>
      <w:r>
        <w:rPr>
          <w:rFonts w:ascii="Arial" w:cs="Arial" w:eastAsia="Arial" w:hAnsi="Arial"/>
          <w:sz w:val="22"/>
          <w:szCs w:val="22"/>
          <w:color w:val="auto"/>
        </w:rPr>
        <w:t>«FirstName» «LastName»</w:t>
        <w:tab/>
        <w:t>- 3 -</w:t>
      </w:r>
      <w:r>
        <w:rPr>
          <w:sz w:val="20"/>
          <w:szCs w:val="20"/>
          <w:color w:val="auto"/>
        </w:rPr>
        <w:tab/>
      </w:r>
      <w:r>
        <w:rPr>
          <w:rFonts w:ascii="Arial" w:cs="Arial" w:eastAsia="Arial" w:hAnsi="Arial"/>
          <w:sz w:val="19"/>
          <w:szCs w:val="19"/>
          <w:color w:val="auto"/>
        </w:rPr>
        <w:t>August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Please designate in the space provided below a beneficiary to receive benefits payable under this a grant in the event of your death. In addition, please execute and return a copy of this grant letter to me and retain a copy for your records.</w:t>
      </w:r>
    </w:p>
    <w:p>
      <w:pPr>
        <w:spacing w:after="0" w:line="3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GP HOLDINGS, L.P.</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PAA GP HOLDINGS LLC</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____________________________________</w:t>
      </w: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Richard McGee</w:t>
      </w: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«FirstName» «LastName»</w:t>
      </w: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No. of Phantom Class A Shares: 11,900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-17780</wp:posOffset>
            </wp:positionV>
            <wp:extent cx="5092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5">
                      <a:extLst>
                        <a:ext uri="{28A0092B-C50C-407E-A947-70E740481C1C}"/>
                      </a:extLst>
                    </a:blip>
                    <a:srcRect/>
                    <a:stretch>
                      <a:fillRect/>
                    </a:stretch>
                  </pic:blipFill>
                  <pic:spPr bwMode="auto">
                    <a:xfrm>
                      <a:off x="0" y="0"/>
                      <a:ext cx="50927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6858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Beneficiary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40575" cy="14998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7">
                      <a:extLst>
                        <a:ext uri="{28A0092B-C50C-407E-A947-70E740481C1C}"/>
                      </a:extLst>
                    </a:blip>
                    <a:srcRect/>
                    <a:stretch>
                      <a:fillRect/>
                    </a:stretch>
                  </pic:blipFill>
                  <pic:spPr bwMode="auto">
                    <a:xfrm>
                      <a:off x="0" y="0"/>
                      <a:ext cx="7140575" cy="1499870"/>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3920" w:type="dxa"/>
            <w:vAlign w:val="bottom"/>
            <w:shd w:val="clear" w:color="auto" w:fill="C0C0C0"/>
          </w:tcPr>
          <w:p>
            <w:pPr>
              <w:ind w:left="80"/>
              <w:spacing w:after="0"/>
              <w:rPr>
                <w:sz w:val="20"/>
                <w:szCs w:val="20"/>
                <w:color w:val="auto"/>
              </w:rPr>
            </w:pPr>
            <w:r>
              <w:rPr>
                <w:rFonts w:ascii="Arial" w:cs="Arial" w:eastAsia="Arial" w:hAnsi="Arial"/>
                <w:sz w:val="22"/>
                <w:szCs w:val="22"/>
                <w:color w:val="auto"/>
              </w:rPr>
              <w:t>Primary Beneficiary Name</w:t>
            </w:r>
          </w:p>
        </w:tc>
        <w:tc>
          <w:tcPr>
            <w:tcW w:w="3180" w:type="dxa"/>
            <w:vAlign w:val="bottom"/>
            <w:shd w:val="clear" w:color="auto" w:fill="C0C0C0"/>
          </w:tcPr>
          <w:p>
            <w:pPr>
              <w:ind w:left="1500"/>
              <w:spacing w:after="0"/>
              <w:rPr>
                <w:sz w:val="20"/>
                <w:szCs w:val="20"/>
                <w:color w:val="auto"/>
              </w:rPr>
            </w:pPr>
            <w:r>
              <w:rPr>
                <w:rFonts w:ascii="Arial" w:cs="Arial" w:eastAsia="Arial" w:hAnsi="Arial"/>
                <w:sz w:val="22"/>
                <w:szCs w:val="22"/>
                <w:color w:val="auto"/>
              </w:rPr>
              <w:t>Relationship</w:t>
            </w:r>
          </w:p>
        </w:tc>
        <w:tc>
          <w:tcPr>
            <w:tcW w:w="4140" w:type="dxa"/>
            <w:vAlign w:val="bottom"/>
            <w:shd w:val="clear" w:color="auto" w:fill="C0C0C0"/>
          </w:tcPr>
          <w:p>
            <w:pPr>
              <w:ind w:left="600"/>
              <w:spacing w:after="0"/>
              <w:rPr>
                <w:sz w:val="20"/>
                <w:szCs w:val="20"/>
                <w:color w:val="auto"/>
              </w:rPr>
            </w:pPr>
            <w:r>
              <w:rPr>
                <w:rFonts w:ascii="Arial" w:cs="Arial" w:eastAsia="Arial" w:hAnsi="Arial"/>
                <w:sz w:val="22"/>
                <w:szCs w:val="22"/>
                <w:color w:val="auto"/>
              </w:rPr>
              <w:t>Percent (Must total 100%)</w:t>
            </w: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4020" w:type="dxa"/>
            <w:vAlign w:val="bottom"/>
            <w:shd w:val="clear" w:color="auto" w:fill="C0C0C0"/>
          </w:tcPr>
          <w:p>
            <w:pPr>
              <w:ind w:left="80"/>
              <w:spacing w:after="0"/>
              <w:rPr>
                <w:sz w:val="20"/>
                <w:szCs w:val="20"/>
                <w:color w:val="auto"/>
              </w:rPr>
            </w:pPr>
            <w:r>
              <w:rPr>
                <w:rFonts w:ascii="Arial" w:cs="Arial" w:eastAsia="Arial" w:hAnsi="Arial"/>
                <w:sz w:val="22"/>
                <w:szCs w:val="22"/>
                <w:color w:val="auto"/>
              </w:rPr>
              <w:t>Secondary Beneficiary Name</w:t>
            </w:r>
          </w:p>
        </w:tc>
        <w:tc>
          <w:tcPr>
            <w:tcW w:w="3080" w:type="dxa"/>
            <w:vAlign w:val="bottom"/>
            <w:shd w:val="clear" w:color="auto" w:fill="C0C0C0"/>
          </w:tcPr>
          <w:p>
            <w:pPr>
              <w:ind w:left="1400"/>
              <w:spacing w:after="0"/>
              <w:rPr>
                <w:sz w:val="20"/>
                <w:szCs w:val="20"/>
                <w:color w:val="auto"/>
              </w:rPr>
            </w:pPr>
            <w:r>
              <w:rPr>
                <w:rFonts w:ascii="Arial" w:cs="Arial" w:eastAsia="Arial" w:hAnsi="Arial"/>
                <w:sz w:val="22"/>
                <w:szCs w:val="22"/>
                <w:color w:val="auto"/>
              </w:rPr>
              <w:t>Relationship</w:t>
            </w:r>
          </w:p>
        </w:tc>
        <w:tc>
          <w:tcPr>
            <w:tcW w:w="4140" w:type="dxa"/>
            <w:vAlign w:val="bottom"/>
            <w:shd w:val="clear" w:color="auto" w:fill="C0C0C0"/>
          </w:tcPr>
          <w:p>
            <w:pPr>
              <w:ind w:left="600"/>
              <w:spacing w:after="0"/>
              <w:rPr>
                <w:sz w:val="20"/>
                <w:szCs w:val="20"/>
                <w:color w:val="auto"/>
              </w:rPr>
            </w:pPr>
            <w:r>
              <w:rPr>
                <w:rFonts w:ascii="Arial" w:cs="Arial" w:eastAsia="Arial" w:hAnsi="Arial"/>
                <w:sz w:val="22"/>
                <w:szCs w:val="22"/>
                <w:color w:val="auto"/>
              </w:rPr>
              <w:t>Percent (Must total 100%)</w:t>
            </w:r>
          </w:p>
        </w:tc>
      </w:tr>
    </w:tbl>
    <w:p>
      <w:pPr>
        <w:sectPr>
          <w:pgSz w:w="11900" w:h="16838" w:orient="portrait"/>
          <w:cols w:equalWidth="0" w:num="1">
            <w:col w:w="11240"/>
          </w:cols>
          <w:pgMar w:left="320" w:top="118"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2021</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8">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Willie Chiang</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6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2021</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9">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Al Swanson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GP Holdings, L.P. (the “Company”), hereby certify that:</w:t>
      </w:r>
    </w:p>
    <w:p>
      <w:pPr>
        <w:spacing w:after="0" w:line="225" w:lineRule="exact"/>
        <w:rPr>
          <w:sz w:val="20"/>
          <w:szCs w:val="20"/>
          <w:color w:val="auto"/>
        </w:rPr>
      </w:pPr>
    </w:p>
    <w:p>
      <w:pPr>
        <w:ind w:right="180" w:firstLine="656"/>
        <w:spacing w:after="0" w:line="263" w:lineRule="auto"/>
        <w:tabs>
          <w:tab w:leader="none" w:pos="135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2021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78"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Willie Chiang</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November 8, 2021</w:t>
      </w:r>
    </w:p>
    <w:p>
      <w:pPr>
        <w:sectPr>
          <w:pgSz w:w="11900" w:h="16838" w:orient="portrait"/>
          <w:cols w:equalWidth="0" w:num="1">
            <w:col w:w="11240"/>
          </w:cols>
          <w:pgMar w:left="320" w:top="89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ind w:right="180" w:firstLine="656"/>
        <w:spacing w:after="0" w:line="263" w:lineRule="auto"/>
        <w:tabs>
          <w:tab w:leader="none" w:pos="135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2021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78"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Al Swanson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November 8,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1)"/>
      <w:numFmt w:val="decimal"/>
      <w:start w:val="1"/>
    </w:lvl>
  </w:abstractNum>
  <w:abstractNum w:abstractNumId="10">
    <w:nsid w:val="2D517796"/>
    <w:multiLevelType w:val="hybridMultilevel"/>
    <w:lvl w:ilvl="0">
      <w:lvlJc w:val="left"/>
      <w:lvlText w:val="(%1)"/>
      <w:numFmt w:val="decimal"/>
      <w:start w:val="1"/>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1)"/>
      <w:numFmt w:val="decimal"/>
      <w:start w:val="1"/>
    </w:lvl>
  </w:abstractNum>
  <w:abstractNum w:abstractNumId="13">
    <w:nsid w:val="3855585C"/>
    <w:multiLevelType w:val="hybridMultilevel"/>
    <w:lvl w:ilvl="0">
      <w:lvlJc w:val="left"/>
      <w:lvlText w:val="(%1)"/>
      <w:numFmt w:val="decimal"/>
      <w:start w:val="1"/>
    </w:lvl>
  </w:abstractNum>
  <w:abstractNum w:abstractNumId="14">
    <w:nsid w:val="70A64E2A"/>
    <w:multiLevelType w:val="hybridMultilevel"/>
    <w:lvl w:ilvl="0">
      <w:lvlJc w:val="left"/>
      <w:lvlText w:val="(%1)"/>
      <w:numFmt w:val="lowerRoman"/>
      <w:start w:val="2"/>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1)"/>
      <w:numFmt w:val="decimal"/>
      <w:start w:val="1"/>
    </w:lvl>
  </w:abstractNum>
  <w:abstractNum w:abstractNumId="18">
    <w:nsid w:val="725A06FB"/>
    <w:multiLevelType w:val="hybridMultilevel"/>
    <w:lvl w:ilvl="0">
      <w:lvlJc w:val="left"/>
      <w:lvlText w:val="(%1)"/>
      <w:numFmt w:val="decimal"/>
      <w:start w:val="1"/>
    </w:lvl>
  </w:abstractNum>
  <w:abstractNum w:abstractNumId="19">
    <w:nsid w:val="2CD89A32"/>
    <w:multiLevelType w:val="hybridMultilevel"/>
    <w:lvl w:ilvl="0">
      <w:lvlJc w:val="left"/>
      <w:lvlText w:val="(%1)"/>
      <w:numFmt w:val="decimal"/>
      <w:start w:val="1"/>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1)"/>
      <w:numFmt w:val="decimal"/>
      <w:start w:val="2"/>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1)"/>
      <w:numFmt w:val="decimal"/>
      <w:start w:val="1"/>
    </w:lvl>
  </w:abstractNum>
  <w:abstractNum w:abstractNumId="25">
    <w:nsid w:val="38437FDB"/>
    <w:multiLevelType w:val="hybridMultilevel"/>
    <w:lvl w:ilvl="0">
      <w:lvlJc w:val="left"/>
      <w:lvlText w:val="(%1)"/>
      <w:numFmt w:val="lowerRoman"/>
      <w:start w:val="5"/>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1)"/>
      <w:numFmt w:val="decimal"/>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1)"/>
      <w:numFmt w:val="decimal"/>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1)"/>
      <w:numFmt w:val="lowerRoman"/>
      <w:start w:val="3"/>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1)"/>
      <w:numFmt w:val="decimal"/>
      <w:start w:val="3"/>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1)"/>
      <w:numFmt w:val="decimal"/>
      <w:start w:val="1"/>
    </w:lvl>
  </w:abstractNum>
  <w:abstractNum w:abstractNumId="40">
    <w:nsid w:val="23F9C13C"/>
    <w:multiLevelType w:val="hybridMultilevel"/>
    <w:lvl w:ilvl="0">
      <w:lvlJc w:val="left"/>
      <w:lvlText w:val="(%1)"/>
      <w:numFmt w:val="lowerRoman"/>
      <w:start w:val="4"/>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1."/>
      <w:numFmt w:val="decimal"/>
      <w:start w:val="1"/>
    </w:lvl>
    <w:lvl w:ilvl="1">
      <w:lvlJc w:val="left"/>
      <w:lvlText w:val="%2."/>
      <w:numFmt w:val="lowerLetter"/>
      <w:start w:val="1"/>
    </w:lvl>
  </w:abstractNum>
  <w:abstractNum w:abstractNumId="46">
    <w:nsid w:val="235BA861"/>
    <w:multiLevelType w:val="hybridMultilevel"/>
    <w:lvl w:ilvl="0">
      <w:lvlJc w:val="left"/>
      <w:lvlText w:val="%1"/>
      <w:numFmt w:val="decimal"/>
      <w:start w:val="1"/>
    </w:lvl>
    <w:lvl w:ilvl="1">
      <w:lvlJc w:val="left"/>
      <w:lvlText w:val="%2."/>
      <w:numFmt w:val="lowerLetter"/>
      <w:start w:val="2"/>
    </w:lvl>
  </w:abstractNum>
  <w:abstractNum w:abstractNumId="47">
    <w:nsid w:val="47398C89"/>
    <w:multiLevelType w:val="hybridMultilevel"/>
    <w:lvl w:ilvl="0">
      <w:lvlJc w:val="left"/>
      <w:lvlText w:val="%1."/>
      <w:numFmt w:val="decimal"/>
      <w:start w:val="3"/>
    </w:lvl>
    <w:lvl w:ilvl="1">
      <w:lvlJc w:val="left"/>
      <w:lvlText w:val="%2"/>
      <w:numFmt w:val="lowerLetter"/>
      <w:start w:val="1"/>
    </w:lvl>
  </w:abstractNum>
  <w:abstractNum w:abstractNumId="48">
    <w:nsid w:val="354FE9F9"/>
    <w:multiLevelType w:val="hybridMultilevel"/>
    <w:lvl w:ilvl="0">
      <w:lvlJc w:val="left"/>
      <w:lvlText w:val="%1."/>
      <w:numFmt w:val="decimal"/>
      <w:start w:val="5"/>
    </w:lvl>
    <w:lvl w:ilvl="1">
      <w:lvlJc w:val="left"/>
      <w:lvlText w:val="(%2)"/>
      <w:numFmt w:val="lowerLetter"/>
      <w:start w:val="25"/>
    </w:lvl>
  </w:abstractNum>
  <w:abstractNum w:abstractNumId="49">
    <w:nsid w:val="15B5AF5C"/>
    <w:multiLevelType w:val="hybridMultilevel"/>
    <w:lvl w:ilvl="0">
      <w:lvlJc w:val="left"/>
      <w:lvlText w:val="%1."/>
      <w:numFmt w:val="decimal"/>
      <w:start w:val="8"/>
    </w:lvl>
  </w:abstractNum>
  <w:abstractNum w:abstractNumId="50">
    <w:nsid w:val="741226BB"/>
    <w:multiLevelType w:val="hybridMultilevel"/>
    <w:lvl w:ilvl="0">
      <w:lvlJc w:val="left"/>
      <w:lvlText w:val="(%1)"/>
      <w:numFmt w:val="lowerRoman"/>
      <w:start w:val="1"/>
    </w:lvl>
  </w:abstractNum>
  <w:abstractNum w:abstractNumId="51">
    <w:nsid w:val="D34B6A8"/>
    <w:multiLevelType w:val="hybridMultilevel"/>
    <w:lvl w:ilvl="0">
      <w:lvlJc w:val="left"/>
      <w:lvlText w:val="(%1)"/>
      <w:numFmt w:val="lowerRoman"/>
      <w:start w:val="4"/>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1."/>
      <w:numFmt w:val="decimal"/>
      <w:start w:val="1"/>
    </w:lvl>
    <w:lvl w:ilvl="1">
      <w:lvlJc w:val="left"/>
      <w:lvlText w:val="(%2)"/>
      <w:numFmt w:val="lowerRoman"/>
      <w:start w:val="1"/>
    </w:lvl>
  </w:abstractNum>
  <w:abstractNum w:abstractNumId="54">
    <w:nsid w:val="61574095"/>
    <w:multiLevelType w:val="hybridMultilevel"/>
    <w:lvl w:ilvl="0">
      <w:lvlJc w:val="left"/>
      <w:lvlText w:val="%1."/>
      <w:numFmt w:val="decimal"/>
      <w:start w:val="3"/>
    </w:lvl>
  </w:abstractNum>
  <w:abstractNum w:abstractNumId="55">
    <w:nsid w:val="7E0C57B1"/>
    <w:multiLevelType w:val="hybridMultilevel"/>
    <w:lvl w:ilvl="0">
      <w:lvlJc w:val="left"/>
      <w:lvlText w:val="%1."/>
      <w:numFmt w:val="decimal"/>
      <w:start w:val="1"/>
    </w:lvl>
    <w:lvl w:ilvl="1">
      <w:lvlJc w:val="left"/>
      <w:lvlText w:val="(%2)"/>
      <w:numFmt w:val="lowerRoman"/>
      <w:start w:val="1"/>
    </w:lvl>
  </w:abstractNum>
  <w:abstractNum w:abstractNumId="56">
    <w:nsid w:val="77AE35EB"/>
    <w:multiLevelType w:val="hybridMultilevel"/>
    <w:lvl w:ilvl="0">
      <w:lvlJc w:val="left"/>
      <w:lvlText w:val="(%1)"/>
      <w:numFmt w:val="lowerLetter"/>
      <w:start w:val="1"/>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decimal"/>
      <w:start w:val="6"/>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1)"/>
      <w:numFmt w:val="lowerLetter"/>
      <w:start w:val="1"/>
    </w:lvl>
  </w:abstractNum>
  <w:abstractNum w:abstractNumId="61">
    <w:nsid w:val="25A70BF7"/>
    <w:multiLevelType w:val="hybridMultilevel"/>
    <w:lvl w:ilvl="0">
      <w:lvlJc w:val="left"/>
      <w:lvlText w:val="%1."/>
      <w:numFmt w:val="decimal"/>
      <w:start w:val="5"/>
    </w:lvl>
  </w:abstractNum>
  <w:abstractNum w:abstractNumId="62">
    <w:nsid w:val="1DBABF00"/>
    <w:multiLevelType w:val="hybridMultilevel"/>
    <w:lvl w:ilvl="0">
      <w:lvlJc w:val="left"/>
      <w:lvlText w:val="(%1)"/>
      <w:numFmt w:val="lowerLetter"/>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1)"/>
      <w:numFmt w:val="lowerLetter"/>
      <w:start w:val="1"/>
    </w:lvl>
  </w:abstractNum>
  <w:abstractNum w:abstractNumId="65">
    <w:nsid w:val="1381823A"/>
    <w:multiLevelType w:val="hybridMultilevel"/>
    <w:lvl w:ilvl="0">
      <w:lvlJc w:val="left"/>
      <w:lvlText w:val="%1."/>
      <w:numFmt w:val="decimal"/>
      <w:start w:val="5"/>
    </w:lvl>
  </w:abstractNum>
  <w:abstractNum w:abstractNumId="66">
    <w:nsid w:val="5DB70AE5"/>
    <w:multiLevelType w:val="hybridMultilevel"/>
    <w:lvl w:ilvl="0">
      <w:lvlJc w:val="left"/>
      <w:lvlText w:val="(%1)"/>
      <w:numFmt w:val="lowerLetter"/>
      <w:start w:val="1"/>
    </w:lvl>
  </w:abstractNum>
  <w:abstractNum w:abstractNumId="67">
    <w:nsid w:val="100F8FCA"/>
    <w:multiLevelType w:val="hybridMultilevel"/>
    <w:lvl w:ilvl="0">
      <w:lvlJc w:val="left"/>
      <w:lvlText w:val="(%1)"/>
      <w:numFmt w:val="lowerRoman"/>
      <w:start w:val="1"/>
    </w:lvl>
  </w:abstractNum>
  <w:abstractNum w:abstractNumId="68">
    <w:nsid w:val="6590700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98" Type="http://schemas.openxmlformats.org/officeDocument/2006/relationships/image" Target="media/image76.png"/><Relationship Id="rId113" Type="http://schemas.openxmlformats.org/officeDocument/2006/relationships/image" Target="media/image77.png"/><Relationship Id="rId121" Type="http://schemas.openxmlformats.org/officeDocument/2006/relationships/image" Target="media/image78.png"/><Relationship Id="rId122" Type="http://schemas.openxmlformats.org/officeDocument/2006/relationships/image" Target="media/image79.png"/><Relationship Id="rId123" Type="http://schemas.openxmlformats.org/officeDocument/2006/relationships/image" Target="media/image80.jpeg"/><Relationship Id="rId124" Type="http://schemas.openxmlformats.org/officeDocument/2006/relationships/image" Target="media/image81.jpeg"/><Relationship Id="rId125" Type="http://schemas.openxmlformats.org/officeDocument/2006/relationships/image" Target="media/image82.png"/><Relationship Id="rId126" Type="http://schemas.openxmlformats.org/officeDocument/2006/relationships/image" Target="media/image83.png"/><Relationship Id="rId127" Type="http://schemas.openxmlformats.org/officeDocument/2006/relationships/image" Target="media/image84.png"/><Relationship Id="rId128" Type="http://schemas.openxmlformats.org/officeDocument/2006/relationships/image" Target="media/image85.png"/><Relationship Id="rId129" Type="http://schemas.openxmlformats.org/officeDocument/2006/relationships/image" Target="media/image86.png"/><Relationship Id="rId130" Type="http://schemas.openxmlformats.org/officeDocument/2006/relationships/image" Target="media/image87.png"/><Relationship Id="rId131" Type="http://schemas.openxmlformats.org/officeDocument/2006/relationships/image" Target="media/image88.png"/><Relationship Id="rId83" Type="http://schemas.openxmlformats.org/officeDocument/2006/relationships/hyperlink" Target="https://www.sec.gov/Archives/edgar/data/1581990/000110465921091445/tm2121936d1_ex2-1.htm" TargetMode="External"/><Relationship Id="rId84" Type="http://schemas.openxmlformats.org/officeDocument/2006/relationships/hyperlink" Target="http://www.sec.gov/Archives/edgar/data/1581990/000104746913007875/a2216069zex-3_1.htm" TargetMode="External"/><Relationship Id="rId85" Type="http://schemas.openxmlformats.org/officeDocument/2006/relationships/hyperlink" Target="http://www.sec.gov/Archives/edgar/data/1581990/000110465916158356/a16-21845_1ex3d2.htm" TargetMode="External"/><Relationship Id="rId86" Type="http://schemas.openxmlformats.org/officeDocument/2006/relationships/hyperlink" Target="http://www.sec.gov/Archives/edgar/data/1581990/000158199020000012/exhibit31.htm" TargetMode="External"/><Relationship Id="rId87" Type="http://schemas.openxmlformats.org/officeDocument/2006/relationships/hyperlink" Target="http://www.sec.gov/Archives/edgar/data/1581990/000104746913007875/a2216069zex-3_3.htm" TargetMode="External"/><Relationship Id="rId88" Type="http://schemas.openxmlformats.org/officeDocument/2006/relationships/hyperlink" Target="http://www.sec.gov/Archives/edgar/data/1581990/000110465917010602/a17-6893_1ex3d1.htm" TargetMode="External"/><Relationship Id="rId89" Type="http://schemas.openxmlformats.org/officeDocument/2006/relationships/hyperlink" Target="http://www.sec.gov/Archives/edgar/data/1581990/000110465918052852/a18-18386_2ex3d1.htm" TargetMode="External"/><Relationship Id="rId90" Type="http://schemas.openxmlformats.org/officeDocument/2006/relationships/hyperlink" Target="http://www.sec.gov/Archives/edgar/data/1581990/000110465918072385/a18-41342_1ex3d1.htm" TargetMode="External"/><Relationship Id="rId91" Type="http://schemas.openxmlformats.org/officeDocument/2006/relationships/hyperlink" Target="http://www.sec.gov/Archives/edgar/data/1581990/000110465919067784/tm1923980d1_ex3-1.htm" TargetMode="External"/><Relationship Id="rId92" Type="http://schemas.openxmlformats.org/officeDocument/2006/relationships/hyperlink" Target="http://www.sec.gov/Archives/edgar/data/1581990/000110465921031458/tm2185263d2_ex3-1.htm" TargetMode="External"/><Relationship Id="rId93" Type="http://schemas.openxmlformats.org/officeDocument/2006/relationships/hyperlink" Target="http://www.sec.gov/Archives/edgar/data/1581990/000110465921109002/tm2125730d1_ex3-1.htm" TargetMode="External"/><Relationship Id="rId94" Type="http://schemas.openxmlformats.org/officeDocument/2006/relationships/hyperlink" Target="http://www.sec.gov/Archives/edgar/data/1070423/000110465917061889/a17-22685_5ex3d1.htm" TargetMode="External"/><Relationship Id="rId95" Type="http://schemas.openxmlformats.org/officeDocument/2006/relationships/hyperlink" Target="http://www.sec.gov/Archives/edgar/data/1581990/000110465916158356/a16-21845_1ex3d3.htm" TargetMode="External"/><Relationship Id="rId96" Type="http://schemas.openxmlformats.org/officeDocument/2006/relationships/hyperlink" Target="http://www.sec.gov/Archives/edgar/data/1581990/000110465916158356/a16-21845_1ex3d4.htm" TargetMode="External"/><Relationship Id="rId97" Type="http://schemas.openxmlformats.org/officeDocument/2006/relationships/hyperlink" Target="http://www.sec.gov/Archives/edgar/data/1581990/000110465918060012/a18-36197_1ex3d1.htm" TargetMode="External"/><Relationship Id="rId99" Type="http://schemas.openxmlformats.org/officeDocument/2006/relationships/hyperlink" Target="http://www.sec.gov/Archives/edgar/data/1581990/000110465919032813/a19-10857_1ex3d1.htm" TargetMode="External"/><Relationship Id="rId100" Type="http://schemas.openxmlformats.org/officeDocument/2006/relationships/hyperlink" Target="http://www.sec.gov/Archives/edgar/data/1070423/000095012908000071/h52770exv3w3.htm" TargetMode="External"/><Relationship Id="rId101" Type="http://schemas.openxmlformats.org/officeDocument/2006/relationships/hyperlink" Target="http://www.sec.gov/Archives/edgar/data/1070423/000089924302002834/dex41.txt" TargetMode="External"/><Relationship Id="rId102" Type="http://schemas.openxmlformats.org/officeDocument/2006/relationships/hyperlink" Target="http://www.sec.gov/Archives/edgar/data/1070423/000110465906034368/a06-11663_1ex4d1.htm" TargetMode="External"/><Relationship Id="rId103" Type="http://schemas.openxmlformats.org/officeDocument/2006/relationships/hyperlink" Target="http://www.sec.gov/Archives/edgar/data/1070423/000095012906009235/h40667exv4w2.htm" TargetMode="External"/><Relationship Id="rId104" Type="http://schemas.openxmlformats.org/officeDocument/2006/relationships/hyperlink" Target="http://www.sec.gov/Archives/edgar/data/1070423/000119312512132295/d321017dex41.htm" TargetMode="External"/><Relationship Id="rId105" Type="http://schemas.openxmlformats.org/officeDocument/2006/relationships/hyperlink" Target="http://www.sec.gov/Archives/edgar/data/1070423/000119312512132295/d321017dex43.htm" TargetMode="External"/><Relationship Id="rId106" Type="http://schemas.openxmlformats.org/officeDocument/2006/relationships/hyperlink" Target="http://www.sec.gov/Archives/edgar/data/1070423/000119312512499932/d453762dex41.htm" TargetMode="External"/><Relationship Id="rId107" Type="http://schemas.openxmlformats.org/officeDocument/2006/relationships/hyperlink" Target="http://www.sec.gov/Archives/edgar/data/1070423/000119312512499932/d453762dex43.htm" TargetMode="External"/><Relationship Id="rId108" Type="http://schemas.openxmlformats.org/officeDocument/2006/relationships/hyperlink" Target="http://www.sec.gov/Archives/edgar/data/1070423/000119312513336066/d581734dex41.htm" TargetMode="External"/><Relationship Id="rId109" Type="http://schemas.openxmlformats.org/officeDocument/2006/relationships/hyperlink" Target="http://www.sec.gov/Archives/edgar/data/1581990/000119312514164185/d717953dex41.htm" TargetMode="External"/><Relationship Id="rId110" Type="http://schemas.openxmlformats.org/officeDocument/2006/relationships/hyperlink" Target="http://www.sec.gov/Archives/edgar/data/1581990/000119312514338295/d787197dex41.htm" TargetMode="External"/><Relationship Id="rId111" Type="http://schemas.openxmlformats.org/officeDocument/2006/relationships/hyperlink" Target="http://www.sec.gov/Archives/edgar/data/1581990/000119312514440012/d835488dex43.htm" TargetMode="External"/><Relationship Id="rId112" Type="http://schemas.openxmlformats.org/officeDocument/2006/relationships/hyperlink" Target="http://www.sec.gov/Archives/edgar/data/1070423/000119312515302829/d45393dex41.htm" TargetMode="External"/><Relationship Id="rId114" Type="http://schemas.openxmlformats.org/officeDocument/2006/relationships/hyperlink" Target="http://www.sec.gov/Archives/edgar/data/1070423/000110465916159593/a16-22232_1ex4d1.htm" TargetMode="External"/><Relationship Id="rId115" Type="http://schemas.openxmlformats.org/officeDocument/2006/relationships/hyperlink" Target="http://www.sec.gov/Archives/edgar/data/1070423/000141057819001281/tv529555_ex4-1.htm" TargetMode="External"/><Relationship Id="rId116" Type="http://schemas.openxmlformats.org/officeDocument/2006/relationships/hyperlink" Target="http://www.sec.gov/Archives/edgar/data/1070423/000110465920072270/tm2022235d1_ex4-1.htm" TargetMode="External"/><Relationship Id="rId117" Type="http://schemas.openxmlformats.org/officeDocument/2006/relationships/hyperlink" Target="http://www.sec.gov/Archives/edgar/data/1581990/000110465913078057/a13-22338_2ex4d1.htm" TargetMode="External"/><Relationship Id="rId118" Type="http://schemas.openxmlformats.org/officeDocument/2006/relationships/hyperlink" Target="http://www.sec.gov/Archives/edgar/data/1581990/000158199021000007/pagp202010-kexhibit417.htm" TargetMode="External"/><Relationship Id="rId119" Type="http://schemas.openxmlformats.org/officeDocument/2006/relationships/hyperlink" Target="http://www.sec.gov/Archives/edgar/data/1581990/000110465921109833/tm2125730d3_ex10-1.htm" TargetMode="External"/><Relationship Id="rId120" Type="http://schemas.openxmlformats.org/officeDocument/2006/relationships/hyperlink" Target="http://www.sec.gov/Archives/edgar/data/1581990/000110465921109833/tm2125730d3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2021-11-08T16:33:23Z</dcterms:created>
  <dcterms:modified xsi:type="dcterms:W3CDTF">2021-11-08T16:33:23Z</dcterms:modified>
</cp:coreProperties>
</file>