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351790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308610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660" w:right="1560" w:hanging="3652"/>
        <w:spacing w:after="0" w:line="409" w:lineRule="auto"/>
        <w:tabs>
          <w:tab w:leader="none" w:pos="4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1-36132</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2">
            <w:col w:w="7240" w:space="720"/>
            <w:col w:w="322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5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6"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7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6" w:lineRule="exact"/>
        <w:rPr>
          <w:sz w:val="24"/>
          <w:szCs w:val="24"/>
          <w:color w:val="auto"/>
        </w:rPr>
      </w:pPr>
    </w:p>
    <w:p>
      <w:pPr>
        <w:ind w:left="18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82" w:lineRule="exact"/>
        <w:rPr>
          <w:sz w:val="24"/>
          <w:szCs w:val="24"/>
          <w:color w:val="auto"/>
        </w:rPr>
      </w:pPr>
    </w:p>
    <w:p>
      <w:pPr>
        <w:sectPr>
          <w:pgSz w:w="11900" w:h="16838" w:orient="portrait"/>
          <w:cols w:equalWidth="0" w:num="2">
            <w:col w:w="6620" w:space="720"/>
            <w:col w:w="384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October 31, 2024, there were 197,465,699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78105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52705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560" w:type="dxa"/>
            <w:vAlign w:val="bottom"/>
            <w:gridSpan w:val="2"/>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nine months ended</w:t>
            </w:r>
          </w:p>
        </w:tc>
        <w:tc>
          <w:tcPr>
            <w:tcW w:w="560" w:type="dxa"/>
            <w:vAlign w:val="bottom"/>
            <w:gridSpan w:val="2"/>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60" w:type="dxa"/>
            <w:vAlign w:val="bottom"/>
            <w:tcBorders>
              <w:top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4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nine months ended September 30,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222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Net Income Per Class A Share</w:t>
            </w:r>
          </w:p>
        </w:tc>
        <w:tc>
          <w:tcPr>
            <w:tcW w:w="38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32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5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32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972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08"/>
        </w:trPr>
        <w:tc>
          <w:tcPr>
            <w:tcW w:w="8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92"/>
        </w:trPr>
        <w:tc>
          <w:tcPr>
            <w:tcW w:w="8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21,143</w:t>
            </w: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92"/>
        </w:trPr>
        <w:tc>
          <w:tcPr>
            <w:tcW w:w="8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Linefill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Long-term 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19"/>
        </w:trPr>
        <w:tc>
          <w:tcPr>
            <w:tcW w:w="8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
        </w:trPr>
        <w:tc>
          <w:tcPr>
            <w:tcW w:w="84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10"/>
        </w:trPr>
        <w:tc>
          <w:tcPr>
            <w:tcW w:w="8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5,005</w:t>
            </w:r>
          </w:p>
        </w:tc>
      </w:tr>
      <w:tr>
        <w:trPr>
          <w:trHeight w:val="92"/>
        </w:trPr>
        <w:tc>
          <w:tcPr>
            <w:tcW w:w="8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 net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debt,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2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8,620</w:t>
            </w:r>
          </w:p>
        </w:tc>
      </w:tr>
      <w:tr>
        <w:trPr>
          <w:trHeight w:val="92"/>
        </w:trPr>
        <w:tc>
          <w:tcPr>
            <w:tcW w:w="8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3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08"/>
        </w:trPr>
        <w:tc>
          <w:tcPr>
            <w:tcW w:w="8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6"/>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Class A shareholders (197,465,699 and 196,416,760 shares outstanding,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3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13,424</w:t>
            </w:r>
          </w:p>
        </w:tc>
      </w:tr>
      <w:tr>
        <w:trPr>
          <w:trHeight w:val="219"/>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48"/>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34,936</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$2, $3, $7, and $8,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58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42"/>
        </w:trPr>
        <w:tc>
          <w:tcPr>
            <w:tcW w:w="5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1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r>
      <w:tr>
        <w:trPr>
          <w:trHeight w:val="195"/>
        </w:trPr>
        <w:tc>
          <w:tcPr>
            <w:tcW w:w="5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8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196"/>
        </w:trPr>
        <w:tc>
          <w:tcPr>
            <w:tcW w:w="5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7"/>
                <w:szCs w:val="17"/>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1,044</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1,094</w:t>
            </w:r>
          </w:p>
        </w:tc>
      </w:tr>
      <w:tr>
        <w:trPr>
          <w:trHeight w:val="230"/>
        </w:trPr>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3"/>
                <w:szCs w:val="13"/>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80" w:type="dxa"/>
            <w:vAlign w:val="bottom"/>
          </w:tcPr>
          <w:p>
            <w:pPr>
              <w:spacing w:after="0"/>
              <w:rPr>
                <w:sz w:val="13"/>
                <w:szCs w:val="13"/>
                <w:color w:val="auto"/>
              </w:rPr>
            </w:pP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80" w:type="dxa"/>
            <w:vAlign w:val="bottom"/>
          </w:tcPr>
          <w:p>
            <w:pPr>
              <w:spacing w:after="0"/>
              <w:rPr>
                <w:sz w:val="24"/>
                <w:szCs w:val="24"/>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24"/>
                <w:szCs w:val="24"/>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period activity</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foreign currency revaluation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 (Note 7)</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Preferred Distribution Rate Reset Option (Note 7)</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142"/>
        </w:trPr>
        <w:tc>
          <w:tcPr>
            <w:tcW w:w="8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purchases of linefill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sales of linefill</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142"/>
        </w:trPr>
        <w:tc>
          <w:tcPr>
            <w:tcW w:w="8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repayments under PAA commercial paper program (Note 5)</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PAA senior notes (Note 5)</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PAA senior notes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to Class A shareholders (Note 6)</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interests (Note 6)</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142"/>
        </w:trPr>
        <w:tc>
          <w:tcPr>
            <w:tcW w:w="8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62"/>
        </w:trPr>
        <w:tc>
          <w:tcPr>
            <w:tcW w:w="8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8" w:lineRule="auto"/>
        <w:rPr>
          <w:sz w:val="20"/>
          <w:szCs w:val="20"/>
          <w:color w:val="auto"/>
        </w:rPr>
      </w:pPr>
      <w:r>
        <w:rPr>
          <w:rFonts w:ascii="Times New Roman" w:cs="Times New Roman" w:eastAsia="Times New Roman" w:hAnsi="Times New Roman"/>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9"/>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4"/>
                <w:szCs w:val="24"/>
                <w:color w:val="auto"/>
              </w:rPr>
            </w:pPr>
          </w:p>
        </w:tc>
        <w:tc>
          <w:tcPr>
            <w:tcW w:w="13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(Note 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60" w:type="dxa"/>
            <w:vAlign w:val="bottom"/>
          </w:tcPr>
          <w:p>
            <w:pPr>
              <w:spacing w:after="0"/>
              <w:rPr>
                <w:sz w:val="24"/>
                <w:szCs w:val="24"/>
                <w:color w:val="auto"/>
              </w:rPr>
            </w:pPr>
          </w:p>
        </w:tc>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Partners’ Capital</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5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Plains GP Holdings, L.P. (“PAGP”) is a Delaware limited partnership formed in 2013 that has elected to be taxed as a corporation for United States federal income tax purposes. PAGP does not directly own any operating assets; as of September 30, 2024,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we owned an approximate 85% limited partner interest in Plains AAP L.P. (“AAP”) through our ownership of approximately 197.5 million Class A units of AAP (“AAP Units”). We also own a 100% managing member interest in Plains All American GP LLC (“GP LLC”), a Delaware limited liability company that holds the non-economic general partner interest in AAP. AAP is a Delaware limited partnership that, as of September 30, 2024, directly owned a limited partner interest in PAA through its ownership of approximately 232.9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spacing w:after="0" w:line="21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spacing w:after="0" w:line="21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2023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and nine months ended September 30,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0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8"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With the exception of a deferred tax asset of $1.211 billion and $1.239 billion as of September 30, 2024 and December 31, 2023,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2024 or the year ended December 31, 2023. See Note 16 to our Consolidated Financial Statements included in Part IV of our 2023 Annual Report on Form 10-K for information regarding the Omnibus Agreement entered into by the Plains Entities on November 15, 2016.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2023 Annual Report on Form 10-K, there have been no new accounting pronouncements that have become effective or have been issued during the nine months ended September 30, 2024 that are of significance or potential significance to us.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 Climate Disclosure Rules</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International Tax Reform</w:t>
      </w:r>
    </w:p>
    <w:p>
      <w:pPr>
        <w:spacing w:after="0" w:line="25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Pr>
          <w:p>
            <w:pPr>
              <w:spacing w:after="0"/>
              <w:rPr>
                <w:sz w:val="19"/>
                <w:szCs w:val="19"/>
                <w:color w:val="auto"/>
              </w:rPr>
            </w:pPr>
          </w:p>
        </w:tc>
        <w:tc>
          <w:tcPr>
            <w:tcW w:w="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33,843</w:t>
            </w:r>
          </w:p>
        </w:tc>
      </w:tr>
      <w:tr>
        <w:trPr>
          <w:trHeight w:val="22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4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14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2024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1"/>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4,043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3,999</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8"/>
              </w:rPr>
              <w:t>7,740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7,535</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(7,774)</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w w:val="98"/>
              </w:rPr>
              <w:t>3,952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3,760</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00"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Class A Share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2023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17 to our Consolidated Financial Statements included in Part IV of our 2023 Annual Report on Form 10-K for information regarding PAGP LTIP awards.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 weighted-average basis, for each of the three and nine months ended September 30, 2024, the possible exchange of 35 million AAP units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not have had a dilutive effect on basic net income per Class A share. On a weighted-average basis,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the possible exchange of 45 million and 46 million AAP units, respectively, would not have had a dilutive effect on basic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Class A share. For each of the three and nine months ended September 30, 2024 and 2023, our PAGP LTIP awards were dilutive; however, this did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the presentation of diluted weighted average Class A shares outstanding or diluted net income per Class A share.</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Class A share (in millions, except per share data):</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5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5"/>
        </w:trPr>
        <w:tc>
          <w:tcPr>
            <w:tcW w:w="5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PAA commercial paper notes, bearing a weighted-average interest rate of 5.8%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senior notes: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3.60% senior notes due November 2024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40"/>
              <w:spacing w:after="0"/>
              <w:rPr>
                <w:sz w:val="20"/>
                <w:szCs w:val="20"/>
                <w:color w:val="auto"/>
              </w:rPr>
            </w:pPr>
            <w:r>
              <w:rPr>
                <w:rFonts w:ascii="Times New Roman" w:cs="Times New Roman" w:eastAsia="Times New Roman" w:hAnsi="Times New Roman"/>
                <w:sz w:val="18"/>
                <w:szCs w:val="18"/>
                <w:color w:val="auto"/>
                <w:w w:val="99"/>
              </w:rPr>
              <w:t>Total short-term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70"/>
        </w:trPr>
        <w:tc>
          <w:tcPr>
            <w:tcW w:w="4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PAA senior notes, net of unamortized discounts and debt issuance costs of $43 and $41, respectively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80"/>
              <w:spacing w:after="0"/>
              <w:rPr>
                <w:sz w:val="20"/>
                <w:szCs w:val="20"/>
                <w:color w:val="auto"/>
              </w:rPr>
            </w:pPr>
            <w:r>
              <w:rPr>
                <w:rFonts w:ascii="Times New Roman" w:cs="Times New Roman" w:eastAsia="Times New Roman" w:hAnsi="Times New Roman"/>
                <w:sz w:val="18"/>
                <w:szCs w:val="18"/>
                <w:color w:val="auto"/>
                <w:w w:val="99"/>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23"/>
        </w:trPr>
        <w:tc>
          <w:tcPr>
            <w:tcW w:w="40" w:type="dxa"/>
            <w:vAlign w:val="bottom"/>
          </w:tcPr>
          <w:p>
            <w:pPr>
              <w:spacing w:after="0"/>
              <w:rPr>
                <w:sz w:val="19"/>
                <w:szCs w:val="19"/>
                <w:color w:val="auto"/>
              </w:rPr>
            </w:pPr>
          </w:p>
        </w:tc>
        <w:tc>
          <w:tcPr>
            <w:tcW w:w="8400" w:type="dxa"/>
            <w:vAlign w:val="bottom"/>
            <w:gridSpan w:val="2"/>
          </w:tcPr>
          <w:p>
            <w:pPr>
              <w:jc w:val="center"/>
              <w:ind w:right="6420"/>
              <w:spacing w:after="0" w:line="223" w:lineRule="exact"/>
              <w:rPr>
                <w:sz w:val="20"/>
                <w:szCs w:val="20"/>
                <w:color w:val="auto"/>
              </w:rPr>
            </w:pPr>
            <w:r>
              <w:rPr>
                <w:rFonts w:ascii="Times New Roman" w:cs="Times New Roman" w:eastAsia="Times New Roman" w:hAnsi="Times New Roman"/>
                <w:sz w:val="18"/>
                <w:szCs w:val="18"/>
                <w:color w:val="auto"/>
                <w:w w:val="93"/>
              </w:rPr>
              <w:t xml:space="preserve">Total debt </w:t>
            </w:r>
            <w:r>
              <w:rPr>
                <w:rFonts w:ascii="Times New Roman" w:cs="Times New Roman" w:eastAsia="Times New Roman" w:hAnsi="Times New Roman"/>
                <w:sz w:val="23"/>
                <w:szCs w:val="23"/>
                <w:color w:val="auto"/>
                <w:w w:val="93"/>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20" w:hanging="11"/>
        <w:spacing w:after="0" w:line="266" w:lineRule="auto"/>
        <w:rPr>
          <w:sz w:val="20"/>
          <w:szCs w:val="20"/>
          <w:color w:val="auto"/>
        </w:rPr>
      </w:pPr>
      <w:r>
        <w:rPr>
          <w:rFonts w:ascii="Times New Roman" w:cs="Times New Roman" w:eastAsia="Times New Roman" w:hAnsi="Times New Roman"/>
          <w:sz w:val="18"/>
          <w:szCs w:val="18"/>
          <w:color w:val="auto"/>
        </w:rPr>
        <w:t>We classified these PAA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4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2023, we classified PAA’s $750 million, 3.60% senior notes due November 2024 as long-term based on our ability and intent to refinance the notes on a long-term basis at that time. PAA redeemed these senior notes on November 1, 2024.</w:t>
      </w:r>
    </w:p>
    <w:p>
      <w:pPr>
        <w:spacing w:after="0" w:line="54" w:lineRule="exact"/>
        <w:rPr>
          <w:sz w:val="20"/>
          <w:szCs w:val="20"/>
          <w:color w:val="auto"/>
        </w:rPr>
      </w:pPr>
    </w:p>
    <w:p>
      <w:pPr>
        <w:ind w:right="100" w:hanging="11"/>
        <w:spacing w:after="0" w:line="255" w:lineRule="auto"/>
        <w:rPr>
          <w:sz w:val="20"/>
          <w:szCs w:val="20"/>
          <w:color w:val="auto"/>
        </w:rPr>
      </w:pPr>
      <w:r>
        <w:rPr>
          <w:rFonts w:ascii="Times New Roman" w:cs="Times New Roman" w:eastAsia="Times New Roman" w:hAnsi="Times New Roman"/>
          <w:sz w:val="18"/>
          <w:szCs w:val="18"/>
          <w:color w:val="auto"/>
        </w:rPr>
        <w:t>PAA’s fixed-rate senior notes had a face value of approximately $7.9 billion and $7.3 billion as of September 30, 2024 and December 31, 2023, respectively. We estimated the aggregate fair value of these notes as of September 30, 2024 and December 31, 2023 to be approximately $7.7 billion and $6.9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20"/>
          </w:cols>
          <w:pgMar w:left="320" w:top="121" w:right="39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June 2024, PAA completed the offering of $650 million, 5.70% senior notes due September 2034 at a public offering price of 99.953%. Interest payments are due on March 15 and September 15 of each year, commencing on March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August 2024, PAA amended its credit facility agreements to, among other things, extend the maturity dates of its senior secured hedged inventory facility and senior unsecured revolving credit facility by one year to August 2027 and August 2029, respectively, for each extending lender. The maturity dates with respect to the non-extending lender under PAA’s senior secured hedged inventory facility and senior unsecured revolving credit facility (which represents a commitment of approximately $64 million out of total commitments of $1.35 billion from all lenders under each facility) remain August 2026 and August 2027,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the PAA commercial paper program for the nine months ended September 30, 2024 and 2023 were approximately $20.7 billion and $4.9 billion, respectively. Total repayments under the PAA commercial paper program were approximately $21.1 billion and $4.9 billion for the nine months ended September 30, 2024 and 2023,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2024 and December 31, 2023, we had outstanding letters of credit of $108 million and $205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Class A shares, Class B shares and Class C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7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196,416,760</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36,237,168</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539,445,289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(835,499)</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197,252,259</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35,401,669</w:t>
            </w: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539,507,571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June 30, 2024</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197,263,697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35,390,231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539,517,839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bottom w:val="single" w:sz="8" w:color="CCEEFF"/>
            </w:tcBorders>
            <w:gridSpan w:val="2"/>
            <w:vMerge w:val="continue"/>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202,002</w:t>
            </w:r>
          </w:p>
        </w:tc>
        <w:tc>
          <w:tcPr>
            <w:tcW w:w="12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2,385,758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197,465,699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35,390,231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541,903,597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Class C Shares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194,407,642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46,205,947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528,442,538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Conversion of AAP Management Units </w:t>
            </w:r>
            <w:r>
              <w:rPr>
                <w:rFonts w:ascii="Times New Roman" w:cs="Times New Roman" w:eastAsia="Times New Roman" w:hAnsi="Times New Roman"/>
                <w:sz w:val="23"/>
                <w:szCs w:val="23"/>
                <w:color w:val="auto"/>
                <w:vertAlign w:val="superscript"/>
              </w:rPr>
              <w:t>(1) (2)</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388,839</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Redemption Right exercises </w:t>
            </w:r>
            <w:r>
              <w:rPr>
                <w:rFonts w:ascii="Times New Roman" w:cs="Times New Roman" w:eastAsia="Times New Roman" w:hAnsi="Times New Roman"/>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7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2023</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194,407,642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46,412,870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528,659,962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1,554,000</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(1,554,000)</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Redemption Right exercises </w:t>
            </w:r>
            <w:r>
              <w:rPr>
                <w:rFonts w:ascii="Times New Roman" w:cs="Times New Roman" w:eastAsia="Times New Roman" w:hAnsi="Times New Roman"/>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195,961,642</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44,798,516</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528,720,316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23" w:lineRule="exact"/>
              <w:rPr>
                <w:sz w:val="20"/>
                <w:szCs w:val="20"/>
                <w:color w:val="auto"/>
              </w:rPr>
            </w:pPr>
            <w:r>
              <w:rPr>
                <w:rFonts w:ascii="Times New Roman" w:cs="Times New Roman" w:eastAsia="Times New Roman" w:hAnsi="Times New Roman"/>
                <w:sz w:val="18"/>
                <w:szCs w:val="18"/>
                <w:color w:val="auto"/>
              </w:rPr>
              <w:t xml:space="preserve">Exchange Right exercises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Redemption Right exercises </w:t>
            </w:r>
            <w:r>
              <w:rPr>
                <w:rFonts w:ascii="Times New Roman" w:cs="Times New Roman" w:eastAsia="Times New Roman" w:hAnsi="Times New Roman"/>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(1,892,538)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196,416,760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42,590,210</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533,076,010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left="20" w:right="340" w:hanging="11"/>
        <w:spacing w:after="0" w:line="281" w:lineRule="auto"/>
        <w:rPr>
          <w:sz w:val="20"/>
          <w:szCs w:val="20"/>
          <w:color w:val="auto"/>
        </w:rPr>
      </w:pPr>
      <w:r>
        <w:rPr>
          <w:rFonts w:ascii="Times New Roman" w:cs="Times New Roman" w:eastAsia="Times New Roman" w:hAnsi="Times New Roman"/>
          <w:sz w:val="18"/>
          <w:szCs w:val="18"/>
          <w:color w:val="auto"/>
        </w:rPr>
        <w:t>See Note 11 to our Consolidated Financial Statements included in Part IV of our 2023 Annual Report on Form 10-K for information regarding conversions of AAP Management Units, Exchange Rights and Redemption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this conversion, no AAP Management Units remain outstanding.</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distributions to our Class A shareholders paid during or pertaining to the first nine months of 2024 (in millions,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0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Distributions to</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195"/>
        </w:trPr>
        <w:tc>
          <w:tcPr>
            <w:tcW w:w="6140" w:type="dxa"/>
            <w:vAlign w:val="bottom"/>
            <w:gridSpan w:val="2"/>
            <w:vMerge w:val="continue"/>
          </w:tcPr>
          <w:p>
            <w:pPr>
              <w:spacing w:after="0"/>
              <w:rPr>
                <w:sz w:val="16"/>
                <w:szCs w:val="16"/>
                <w:color w:val="auto"/>
              </w:rPr>
            </w:pPr>
          </w:p>
        </w:tc>
        <w:tc>
          <w:tcPr>
            <w:tcW w:w="2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Class A Share</w:t>
            </w:r>
          </w:p>
        </w:tc>
        <w:tc>
          <w:tcPr>
            <w:tcW w:w="0" w:type="dxa"/>
            <w:vAlign w:val="bottom"/>
          </w:tcPr>
          <w:p>
            <w:pPr>
              <w:spacing w:after="0"/>
              <w:rPr>
                <w:sz w:val="1"/>
                <w:szCs w:val="1"/>
                <w:color w:val="auto"/>
              </w:rPr>
            </w:pPr>
          </w:p>
        </w:tc>
      </w:tr>
      <w:tr>
        <w:trPr>
          <w:trHeight w:val="228"/>
        </w:trPr>
        <w:tc>
          <w:tcPr>
            <w:tcW w:w="60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14, 2024</w:t>
            </w:r>
          </w:p>
        </w:tc>
        <w:tc>
          <w:tcPr>
            <w:tcW w:w="2060" w:type="dxa"/>
            <w:vAlign w:val="bottom"/>
          </w:tcPr>
          <w:p>
            <w:pPr>
              <w:jc w:val="right"/>
              <w:ind w:right="1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2024</w:t>
            </w:r>
          </w:p>
        </w:tc>
        <w:tc>
          <w:tcPr>
            <w:tcW w:w="2060" w:type="dxa"/>
            <w:vAlign w:val="bottom"/>
            <w:shd w:val="clear" w:color="auto" w:fill="CCEEFF"/>
          </w:tcPr>
          <w:p>
            <w:pPr>
              <w:jc w:val="right"/>
              <w:ind w:right="1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0" w:type="dxa"/>
            <w:vAlign w:val="bottom"/>
          </w:tcPr>
          <w:p>
            <w:pPr>
              <w:spacing w:after="0"/>
              <w:rPr>
                <w:sz w:val="1"/>
                <w:szCs w:val="1"/>
                <w:color w:val="auto"/>
              </w:rPr>
            </w:pP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2024</w:t>
            </w:r>
          </w:p>
        </w:tc>
        <w:tc>
          <w:tcPr>
            <w:tcW w:w="2060" w:type="dxa"/>
            <w:vAlign w:val="bottom"/>
          </w:tcPr>
          <w:p>
            <w:pPr>
              <w:jc w:val="right"/>
              <w:ind w:right="18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0"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shareholders of record at the close of business on October 31, 2024 for the period from July 1, 2024 through September 30, 2024.</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Subsidiary Distributions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A Preferred Unit Distributions</w:t>
      </w:r>
      <w:r>
        <w:rPr>
          <w:rFonts w:ascii="Times New Roman" w:cs="Times New Roman" w:eastAsia="Times New Roman" w:hAnsi="Times New Roman"/>
          <w:sz w:val="18"/>
          <w:szCs w:val="18"/>
          <w:color w:val="auto"/>
        </w:rPr>
        <w:t>. Distributions on PAA’s Series A preferred units accumulate and are payable quarterly within 45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end of each quarter. See Note 11 to our Consolidated Financial Statements included in Part IV of our 2023 Annual Report on Form 10-K for additional information regarding PAA Series A preferred unit distributions. The following table details distributions to PAA’s Series A preferred unitholders paid during or pertaining to the first nine months of 2024 (in millions, except per unit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660" w:right="340" w:hanging="652"/>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2024 for the period from July 1, 2024 through September 30, 2024. At September 30, 2024, such amount was accrued as distributions payable in “Other current liabilities” on our Condensed Consolidated Balance Sheet.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PAA Series B Preferred Unit Distributions</w:t>
      </w:r>
      <w:r>
        <w:rPr>
          <w:rFonts w:ascii="Times New Roman" w:cs="Times New Roman" w:eastAsia="Times New Roman" w:hAnsi="Times New Roman"/>
          <w:sz w:val="18"/>
          <w:szCs w:val="18"/>
          <w:color w:val="auto"/>
        </w:rPr>
        <w:t>. Distributions on PAA’s Series B preferred units accumulate and are payable quarterly in arrears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15th day of February, May, August and November. See Note 11 to our Consolidated Financial Statements included in Part IV of our 2023 Annual Report on Form 10-K for additional information regarding PAA Series B preferred unit distributions. The following table details distributions paid or to be paid to PAA’s Series B preferred unitholders (in millions, except per unit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November 15,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3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2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99" w:lineRule="exact"/>
        <w:rPr>
          <w:sz w:val="20"/>
          <w:szCs w:val="20"/>
          <w:color w:val="auto"/>
        </w:rPr>
      </w:pPr>
    </w:p>
    <w:p>
      <w:pPr>
        <w:ind w:left="660" w:right="180" w:hanging="652"/>
        <w:spacing w:after="0" w:line="235"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November 1, 2024 for the period from August 15, 2024 through November 14, 2024. At September 30, 2024, approximately $10 million of accrued distributions payable to PAA’s Series B preferred unitholders was included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PAA Common Unit Distributions. </w:t>
      </w:r>
      <w:r>
        <w:rPr>
          <w:rFonts w:ascii="Times New Roman" w:cs="Times New Roman" w:eastAsia="Times New Roman" w:hAnsi="Times New Roman"/>
          <w:sz w:val="18"/>
          <w:szCs w:val="18"/>
          <w:color w:val="auto"/>
        </w:rPr>
        <w:t>The following table details distributions to PAA’s common unitholders paid during or pertaining to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(in millions, except per unit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9"/>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198"/>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8"/>
        </w:trPr>
        <w:tc>
          <w:tcPr>
            <w:tcW w:w="4400" w:type="dxa"/>
            <w:vAlign w:val="bottom"/>
            <w:tcBorders>
              <w:top w:val="single" w:sz="8" w:color="auto"/>
            </w:tcBorders>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2024</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2024 for the period from July 1, 2024 through September 30, 2024.</w:t>
      </w:r>
    </w:p>
    <w:p>
      <w:pPr>
        <w:spacing w:after="0" w:line="223"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AAP Distributions. </w:t>
      </w:r>
      <w:r>
        <w:rPr>
          <w:rFonts w:ascii="Times New Roman" w:cs="Times New Roman" w:eastAsia="Times New Roman" w:hAnsi="Times New Roman"/>
          <w:sz w:val="18"/>
          <w:szCs w:val="18"/>
          <w:color w:val="auto"/>
        </w:rPr>
        <w:t>The following table details the distributions to AAP’s partners paid during or pertaining to the first nine months of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received from PAA (in millions):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Distributions to AAP</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b w:val="1"/>
                <w:bCs w:val="1"/>
                <w:color w:val="auto"/>
              </w:rPr>
              <w:t>s Partners</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196"/>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40" w:type="dxa"/>
            <w:vAlign w:val="bottom"/>
          </w:tcPr>
          <w:p>
            <w:pPr>
              <w:spacing w:after="0"/>
              <w:rPr>
                <w:sz w:val="17"/>
                <w:szCs w:val="17"/>
                <w:color w:val="auto"/>
              </w:rPr>
            </w:pPr>
          </w:p>
        </w:tc>
        <w:tc>
          <w:tcPr>
            <w:tcW w:w="17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PAGP</w:t>
            </w:r>
          </w:p>
        </w:tc>
        <w:tc>
          <w:tcPr>
            <w:tcW w:w="140" w:type="dxa"/>
            <w:vAlign w:val="bottom"/>
          </w:tcPr>
          <w:p>
            <w:pPr>
              <w:spacing w:after="0"/>
              <w:rPr>
                <w:sz w:val="17"/>
                <w:szCs w:val="17"/>
                <w:color w:val="auto"/>
              </w:rPr>
            </w:pP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r>
      <w:tr>
        <w:trPr>
          <w:trHeight w:val="229"/>
        </w:trPr>
        <w:tc>
          <w:tcPr>
            <w:tcW w:w="5320" w:type="dxa"/>
            <w:vAlign w:val="bottom"/>
            <w:tcBorders>
              <w:top w:val="single" w:sz="8" w:color="auto"/>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0"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2024 for the period from July 1, 2024 through September 30, 2024.</w:t>
      </w:r>
    </w:p>
    <w:p>
      <w:pPr>
        <w:spacing w:after="0" w:line="22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Joint Venture Distributions. </w:t>
      </w:r>
      <w:r>
        <w:rPr>
          <w:rFonts w:ascii="Times New Roman" w:cs="Times New Roman" w:eastAsia="Times New Roman" w:hAnsi="Times New Roman"/>
          <w:sz w:val="18"/>
          <w:szCs w:val="18"/>
          <w:color w:val="auto"/>
        </w:rPr>
        <w:t>The following table details distributions paid to noncontrolling interests in consolidated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periods presented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2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r>
      <w:tr>
        <w:trPr>
          <w:trHeight w:val="196"/>
        </w:trPr>
        <w:tc>
          <w:tcPr>
            <w:tcW w:w="58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88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260" w:firstLine="607"/>
        <w:spacing w:after="0" w:line="261" w:lineRule="auto"/>
        <w:rPr>
          <w:sz w:val="20"/>
          <w:szCs w:val="20"/>
          <w:color w:val="auto"/>
        </w:rPr>
      </w:pPr>
      <w:r>
        <w:rPr>
          <w:rFonts w:ascii="Times New Roman" w:cs="Times New Roman" w:eastAsia="Times New Roman" w:hAnsi="Times New Roman"/>
          <w:sz w:val="18"/>
          <w:szCs w:val="18"/>
          <w:color w:val="auto"/>
        </w:rPr>
        <w:t>At September 30,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September 30, 2024, net derivative positions related to these activities included:</w:t>
      </w:r>
    </w:p>
    <w:p>
      <w:pPr>
        <w:spacing w:after="0" w:line="162" w:lineRule="exact"/>
        <w:rPr>
          <w:sz w:val="20"/>
          <w:szCs w:val="20"/>
          <w:color w:val="auto"/>
        </w:rPr>
      </w:pPr>
    </w:p>
    <w:p>
      <w:pPr>
        <w:ind w:left="980" w:right="4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14.1 million barrels associated with our crude oil purchases, which was unwound ratably during October 2024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3.2 million barrels, which hedges a portion of our anticipated crude oil lease gathering purchases through November 2025.</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5.7 million barrels at multiple locations through December 2025.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17.2 million barrels through December 2028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78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7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 Bcf</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Propane sales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(6.6)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(1.4)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2025</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2.7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30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25"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1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58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60" w:type="dxa"/>
        <w:tblCellMar>
          <w:top w:w="0" w:type="dxa"/>
          <w:left w:w="0" w:type="dxa"/>
          <w:bottom w:w="0" w:type="dxa"/>
          <w:right w:w="0" w:type="dxa"/>
        </w:tblCellMar>
      </w:tblPr>
      <w:tr>
        <w:trPr>
          <w:trHeight w:val="150"/>
        </w:trPr>
        <w:tc>
          <w:tcPr>
            <w:tcW w:w="8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center"/>
              <w:ind w:right="56"/>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77</w:t>
            </w:r>
          </w:p>
        </w:tc>
      </w:tr>
      <w:tr>
        <w:trPr>
          <w:trHeight w:val="28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(65)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(25)</w:t>
            </w:r>
          </w:p>
        </w:tc>
      </w:tr>
      <w:tr>
        <w:trPr>
          <w:trHeight w:val="223"/>
        </w:trPr>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1"/>
                <w:szCs w:val="11"/>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September 30, 2024 (notional amounts in millions):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8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5"/>
        </w:trPr>
        <w:tc>
          <w:tcPr>
            <w:tcW w:w="28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 forward starting swaps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6/15/2026</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3.09%</w:t>
            </w: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(30-year)</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During the nine months ended September 30, 2024, we terminated $100 million of notional interest hedging instruments for proceeds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$57 million, which was recorded in AOCI. As of September 30, 2024, there was a net loss of $66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September 30, 2024; thus, actual amounts to be reclassified will differ and could vary materially as a result of changes in market conditions.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4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 net fair value of our interest rate hedges, which were included in “Other long-term assets, net” on our Condensed Consolidated Balance Sheet, totaled $7 million. At December 31, 2023, the net fair value of these hedges totaled $51 million and $4 million, which were included in “Other current assets” and “Other long-term assets, net”,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6"/>
                <w:szCs w:val="16"/>
                <w:color w:val="auto"/>
              </w:rPr>
            </w:pPr>
          </w:p>
        </w:tc>
        <w:tc>
          <w:tcPr>
            <w:tcW w:w="316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as of September 30, 2024</w:t>
            </w:r>
          </w:p>
        </w:tc>
        <w:tc>
          <w:tcPr>
            <w:tcW w:w="180" w:type="dxa"/>
            <w:vAlign w:val="bottom"/>
          </w:tcPr>
          <w:p>
            <w:pPr>
              <w:spacing w:after="0"/>
              <w:rPr>
                <w:sz w:val="16"/>
                <w:szCs w:val="16"/>
                <w:color w:val="auto"/>
              </w:rPr>
            </w:pPr>
          </w:p>
        </w:tc>
        <w:tc>
          <w:tcPr>
            <w:tcW w:w="2660" w:type="dxa"/>
            <w:vAlign w:val="bottom"/>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3"/>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9"/>
                <w:szCs w:val="19"/>
                <w:color w:val="auto"/>
              </w:rPr>
            </w:pPr>
          </w:p>
        </w:tc>
        <w:tc>
          <w:tcPr>
            <w:tcW w:w="880" w:type="dxa"/>
            <w:vAlign w:val="bottom"/>
            <w:gridSpan w:val="2"/>
          </w:tcPr>
          <w:p>
            <w:pPr>
              <w:jc w:val="center"/>
              <w:ind w:left="257"/>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The Preferred Distribution Rate Reset Option was accounted for as an embedded derivative that was bifurcated from the related host contract and recorded at fair value. The Preferred Distribution Rate Reset Option was settled in January 2023 when PAA received notice that the Series A preferred unitholders elected the Preferred Distribution Rate Reset Option, which resulted in a gain of $58 million recognized in “Other income, net” in our Condensed Consolidated Statement of Operations for the nine months ended September 30, 2023. See Note 12 to our Consolidated Financial Statements included in Part IV of our 2023 Annual Report on Form 10-K for additional information regarding the Preferred Distribution Rate Reset Option.</w:t>
      </w:r>
    </w:p>
    <w:p>
      <w:pPr>
        <w:spacing w:after="0" w:line="1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9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2023 Annual Report on Form 10-K for a complete discussion of related parties, including the determination of our related parties and nature of involvement with such related parties.</w:t>
      </w:r>
    </w:p>
    <w:p>
      <w:pPr>
        <w:spacing w:after="0" w:line="18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5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31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8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5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ind w:left="660" w:right="80" w:hanging="652"/>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18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undiscounted reserve for environmental liabilities (excluding liabilities related to the Line 901 incident, as discussed further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reflected on our Condensed Consolidated Balance Sheets as follows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was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appealed the Court’s rulings. The Appellate Court’s order resulted in approximately $275,000 of claims being remanded to the trial court for further adjudication and the affirmation of the trial court’s dismissal of all other claims.</w:t>
      </w:r>
    </w:p>
    <w:p>
      <w:pPr>
        <w:spacing w:after="0" w:line="22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received individual lawsuits and claims from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companies and individuals who provided labor, goods, or services associated with oil production activities they claim were disrupted following the Line 901 incident. We are vigorously defending these remaining lawsuits, which have not yet been set for trial, and believe we have strong defenses.</w:t>
      </w:r>
    </w:p>
    <w:p>
      <w:pPr>
        <w:spacing w:after="0" w:line="221"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September 30, 2024. Insurers responsible for $185 million of the remaining $225 million of coverage have formally communicated a denial of coverage for the Class Action Settlement, generally alleging that some or all damages encompassed by the Class Action Settlement are not covered by their policies and that all or some portion of the</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$275 million for which Plains has already received insurance reimbursement does not properly exhaust the underlying policies that paid those sums. The insurer responsible for the final $40 million of coverage under such insurance program has not yet accepted nor denied coverage. We have initiated final and binding arbitration proceedings against all of the insurers responsible for the remaining $225 million of coverage with respect to which we have not received reimbursement. With respect to our reimbursement claim against insurers representing $175 million of the $225 million total reimbursement claim, a binding arbitration hearing was concluded in early October and we expect a decision from the arbitration panel in January 2025. We continue to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(including the arbitration proceeding for which a hearing was completed in October) and the extent to which insurers may become insolvent in the future. An unfavorable resolution could have a material impact on our results of operations.</w:t>
      </w:r>
    </w:p>
    <w:p>
      <w:pPr>
        <w:spacing w:after="0" w:line="21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Class Action Settlement and the 2024 Settlements, we have made adjustments to our total estimated Line 901 costs and the portion of such costs that we believe are probable of recovery from insurance carriers, net of deductibles. Effective as of September 30,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payable pursuant to the Consent Decree,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recognized costs, net of amounts probable of recovery from insurance carriers, of $120 million during the nine months ended September 30, 2024. We did not recognize any such costs during the nine months ended September 30, 2023. As of September 30, 2024, we had a remaining undiscounted gross liability of approximately $94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September 30, 2024, our incurred costs for the Line 901 incident have exceeded our insurance coverage limit of $500 million related to our 2015 insurance program applicable to the Line 901 incident by $370 million. Through September 30,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September 30, 2024, we have recognized a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classified the related receivable amounts as short-term and long-term based on the resolution status of the process as of the balance sheet date. As of September 30, 2024, we have classified $175 million of the receivable as a short-term asset in “Trade accounts receivable and other receivables, net” with the remaining $50 million recognized as a long-term asset in “Other long-term assets, net” on our Condensed Consolidated Balance Sheet. As of December 31, 2023, we classified $225 million as a long-term asset in “Other long-term assets, net” on our Condensed Consolidated Balance Sheet.</w:t>
      </w:r>
    </w:p>
    <w:p>
      <w:pPr>
        <w:spacing w:after="0" w:line="22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(“PNGS”) and PAA arising out of a Membership Interest Purchase Agreement relating to the 2021 sale of the Pine Prairie Energy Center natural gas storage facility to Hartree. A bifurcated bench and jury trial was held in May of 2024, with the jury deciding claims asserted against PAA (“PAA claims”) and the court to decide the claims asserted against PNGS (“PNGS claims”). The jury found PAA liable but awarded $0 damages on the PAA claims. We are still awaiting a verdict from the court on the PNGS claims and an entry of judgement on the PAA claims. We expect that the outcome of the lawsuit will not have a material adverse effect on our financial condition, results of operations or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10—Segment Information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PAGP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16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r>
      <w:tr>
        <w:trPr>
          <w:trHeight w:val="195"/>
        </w:trPr>
        <w:tc>
          <w:tcPr>
            <w:tcW w:w="3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2,033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1,952</w:t>
            </w:r>
          </w:p>
        </w:tc>
      </w:tr>
      <w:tr>
        <w:trPr>
          <w:trHeight w:val="229"/>
        </w:trPr>
        <w:tc>
          <w:tcPr>
            <w:tcW w:w="5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59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9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59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9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9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9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6"/>
        </w:trPr>
        <w:tc>
          <w:tcPr>
            <w:tcW w:w="59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 noncontrolling interests in consolidated joint</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43"/>
        </w:trPr>
        <w:tc>
          <w:tcPr>
            <w:tcW w:w="5900" w:type="dxa"/>
            <w:vAlign w:val="bottom"/>
            <w:gridSpan w:val="2"/>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ventures </w:t>
            </w:r>
            <w:r>
              <w:rPr>
                <w:rFonts w:ascii="Times New Roman" w:cs="Times New Roman" w:eastAsia="Times New Roman" w:hAnsi="Times New Roman"/>
                <w:sz w:val="23"/>
                <w:szCs w:val="23"/>
                <w:color w:val="auto"/>
                <w:vertAlign w:val="superscript"/>
              </w:rPr>
              <w:t>(10)</w:t>
            </w: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Unallocated general and administrative expenses </w:t>
            </w:r>
            <w:r>
              <w:rPr>
                <w:rFonts w:ascii="Times New Roman" w:cs="Times New Roman" w:eastAsia="Times New Roman" w:hAnsi="Times New Roman"/>
                <w:sz w:val="23"/>
                <w:szCs w:val="23"/>
                <w:color w:val="auto"/>
                <w:vertAlign w:val="superscript"/>
              </w:rPr>
              <w:t>(11)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1,110</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1,178</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1,044</w:t>
            </w:r>
          </w:p>
        </w:tc>
      </w:tr>
      <w:tr>
        <w:trPr>
          <w:trHeight w:val="230"/>
        </w:trPr>
        <w:tc>
          <w:tcPr>
            <w:tcW w:w="5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8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
        </w:trPr>
        <w:tc>
          <w:tcPr>
            <w:tcW w:w="3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54" w:lineRule="exact"/>
        <w:rPr>
          <w:sz w:val="20"/>
          <w:szCs w:val="20"/>
          <w:color w:val="auto"/>
        </w:rPr>
      </w:pPr>
    </w:p>
    <w:p>
      <w:pPr>
        <w:ind w:left="20"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ind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spacing w:after="0" w:line="81" w:lineRule="exact"/>
        <w:rPr>
          <w:sz w:val="20"/>
          <w:szCs w:val="20"/>
          <w:color w:val="auto"/>
        </w:rPr>
      </w:pPr>
    </w:p>
    <w:p>
      <w:pPr>
        <w:ind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ind w:right="100" w:hanging="11"/>
        <w:spacing w:after="0" w:line="282" w:lineRule="auto"/>
        <w:rPr>
          <w:sz w:val="20"/>
          <w:szCs w:val="20"/>
          <w:color w:val="auto"/>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9 for additional information regarding the Line 901 incident.</w:t>
      </w:r>
    </w:p>
    <w:p>
      <w:pPr>
        <w:spacing w:after="0" w:line="54" w:lineRule="exact"/>
        <w:rPr>
          <w:sz w:val="20"/>
          <w:szCs w:val="20"/>
          <w:color w:val="auto"/>
        </w:rPr>
      </w:pPr>
    </w:p>
    <w:p>
      <w:pPr>
        <w:ind w:right="760" w:hanging="11"/>
        <w:spacing w:after="0" w:line="282" w:lineRule="auto"/>
        <w:rPr>
          <w:sz w:val="20"/>
          <w:szCs w:val="20"/>
          <w:color w:val="auto"/>
        </w:rPr>
      </w:pPr>
      <w:r>
        <w:rPr>
          <w:rFonts w:ascii="Times New Roman" w:cs="Times New Roman" w:eastAsia="Times New Roman" w:hAnsi="Times New Roman"/>
          <w:sz w:val="18"/>
          <w:szCs w:val="18"/>
          <w:color w:val="auto"/>
        </w:rPr>
        <w:t>Includes expenses associated with the Rattler Permian Transaction in the third quarter of 2023. See Note 7 to our Consolidated Financial Statements included in Part IV of our 2023 Annual Report on Form 10-K for information regarding this transaction.</w:t>
      </w:r>
    </w:p>
    <w:p>
      <w:pPr>
        <w:spacing w:after="0" w:line="23"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40" w:hanging="632"/>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89" w:lineRule="exact"/>
        <w:rPr>
          <w:rFonts w:ascii="Times New Roman" w:cs="Times New Roman" w:eastAsia="Times New Roman" w:hAnsi="Times New Roman"/>
          <w:sz w:val="23"/>
          <w:szCs w:val="23"/>
          <w:color w:val="auto"/>
          <w:vertAlign w:val="superscript"/>
        </w:rPr>
      </w:pPr>
    </w:p>
    <w:p>
      <w:pPr>
        <w:ind w:left="660" w:right="320" w:hanging="652"/>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We are a Delaware limited partnership that has elected to be taxed as a corporation for United States federal income tax purposes. As of September 30, 2024, our sole cash-generating assets consisted of an approximate 85% limited partner interest in AAP. We also own a 100% managing member interest in GP LLC, which holds the non-economic general partner interest in AAP. As of September 30, 2024, AAP directly owned a limited partner interest in PAA through its ownership of approximately 232.9 million PAA common units (approximately 30% of PAA’s total outstanding common units and Series A preferred units combined). AAP is the sole member of PAA GP, which holds the non-economic general partner interest in PAA.</w:t>
      </w:r>
    </w:p>
    <w:p>
      <w:pPr>
        <w:spacing w:after="0" w:line="16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2024, we recognized net income of $953 million compared to $1.044 billion during the first nine months of 2023. Results from our operations increased for the first nine months of 2024 over the comparable 2023 period due to more favorable results from our Crude Oil segment, partially offset by less favorable results from our NGL segment. Net income for the 2023 period includes favorable impacts from gains on asset sales and the mark-to-market adjustment of the Preferred Distribution Rate Reset Option, contributing to the relative decrease in net income in 2024. In addition, the 2024 results were impacted by an increase in costs associated with settlements related to the Line 901 incident that occurred in May 2015 and higher income tax expense.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Class 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Class 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majority of our sales and purchases are indexed to the prompt month price of the NYMEX Light, Sweet crude oil futures contract (“NYMEX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following table presents the range of the NYMEX Price over the last two years (in dollars per barrel):</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3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and purchases increased for the three months ended September 30, 2024 compared to the same period in 2023 primarily due to higher crude oil sales volumes in the 2024 period, partially offset by lower commodity prices.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increased for the nine months ended September 30, 2024 compared to the same period in 2023 due to higher commodity prices in the 2024 period, primarily in the first half of 2024, as well as higher crude oil sales volumes.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services decreased for the three months ended September 30, 2024 compared to the same period in 2023 primarily due to timing of revenue recognition in 2023, partially offset by higher revenues from pipeline volumes and the impact of acquisitions.</w:t>
      </w:r>
    </w:p>
    <w:p>
      <w:pPr>
        <w:spacing w:after="0" w:line="189"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Revenues from services increased for the nine months ended September 30, 2024 compared to the same period in 2023 primarily due to higher pipeline volumes and tariff escalations, as well as the impact of acquisitions, partially offset by timing of revenue recognition in the third quarter of 2023.</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our net revenues (revenues less purchases and related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and nine months ended September 30, 2024 compared to the same periods in 2023 was primarily due to (i) higher employee-related costs and (ii) higher information systems costs due to ongoing systems conversion and integration work.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Net</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net gain on asset sales for the nine months ended September 30,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5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mark-to-market adjustment of Preferred Distribution Rate Reset Option</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4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embedded derivative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17" w:lineRule="exact"/>
        <w:rPr>
          <w:sz w:val="20"/>
          <w:szCs w:val="20"/>
          <w:color w:val="auto"/>
        </w:rPr>
      </w:pPr>
    </w:p>
    <w:p>
      <w:pPr>
        <w:ind w:left="660" w:right="120" w:hanging="652"/>
        <w:spacing w:after="0" w:line="22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pacing w:after="0" w:line="6"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our Condensed Consolidated Financial Statements for additional information.</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Income Tax (Expense)/Benefit</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net unfavorable income tax variance for the three months ended September 30, 2024 compared to the same period in 2023 was primarily due to higher year-over-year income within our Canadian operations as impacted by fluctuations of derivative mark-to-market valuations.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net unfavorable income tax variance for the nine months ended September 30, 2024 compared to the same period in 2023 was primarily due to higher income tax expense in the second quarter of 2024 associated with Canadian withholding tax on dividends from our Canadian entities to other Plains entities, partially offset by the impact of lower earnings at PAA on income attributable to PAGP.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0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performance measures Adjusted EBITDA and Adjusted EBITDA attributable to PAA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Unallocated general and administrative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 valuation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Mark-to-market adjustment of Preferred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Distribution Rate Reset Option embedded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derivative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6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tcBorders>
              <w:bottom w:val="single" w:sz="8" w:color="CCEEFF"/>
            </w:tcBorders>
          </w:tcPr>
          <w:p>
            <w:pPr>
              <w:ind w:left="260"/>
              <w:spacing w:after="0" w:line="237"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3"/>
                <w:szCs w:val="23"/>
                <w:color w:val="auto"/>
                <w:vertAlign w:val="superscript"/>
              </w:rPr>
              <w:t>(7)</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640" w:hanging="652"/>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89" w:lineRule="exact"/>
        <w:rPr>
          <w:rFonts w:ascii="Times New Roman" w:cs="Times New Roman" w:eastAsia="Times New Roman" w:hAnsi="Times New Roman"/>
          <w:sz w:val="23"/>
          <w:szCs w:val="23"/>
          <w:color w:val="auto"/>
          <w:vertAlign w:val="superscript"/>
        </w:rPr>
      </w:pPr>
    </w:p>
    <w:p>
      <w:pPr>
        <w:ind w:left="660" w:right="30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20" w:right="80" w:hanging="11"/>
        <w:spacing w:after="0" w:line="261" w:lineRule="auto"/>
        <w:rPr>
          <w:sz w:val="20"/>
          <w:szCs w:val="20"/>
          <w:color w:val="auto"/>
        </w:rPr>
      </w:pPr>
      <w:r>
        <w:rPr>
          <w:rFonts w:ascii="Times New Roman" w:cs="Times New Roman" w:eastAsia="Times New Roman" w:hAnsi="Times New Roman"/>
          <w:sz w:val="18"/>
          <w:szCs w:val="18"/>
          <w:color w:val="auto"/>
        </w:rPr>
        <w:t>The Preferred Distribution Rate Reset Option of PAA’s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spacing w:after="0" w:line="72" w:lineRule="exact"/>
        <w:rPr>
          <w:sz w:val="20"/>
          <w:szCs w:val="20"/>
          <w:color w:val="auto"/>
        </w:rPr>
      </w:pPr>
    </w:p>
    <w:p>
      <w:pPr>
        <w:ind w:left="20"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“Other income, net” on our Condensed Consolidated Statements of Operations, adjusted for selected items impacting comparability (“Adjusted other income, net”) is included in Adjusted EBITDA and excluded from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19 to our Consolidated Financial Statements included in Part IV of our 2023 Annual Report on Form 10-K for our definition of maintenance capital.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72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2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9"/>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6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unconsolidated entities</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valuation adjustments</w:t>
            </w:r>
          </w:p>
        </w:tc>
        <w:tc>
          <w:tcPr>
            <w:tcW w:w="1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20" w:type="dxa"/>
            <w:vAlign w:val="bottom"/>
            <w:gridSpan w:val="4"/>
          </w:tcPr>
          <w:p>
            <w:pPr>
              <w:ind w:left="280"/>
              <w:spacing w:after="0" w:line="184" w:lineRule="exact"/>
              <w:rPr>
                <w:sz w:val="20"/>
                <w:szCs w:val="20"/>
                <w:color w:val="auto"/>
              </w:rPr>
            </w:pPr>
            <w:r>
              <w:rPr>
                <w:rFonts w:ascii="Times New Roman" w:cs="Times New Roman" w:eastAsia="Times New Roman" w:hAnsi="Times New Roman"/>
                <w:sz w:val="18"/>
                <w:szCs w:val="18"/>
                <w:color w:val="auto"/>
              </w:rPr>
              <w:t>noncontrolling interests in consolidated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Borders>
              <w:bottom w:val="single" w:sz="8" w:color="CCEEFF"/>
            </w:tcBorders>
            <w:gridSpan w:val="4"/>
          </w:tcPr>
          <w:p>
            <w:pPr>
              <w:ind w:left="280"/>
              <w:spacing w:after="0"/>
              <w:rPr>
                <w:sz w:val="20"/>
                <w:szCs w:val="20"/>
                <w:color w:val="auto"/>
              </w:rPr>
            </w:pPr>
            <w:r>
              <w:rPr>
                <w:rFonts w:ascii="Times New Roman" w:cs="Times New Roman" w:eastAsia="Times New Roman" w:hAnsi="Times New Roman"/>
                <w:sz w:val="18"/>
                <w:szCs w:val="18"/>
                <w:color w:val="auto"/>
              </w:rPr>
              <w:t>joint ventures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right w:val="single" w:sz="8" w:color="auto"/>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36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(5)(6)</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ind w:left="20" w:right="44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16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capacity in millions of barrels per day calculated as total volumes for the period divided by the number of months in the period.</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60"/>
          </w:cols>
          <w:pgMar w:left="320" w:top="121" w:right="379" w:bottom="1440" w:gutter="0" w:footer="0" w:header="0"/>
          <w:type w:val="continuous"/>
        </w:sectPr>
      </w:pPr>
    </w:p>
    <w:p>
      <w:pPr>
        <w:spacing w:after="0" w:line="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increased for the three and nine months ended September 30, 2024 compared to the same periods in 2023 primarily due to higher tariff volumes on our pipelines, tariff escalations and contributions from acquisitions, partially offset by fewer market-based opportunities.</w:t>
      </w:r>
    </w:p>
    <w:p>
      <w:pPr>
        <w:spacing w:after="0" w:line="2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nine months ended September 30, 2024 compared to the same periods in 2023.</w:t>
      </w:r>
    </w:p>
    <w:p>
      <w:pPr>
        <w:spacing w:after="0" w:line="187"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Permian Basin region as well as increased movements from the Rocky Mountain region to Cushing, Oklahoma, (ii) the benefit of tariff escalations and (iii) contributions from acquisitions.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Additionally, our results for the three and nine months ended September 30, 2024 compared to the same periods in 2023 reflect fewer crude oil market-based opportunities.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and nine months ended September 30, 2024 compared to the same periods in 2023, we recognized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(i) an increase in costs associated with settlements related to the Line 901 incident that occurred in May 2015 (which impact field operating costs, but are excluded from Segment Adjusted EBITDA, and thus are reflected as an “Adjustment” in the table above), (ii) employee-related costs primarily resulting from higher average headcount and salaries, (iii) property taxes due to the impact of favorable adjustments in 2023 and (iv) incremental operating costs associated with acquisitions, partially offset by (v) decreased costs resulting from lower third-party trucked volumes. Field operating costs for the nine months ended September 30, 2024 compared to the same period in 2023 were also favorably impacted by lower utilities-related costs as a result of lower prices, partially offset by higher volumes and an increase in the amount of drag reducing agents used.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increase in maintenance capital spending for the three and nine months ended September 30, 2024 compared to the same periods in 2023 was primarily due to higher costs resulting from increased pipeline integrity activities and trucking lease buyouts. Additionally, the three months ended September 30, 2024 compared to the same 2023 period was further impacted by timing of tank integrity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NGLs received from a third-party straddle plant.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6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1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4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33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Derivative activities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44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0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14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33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33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9" w:lineRule="exact"/>
        <w:rPr>
          <w:sz w:val="20"/>
          <w:szCs w:val="20"/>
          <w:color w:val="auto"/>
        </w:rPr>
      </w:pPr>
    </w:p>
    <w:p>
      <w:pPr>
        <w:ind w:left="20" w:right="46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48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undivided joint interests) for the period divided by the number of days in the period.</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NGL Segment Adjusted EBITDA decreased for the three and nine months ended September 30, 2024 compared to the same periods in 2023 primarily as a result of the impact of lower realized frac spreads, partially offset by higher propane and butane sales volumes. The nine months ended September 30, 2024 compared to the same period in 2023 further benefited from incremental margins from iso-to-normal butane spreads in the first half of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include the impact of derivative activities and long-term inventory costing adjustments, which are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Adjusted EBITDA, and thus are reflected as an “Adjustment” in the table above. Excluding such impacts, net revenues decreased for the three and nine months ended September 30, 2024 compared to the same periods in 2023.</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net revenues for the three and nine months ended September 30, 2024 compared to the same periods in 2023 was primarily due to</w:t>
      </w:r>
    </w:p>
    <w:p>
      <w:pPr>
        <w:spacing w:after="0" w:line="27" w:lineRule="exact"/>
        <w:rPr>
          <w:sz w:val="20"/>
          <w:szCs w:val="20"/>
          <w:color w:val="auto"/>
        </w:rPr>
      </w:pPr>
    </w:p>
    <w:p>
      <w:pPr>
        <w:ind w:right="300" w:firstLine="8"/>
        <w:spacing w:after="0" w:line="260"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realized frac spreads and (ii) lower field operating cost recoveries at our Empress straddle plants realized through our commercial agreements, partially offset by (iii) higher propane and butane sales volumes.</w:t>
      </w:r>
    </w:p>
    <w:p>
      <w:pPr>
        <w:spacing w:after="0" w:line="2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nine months ended September 30, 2024 compared to the same period in 2023 further benefited from incremental margins from iso-to-normal butane spreads in the first half of 2024.</w:t>
      </w:r>
    </w:p>
    <w:p>
      <w:pPr>
        <w:spacing w:after="0" w:line="18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and nine months ended September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2023 was primarily due to (i) decreased utilities-related costs largely as a result of lower prices and (ii) a decrease in unrealized mark-to-market losses on power hedges (which impact our field operating costs, but are excluded from Segment Adjusted EBITDA, and thus are reflected as an “Adjustment” in the table above), partially offset by (iii) higher maintenance costs and (iv) higher employee-related costs primarily resulting from higher average headcount and salaries. The decrease in utilities-related costs was partially offset by the lower benefit to net revenues of operating cost recoveries realized through commercial agreements.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nine months ended September 30, 2024 compared to the same period in 2023 was primarily due to timing of equipment repairs and replacement projects for certain of our pipeline systems and fractionation facilities.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3" w:lineRule="exact"/>
        <w:rPr>
          <w:sz w:val="20"/>
          <w:szCs w:val="20"/>
          <w:color w:val="auto"/>
        </w:rPr>
      </w:pPr>
    </w:p>
    <w:p>
      <w:pPr>
        <w:jc w:val="both"/>
        <w:ind w:right="220"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21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had a working capital surplus of $34 million and approximately $3.3 billion of liquidity available to meet our ongoing operating, investing and financing needs, subject to continued covenant compliance, as noted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Availability under PAA senior unsecured revolving credit facility </w:t>
            </w:r>
            <w:r>
              <w:rPr>
                <w:rFonts w:ascii="Times New Roman" w:cs="Times New Roman" w:eastAsia="Times New Roman" w:hAnsi="Times New Roman"/>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Availability under PAA senior secured hedged inventory facility </w:t>
            </w:r>
            <w:r>
              <w:rPr>
                <w:rFonts w:ascii="Times New Roman" w:cs="Times New Roman" w:eastAsia="Times New Roman" w:hAnsi="Times New Roman"/>
                <w:sz w:val="23"/>
                <w:szCs w:val="23"/>
                <w:color w:val="auto"/>
                <w:vertAlign w:val="superscript"/>
              </w:rPr>
              <w:t>(1) (2)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outstanding under PAA commercial paper program</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62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the PAA commercial paper program, which reduce available capacity under the credit facilities.</w:t>
      </w:r>
    </w:p>
    <w:p>
      <w:pPr>
        <w:spacing w:after="0" w:line="54" w:lineRule="exact"/>
        <w:rPr>
          <w:sz w:val="20"/>
          <w:szCs w:val="20"/>
          <w:color w:val="auto"/>
        </w:rPr>
      </w:pPr>
    </w:p>
    <w:p>
      <w:pPr>
        <w:ind w:left="20" w:right="8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the PAA senior unsecured revolving credit facility and the PAA senior secured hedged inventory facility was reduced by outstanding letters of credit issued under these facilities of less than $1 million and $34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$4 million.</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August 2024, PAA amended its credit facility agreements to, among other things, extend the maturity dates of its senior secured hedged inventory facility and senior unsecured revolving credit facility by one year to August 2027 and August 2029, respectively, for each extending lender. The maturity dates with respect to the non-extending lender under PAA’s senior secured hedged inventory facility and senior unsecured revolving credit facility (which represents a commitment of approximately $64 million out of total commitments of $1.35 billion from all lenders under each facility) remain August 2026 and August 2027, respectively.</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2023 Annual Report on Form 10-K for further discussion regarding risks that may impact our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2024 and 2023 was $1.758 billion and $1.712 billion, respectively, and primarily resulted from earnings from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5"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ectPr>
          <w:pgSz w:w="11900" w:h="16838" w:orient="portrait"/>
          <w:cols w:equalWidth="0" w:num="1">
            <w:col w:w="11240"/>
          </w:cols>
          <w:pgMar w:left="320" w:top="121" w:right="3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ind w:right="140" w:hanging="11"/>
        <w:spacing w:after="0" w:line="266" w:lineRule="auto"/>
        <w:rPr>
          <w:sz w:val="20"/>
          <w:szCs w:val="20"/>
          <w:color w:val="auto"/>
        </w:rPr>
      </w:pPr>
      <w:r>
        <w:rPr>
          <w:rFonts w:ascii="Times New Roman" w:cs="Times New Roman" w:eastAsia="Times New Roman" w:hAnsi="Times New Roman"/>
          <w:sz w:val="18"/>
          <w:szCs w:val="18"/>
          <w:color w:val="auto"/>
        </w:rPr>
        <w:t>Investment capital and maintenance capital, net to our 65% interest in the Permian JV, was approximately $232 million and $174 million, respectively, for the nine months ended September 30, 2024, and approximately $221 million and $158 million, respectively, for the nine months ended September 30, 2023.</w:t>
      </w:r>
    </w:p>
    <w:p>
      <w:pPr>
        <w:spacing w:after="0" w:line="68"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60" w:right="60" w:hanging="652"/>
        <w:spacing w:after="0" w:line="255" w:lineRule="auto"/>
        <w:tabs>
          <w:tab w:leader="none" w:pos="648"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Acquisition capital, net to our 65% interest in the Permian JV, was approximately $141 million and $192 million for the nine months ended September 30, 2024 and 2023, respectively. Acquisition capital for the 2024 period primarily included the acquisition of additional ownership interests in equity method investees. Acquisition capital for the 2023 period was mainly comprised of the Rattler Permian Transaction. See Note 7 to our Consolidated Financial Statements included in Part IV of our 2023 Annual Report on Form 10-K for information regarding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Investment and Maintenance Capital. </w:t>
      </w:r>
      <w:r>
        <w:rPr>
          <w:rFonts w:ascii="Times New Roman" w:cs="Times New Roman" w:eastAsia="Times New Roman" w:hAnsi="Times New Roman"/>
          <w:sz w:val="18"/>
          <w:szCs w:val="18"/>
          <w:color w:val="auto"/>
        </w:rPr>
        <w:t>Total investment capital for the year ending December 31, 2024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$455 million ($360 million net to our interest). Approximately half of our projected investment capital expenditures are expected to be invested in the Permian JV assets. Additionally, maintenance capital for 2024 is projected to be approximately $270 million ($250 million net to our interest). We expect to fund our 2024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generally been used to fund our investment capital projects and reduce debt levels. The following table summarizes the proceeds received during the first nine months of 2024 and 2023 from sales of assets (in millions):</w:t>
      </w:r>
    </w:p>
    <w:p>
      <w:pPr>
        <w:spacing w:after="0" w:line="2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8260" w:val="left"/>
          <w:tab w:leader="none" w:pos="952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w:t>
        <w:tab/>
        <w:t>$</w:t>
      </w:r>
      <w:r>
        <w:rPr>
          <w:sz w:val="20"/>
          <w:szCs w:val="20"/>
          <w:color w:val="auto"/>
        </w:rPr>
        <w:tab/>
      </w:r>
      <w:r>
        <w:rPr>
          <w:rFonts w:ascii="Times New Roman" w:cs="Times New Roman" w:eastAsia="Times New Roman" w:hAnsi="Times New Roman"/>
          <w:sz w:val="17"/>
          <w:szCs w:val="17"/>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660" w:right="80" w:hanging="652"/>
        <w:spacing w:after="0" w:line="239"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 The proceeds from divestitures for the nine months ended September 30,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spacing w:after="0" w:line="27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2023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had net repayments under the PAA commercial paper program of $433 million. The net repayments resulted primarily from cash flow from operating activities and proceeds from the issuance of PAA’s $650 million, 5.70% senior notes in June 2024, which offset borrowings during the period related to funding needs for capital investments, inventory purchases and other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We had no net borrowings or repayments under the PAA credit facilities or commercial paper program during the nine months ended September 30, 2023.</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June 2024, PAA completed the offering of $650 million, 5.70% senior notes due September 2034 at a public offering price of 99.953%. Interest payments are due on March 15 and September 15 of each year, commencing on March 15, 2025. PAA used the net proceeds from this offering of</w:t>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$643 million, after deducting the underwriting discount and offering expenses, along with other cash on hand, to repay on November 1, 2024 the principal amount of its $750 million, 3.60% senior notes due November 2024. Prior to such repayment, PAA used a portion of the net proceeds from the offering to repay outstanding borrowings under its commercial paper program and for general partnership purposes.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nine months ended September 30, 2024 or 2023. The remaining available capacity under the Program as of September 30, 2024 was $198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PAGP Registration Statements. </w:t>
      </w:r>
      <w:r>
        <w:rPr>
          <w:rFonts w:ascii="Times New Roman" w:cs="Times New Roman" w:eastAsia="Times New Roman" w:hAnsi="Times New Roman"/>
          <w:sz w:val="18"/>
          <w:szCs w:val="18"/>
          <w:color w:val="auto"/>
        </w:rPr>
        <w:t>We have filed with the SEC a shelf registration statement that, subject to effectiveness at the time of use, allows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up to a specified amount of equity securities (“PAGP Traditional Shelf”). At September 30, 2024,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nine months ended September 30, 2024.</w:t>
      </w:r>
    </w:p>
    <w:p>
      <w:pPr>
        <w:spacing w:after="0" w:line="21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PAA Registration Statements. </w:t>
      </w:r>
      <w:r>
        <w:rPr>
          <w:rFonts w:ascii="Times New Roman" w:cs="Times New Roman" w:eastAsia="Times New Roman" w:hAnsi="Times New Roman"/>
          <w:sz w:val="17"/>
          <w:szCs w:val="17"/>
          <w:color w:val="auto"/>
        </w:rPr>
        <w:t>PAA periodically accesses the capital markets for both equity and debt financing. PAA has filed with the SEC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universal shelf registration statement that, subject to effectiveness at the time of use, allows PAA to issue up to a specified amount of debt or equity securities (“PAA Traditional Shelf”), under which PAA had approximately $1.1 billion of unsold securities available at September 30, 2024. PAA did not conduct any offerings under the PAA Traditional Shelf during the nine months ended September 30, 2024. PAA also has access to a universal shelf registration statement (“PAA WKSI Shelf”), which provides it with the ability to offer and sell an unlimited amount of debt and equity securities, subject to market conditions and its capital needs. The offering of PAA’s $650 million, 5.70% senior notes in June 2024 was conducted under the PAA WKSI Shelf.</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Class A Shareholders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November 14, 2024, we will pay a quarterly cash distribution of $0.3175 per Class A share ($1.27 per Class A share on an annualized basis) to shareholders of record at the close of business on October 31, 2024 for the period from July 1, 2024 through September 30, 2024, which is unchanged from the distribution per share paid in August of 2024. See Note 6 to our Condensed Consolidated Financial Statements for details of distributions paid during the first nine months of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September 30,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14, 2024, PAA will pay a quarterly cash distribution of approximately $0.615 per unit to its Series A preferred unitholders of record at the close of business on October 31, 2024 for the period from July 1, 2024 through September 30,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On November 15, 2024 , PAA will pay a quarterly cash distribution of approximately $24.25 per unit to its Series B preferred unitholders of record at the close of business on November 1, 2024 for the period from August 15, 2024 through November 14, 2024.</w:t>
      </w:r>
    </w:p>
    <w:p>
      <w:pPr>
        <w:spacing w:after="0" w:line="189"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On November 14, 2024, PAA will pay a quarterly cash distribution of $0.3175 per common unit ($1.27 per unit on an annualized basis) to common unitholders of record at the close of business on October 31, 2024 for the period from July 1, 2024 through September 30, 2024, which is unchanged from the distribution per unit paid in August of 2024.</w:t>
      </w:r>
    </w:p>
    <w:p>
      <w:pPr>
        <w:spacing w:after="0" w:line="20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6 to our Condensed Consolidated Financial Statements for details of distributions paid to noncontrolling interests during the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9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September 30, 2024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240" w:type="dxa"/>
            <w:vAlign w:val="bottom"/>
          </w:tcPr>
          <w:p>
            <w:pPr>
              <w:spacing w:after="0"/>
              <w:rPr>
                <w:sz w:val="13"/>
                <w:szCs w:val="1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22,115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19,623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17,408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38,225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120" w:hanging="652"/>
        <w:spacing w:after="0" w:line="235"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September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September 30, 2024 and December 31, 2023, we had outstanding letters of credit of approximately $108 million and $205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340" w:hanging="324"/>
        <w:spacing w:after="0" w:line="266" w:lineRule="auto"/>
        <w:tabs>
          <w:tab w:leader="none" w:pos="97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expected receipt of, and amounts of, distributions from Plains AAP, LP, and the effect thereof on our ability to pay distributions to our Class A shareholders;</w:t>
      </w:r>
    </w:p>
    <w:p>
      <w:pPr>
        <w:spacing w:after="0" w:line="67" w:lineRule="exact"/>
        <w:rPr>
          <w:rFonts w:ascii="Times New Roman" w:cs="Times New Roman" w:eastAsia="Times New Roman" w:hAnsi="Times New Roman"/>
          <w:sz w:val="18"/>
          <w:szCs w:val="18"/>
          <w:i w:val="1"/>
          <w:iCs w:val="1"/>
          <w:color w:val="auto"/>
        </w:rPr>
      </w:pPr>
    </w:p>
    <w:p>
      <w:pPr>
        <w:ind w:left="980" w:right="4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53"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7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PAA’s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PAA’s units at the time of vesting under its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980" w:right="2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7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980"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77"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NGL and other</w:t>
      </w:r>
    </w:p>
    <w:p>
      <w:pPr>
        <w:spacing w:after="0" w:line="254" w:lineRule="exact"/>
        <w:rPr>
          <w:rFonts w:ascii="Times New Roman" w:cs="Times New Roman" w:eastAsia="Times New Roman" w:hAnsi="Times New Roman"/>
          <w:sz w:val="18"/>
          <w:szCs w:val="18"/>
          <w:i w:val="1"/>
          <w:iCs w:val="1"/>
          <w:color w:val="auto"/>
        </w:rPr>
      </w:pPr>
    </w:p>
    <w:p>
      <w:pPr>
        <w:ind w:left="980" w:right="1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further discussion regarding our hedging strategies and objectives.</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September 30, 2024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September 30, 2024. The average interest rate on variable rate debt that was outstanding during the nine months ended September 30, 2024 was 5.8%, based upon rates in effect during such period. The fair value of our interest rate derivatives was a net asset of $7 million as of September 30, 2024. A 10% increase in the forward SOFR curve as of September 30, 2024 would have resulted in an increase of $12 million to the fair value of our interest rate derivatives. A 10% decrease in the forward SOFR curve as of September 30, 2024 would have resulted in a decrease of $12 million to the fair value of our interest rate derivatives. See Note 7 to our Condensed Consolidated Financial Statements for a discussion of our interest rate risk hedging activities.</w:t>
      </w:r>
    </w:p>
    <w:p>
      <w:pPr>
        <w:spacing w:after="0" w:line="21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PAA’s Series B preferred units accumulate and are payable quarterly in arrears on the 15th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May, August and November. Distributions on PAA’s Series B preferred units accumulate based on the applicable three-month SOFR, plus certain adjustments. Based upon the Series B preferred units outstanding at September 30, 2024 and the liquidation preference of $1,000 per unit, a change of 100 basis points in interest rates would increase or decrease the annual distributions on PAA’s Series B preferred units by approximately $8 million. See Note 11 to our Consolidated Financial Statements included in Part IV of our 2023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2024,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to our Condensed Consolidated Financial Statements,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60"/>
        <w:spacing w:after="0"/>
        <w:tabs>
          <w:tab w:leader="none" w:pos="610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8" w:lineRule="exact"/>
        <w:rPr>
          <w:sz w:val="20"/>
          <w:szCs w:val="20"/>
          <w:color w:val="auto"/>
        </w:rPr>
      </w:pPr>
    </w:p>
    <w:p>
      <w:pPr>
        <w:ind w:left="1500" w:right="46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our Registration</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Second Amended and Restated Agreement of Limited Partnership of Plains GP Holdings, L.P. dated as of November 15, 2016</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(incorporated by reference to Exhibit 3.2 to our Current Report on Form 8-K filed November 21, 2016).</w:t>
        </w:r>
      </w:hyperlink>
    </w:p>
    <w:p>
      <w:pPr>
        <w:spacing w:after="0" w:line="118" w:lineRule="exact"/>
        <w:rPr>
          <w:sz w:val="20"/>
          <w:szCs w:val="20"/>
          <w:color w:val="auto"/>
        </w:rPr>
      </w:pPr>
    </w:p>
    <w:p>
      <w:pPr>
        <w:ind w:left="1500" w:right="3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Holdings, L.P. (incorporated by reference to Exhibit 3.1 to our Current Report on Form 8-K filed April 9, 2020).</w:t>
        </w:r>
      </w:hyperlink>
    </w:p>
    <w:p>
      <w:pPr>
        <w:spacing w:after="0" w:line="118" w:lineRule="exact"/>
        <w:rPr>
          <w:sz w:val="20"/>
          <w:szCs w:val="20"/>
          <w:color w:val="auto"/>
        </w:rPr>
      </w:pPr>
    </w:p>
    <w:p>
      <w:pPr>
        <w:ind w:left="1500" w:right="2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Certificate of Formation of PAA GP Holdings LLC (incorporated by reference to Exhibit 3.3 to our Registration Statement on</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1">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w:t>
        </w:r>
      </w:hyperlink>
    </w:p>
    <w:p>
      <w:pPr>
        <w:ind w:left="186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19, 2021 (incorporated by reference to Exhibit 3.11 to our Annual Report on Form 10-K for the year ended December 31, 2021).</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2">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86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2017 (incorporated by reference to Exhibit 3.1 to PAA's Current Report on Form 8-K filed October 12, 2017).</w:t>
        </w:r>
      </w:hyperlink>
    </w:p>
    <w:p>
      <w:pPr>
        <w:spacing w:after="0" w:line="113" w:lineRule="exact"/>
        <w:rPr>
          <w:sz w:val="20"/>
          <w:szCs w:val="20"/>
          <w:color w:val="auto"/>
        </w:rPr>
      </w:pPr>
    </w:p>
    <w:p>
      <w:pPr>
        <w:ind w:left="56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3">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86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500" w:right="20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500" w:right="340" w:hanging="1311"/>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AAP, L.P. (incorporated by reference to Exhibit 3.1 to our Current Report on Form 8-K filed October 2, 2018).</w:t>
        </w:r>
      </w:hyperlink>
    </w:p>
    <w:p>
      <w:pPr>
        <w:spacing w:after="0" w:line="106" w:lineRule="exact"/>
        <w:rPr>
          <w:sz w:val="20"/>
          <w:szCs w:val="20"/>
          <w:color w:val="auto"/>
        </w:rPr>
      </w:pPr>
    </w:p>
    <w:p>
      <w:pPr>
        <w:ind w:left="500"/>
        <w:spacing w:after="0"/>
        <w:tabs>
          <w:tab w:leader="none" w:pos="1480" w:val="left"/>
          <w:tab w:leader="none" w:pos="1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86">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8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500" w:right="160" w:hanging="1352"/>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500" w:right="180" w:hanging="1356"/>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PAA’s Current Report on Form 8-K filed January 4, 2008).</w:t>
        </w:r>
      </w:hyperlink>
    </w:p>
    <w:p>
      <w:pPr>
        <w:spacing w:after="0" w:line="118" w:lineRule="exact"/>
        <w:rPr>
          <w:sz w:val="20"/>
          <w:szCs w:val="20"/>
          <w:color w:val="auto"/>
        </w:rPr>
      </w:pPr>
    </w:p>
    <w:p>
      <w:pPr>
        <w:ind w:left="1500" w:right="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National Association, as trustee (incorporated by reference to Exhibit 4.1 to PAA’s Quarterly Report on Form 10-Q for the</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quarter ended September 30, 2002).</w:t>
        </w:r>
      </w:hyperlink>
    </w:p>
    <w:p>
      <w:pPr>
        <w:spacing w:after="0" w:line="111" w:lineRule="exact"/>
        <w:rPr>
          <w:sz w:val="20"/>
          <w:szCs w:val="20"/>
          <w:color w:val="auto"/>
        </w:rPr>
      </w:pPr>
    </w:p>
    <w:p>
      <w:pPr>
        <w:ind w:left="1500" w:right="44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Association, as trustee (incorporated by reference to Exhibit 4.1 to PAA’s Current Report on Form 8-K filed May 12, 2006).</w:t>
        </w:r>
      </w:hyperlink>
    </w:p>
    <w:p>
      <w:pPr>
        <w:spacing w:after="0" w:line="111" w:lineRule="exact"/>
        <w:rPr>
          <w:sz w:val="20"/>
          <w:szCs w:val="20"/>
          <w:color w:val="auto"/>
        </w:rPr>
      </w:pPr>
    </w:p>
    <w:p>
      <w:pPr>
        <w:ind w:left="1500" w:right="8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trustee (incorporated by reference to Exhibit 4.2 to PAA’s Current Report on Form 8-K filed October 30, 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500" w:right="32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4.3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PAA’s Current Report on Form 8-K filed March 26, 2012).</w:t>
        </w:r>
      </w:hyperlink>
    </w:p>
    <w:p>
      <w:pPr>
        <w:spacing w:after="0" w:line="111" w:lineRule="exact"/>
        <w:rPr>
          <w:sz w:val="20"/>
          <w:szCs w:val="20"/>
          <w:color w:val="auto"/>
        </w:rPr>
      </w:pPr>
    </w:p>
    <w:p>
      <w:pPr>
        <w:ind w:left="1500" w:right="48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Exhibit 4.3 to PAA’s Current Report on Form 8-K filed December 12, 2012).</w:t>
        </w:r>
      </w:hyperlink>
    </w:p>
    <w:p>
      <w:pPr>
        <w:spacing w:after="0" w:line="111" w:lineRule="exact"/>
        <w:rPr>
          <w:sz w:val="20"/>
          <w:szCs w:val="20"/>
          <w:color w:val="auto"/>
        </w:rPr>
      </w:pPr>
    </w:p>
    <w:p>
      <w:pPr>
        <w:ind w:left="1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Current Report on Form 8-K filed April 29, 2014).</w:t>
        </w:r>
      </w:hyperlink>
    </w:p>
    <w:p>
      <w:pPr>
        <w:spacing w:after="0" w:line="111" w:lineRule="exact"/>
        <w:rPr>
          <w:sz w:val="20"/>
          <w:szCs w:val="20"/>
          <w:color w:val="auto"/>
        </w:rPr>
      </w:pPr>
    </w:p>
    <w:p>
      <w:pPr>
        <w:jc w:val="right"/>
        <w:ind w:left="560" w:right="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96">
        <w:r>
          <w:rPr>
            <w:rFonts w:ascii="Times New Roman" w:cs="Times New Roman" w:eastAsia="Times New Roman" w:hAnsi="Times New Roman"/>
            <w:sz w:val="18"/>
            <w:szCs w:val="18"/>
            <w:u w:val="single" w:color="auto"/>
            <w:color w:val="0000FF"/>
          </w:rPr>
          <w:t>Twenty-Sixth Supplemental Indenture (3.60% Senior Notes due 2024) dated September 9, 2014, by and among Plains All</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Exhibit 4.1 to our Current Report on Form 8-K filed September 11, 2014).</w:t>
        </w:r>
      </w:hyperlink>
    </w:p>
    <w:p>
      <w:pPr>
        <w:spacing w:after="0" w:line="111" w:lineRule="exact"/>
        <w:rPr>
          <w:sz w:val="20"/>
          <w:szCs w:val="20"/>
          <w:color w:val="auto"/>
        </w:rPr>
      </w:pPr>
    </w:p>
    <w:p>
      <w:pPr>
        <w:jc w:val="right"/>
        <w:ind w:left="560" w:right="4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  </w:t>
      </w:r>
      <w:hyperlink r:id="rId97">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500" w:right="500" w:hanging="1311"/>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Exhibit 4.1 to PAA’s Current Report on Form 8-K filed August 26, 2015).</w:t>
        </w:r>
      </w:hyperlink>
    </w:p>
    <w:p>
      <w:pPr>
        <w:spacing w:after="0" w:line="111" w:lineRule="exact"/>
        <w:rPr>
          <w:sz w:val="20"/>
          <w:szCs w:val="20"/>
          <w:color w:val="auto"/>
        </w:rPr>
      </w:pPr>
    </w:p>
    <w:p>
      <w:pPr>
        <w:ind w:left="1500" w:right="6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PAA’s Current Report on Form 8-K filed November 29, 2016).</w:t>
        </w:r>
      </w:hyperlink>
    </w:p>
    <w:p>
      <w:pPr>
        <w:spacing w:after="0" w:line="111" w:lineRule="exact"/>
        <w:rPr>
          <w:sz w:val="20"/>
          <w:szCs w:val="20"/>
          <w:color w:val="auto"/>
        </w:rPr>
      </w:pPr>
    </w:p>
    <w:p>
      <w:pPr>
        <w:jc w:val="right"/>
        <w:ind w:left="500" w:right="5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4.11       —  </w:t>
      </w:r>
      <w:hyperlink r:id="rId100">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Exhibit 4.1 to PAA’s Current Report on Form 8-K filed September 17, 2019).</w:t>
        </w:r>
      </w:hyperlink>
    </w:p>
    <w:p>
      <w:pPr>
        <w:spacing w:after="0" w:line="111" w:lineRule="exact"/>
        <w:rPr>
          <w:sz w:val="20"/>
          <w:szCs w:val="20"/>
          <w:color w:val="auto"/>
        </w:rPr>
      </w:pPr>
    </w:p>
    <w:p>
      <w:pPr>
        <w:ind w:left="1500" w:right="10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PAA’s Current Report on Form 8-K filed June 11, 2020).</w:t>
        </w:r>
      </w:hyperlink>
    </w:p>
    <w:p>
      <w:pPr>
        <w:spacing w:after="0" w:line="111" w:lineRule="exact"/>
        <w:rPr>
          <w:sz w:val="20"/>
          <w:szCs w:val="20"/>
          <w:color w:val="auto"/>
        </w:rPr>
      </w:pPr>
    </w:p>
    <w:p>
      <w:pPr>
        <w:ind w:left="1500" w:right="10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Thirty-Third Supplemental Indenture (5.70% Senior Notes due 2034) dated June 27, 2024, by and among Plains All American</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86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Exhibit 4.1 to PAA's Current Report on Form 8-K filed June 27, 2024).</w:t>
        </w:r>
      </w:hyperlink>
    </w:p>
    <w:p>
      <w:pPr>
        <w:spacing w:after="0" w:line="111" w:lineRule="exact"/>
        <w:rPr>
          <w:sz w:val="20"/>
          <w:szCs w:val="20"/>
          <w:color w:val="auto"/>
        </w:rPr>
      </w:pPr>
    </w:p>
    <w:p>
      <w:pPr>
        <w:jc w:val="right"/>
        <w:ind w:left="500" w:right="24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  </w:t>
      </w:r>
      <w:hyperlink r:id="rId103">
        <w:r>
          <w:rPr>
            <w:rFonts w:ascii="Times New Roman" w:cs="Times New Roman" w:eastAsia="Times New Roman" w:hAnsi="Times New Roman"/>
            <w:sz w:val="18"/>
            <w:szCs w:val="18"/>
            <w:u w:val="single" w:color="auto"/>
            <w:color w:val="0000FF"/>
          </w:rPr>
          <w:t>Shareholder and Registration Rights Agreement dated October 21, 2013 by and among Plains GP Holdings, L.P. and the other</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parties signatory thereto (incorporated by reference to Exhibit 4.1 to our Current Report on Form 8-K filed October 25, 2013).</w:t>
        </w:r>
      </w:hyperlink>
    </w:p>
    <w:p>
      <w:pPr>
        <w:spacing w:after="0" w:line="118" w:lineRule="exact"/>
        <w:rPr>
          <w:sz w:val="20"/>
          <w:szCs w:val="20"/>
          <w:color w:val="auto"/>
        </w:rPr>
      </w:pPr>
    </w:p>
    <w:p>
      <w:pPr>
        <w:ind w:left="1500" w:right="120" w:hanging="1356"/>
        <w:spacing w:after="0" w:line="237"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Description of Our Securities (incorporated by reference to Exhibit 4.14 to our Annual Report on Form 10-K for the year ended</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December 31, 2023).</w:t>
        </w:r>
      </w:hyperlink>
    </w:p>
    <w:p>
      <w:pPr>
        <w:spacing w:after="0" w:line="118" w:lineRule="exact"/>
        <w:rPr>
          <w:sz w:val="20"/>
          <w:szCs w:val="20"/>
          <w:color w:val="auto"/>
        </w:rPr>
      </w:pPr>
    </w:p>
    <w:p>
      <w:pPr>
        <w:ind w:left="1500" w:hanging="1356"/>
        <w:spacing w:after="0" w:line="222" w:lineRule="auto"/>
        <w:tabs>
          <w:tab w:leader="none" w:pos="1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Second Amendment to Credit Agreement dated as of August 19, 2024, among Plains All American Pipeline, L.P. and Plains</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Midstream Canada ULC, as Borrowers; certain subsidiaries of Plains All American Pipeline, L.P. from time to time party thereto,</w:t>
        </w:r>
      </w:hyperlink>
    </w:p>
    <w:p>
      <w:pPr>
        <w:spacing w:after="0" w:line="2" w:lineRule="exact"/>
        <w:rPr>
          <w:sz w:val="20"/>
          <w:szCs w:val="20"/>
          <w:color w:val="auto"/>
        </w:rPr>
      </w:pPr>
    </w:p>
    <w:p>
      <w:pPr>
        <w:ind w:left="1860" w:right="60"/>
        <w:spacing w:after="0" w:line="218"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as Designated Borrowers; Bank of America, N.A., as Administrative Agent and Swing Line Lender; Bank of America, N.A.,</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Citibank, N.A., JPMorgan Chase Bank, N.A. and Wells Fargo Bank, National Association, as L/C Issuers; and the other Lenders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party thereto (incorporated by reference to Exhibit 10.1 to our Current Report on Form 8-K filed August 22, 2024).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3"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10.2</w:t>
            </w:r>
          </w:p>
        </w:tc>
        <w:tc>
          <w:tcPr>
            <w:tcW w:w="9920" w:type="dxa"/>
            <w:vAlign w:val="bottom"/>
            <w:gridSpan w:val="11"/>
          </w:tcPr>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FF"/>
                </w:rPr>
                <w:t>Second Amendment to Fourth Amended and Restated Credit Agreement dated as of August 19, 2024, among Plains Marketing,</w:t>
              </w:r>
            </w:hyperlink>
          </w:p>
        </w:tc>
      </w:tr>
      <w:tr>
        <w:trPr>
          <w:trHeight w:val="155"/>
        </w:trPr>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L.P. and Plains Midstream Canada ULC, as Borrowers; Plains All American Pipeline, L.P., as guarantor; Bank of America, N.A.,</w:t>
              </w:r>
            </w:hyperlink>
          </w:p>
        </w:tc>
        <w:tc>
          <w:tcPr>
            <w:tcW w:w="10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300" w:type="dxa"/>
            <w:vAlign w:val="bottom"/>
            <w:gridSpan w:val="9"/>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 Administrative Agent and Swing Line Lender; Bank of America, N.A., Citibank, N.A., JPMorgan Chase Bank, N.A. and</w:t>
              </w:r>
            </w:hyperlink>
          </w:p>
        </w:tc>
        <w:tc>
          <w:tcPr>
            <w:tcW w:w="2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Wells Fargo Bank, National Association, as L/C Issuers; and the other Lenders party thereto (incorporated by reference to</w:t>
              </w:r>
            </w:hyperlink>
          </w:p>
        </w:tc>
        <w:tc>
          <w:tcPr>
            <w:tcW w:w="420" w:type="dxa"/>
            <w:vAlign w:val="bottom"/>
            <w:gridSpan w:val="3"/>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Exhibit 10.2 to our Current Report on Form 8-K filed August 22, 2024).</w:t>
              </w:r>
            </w:hyperlink>
          </w:p>
        </w:tc>
        <w:tc>
          <w:tcPr>
            <w:tcW w:w="3560" w:type="dxa"/>
            <w:vAlign w:val="bottom"/>
            <w:tcBorders>
              <w:top w:val="single" w:sz="8" w:color="0000FF"/>
            </w:tcBorders>
            <w:gridSpan w:val="3"/>
          </w:tcPr>
          <w:p>
            <w:pPr>
              <w:spacing w:after="0"/>
              <w:rPr>
                <w:sz w:val="13"/>
                <w:szCs w:val="13"/>
                <w:color w:val="auto"/>
              </w:rPr>
            </w:pPr>
          </w:p>
        </w:tc>
        <w:tc>
          <w:tcPr>
            <w:tcW w:w="560" w:type="dxa"/>
            <w:vAlign w:val="bottom"/>
            <w:gridSpan w:val="4"/>
          </w:tcPr>
          <w:p>
            <w:pPr>
              <w:spacing w:after="0"/>
              <w:rPr>
                <w:sz w:val="13"/>
                <w:szCs w:val="13"/>
                <w:color w:val="auto"/>
              </w:rPr>
            </w:pPr>
          </w:p>
        </w:tc>
      </w:tr>
      <w:tr>
        <w:trPr>
          <w:trHeight w:val="331"/>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10.3*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LTIP Grant Letter dated August 15, 2024 (Named Executive Officers).</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r>
      <w:tr>
        <w:trPr>
          <w:trHeight w:val="31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LTIP Grant Letter dated August 15, 2024 (Directors).</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31.1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5"/>
          </w:tcPr>
          <w:p>
            <w:pPr>
              <w:spacing w:after="0" w:line="20" w:lineRule="exact"/>
              <w:rPr>
                <w:sz w:val="1"/>
                <w:szCs w:val="1"/>
                <w:color w:val="auto"/>
              </w:rPr>
            </w:pPr>
          </w:p>
        </w:tc>
      </w:tr>
      <w:tr>
        <w:trPr>
          <w:trHeight w:val="31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31.2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r>
      <w:tr>
        <w:trPr>
          <w:trHeight w:val="31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32.1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4180" w:type="dxa"/>
            <w:vAlign w:val="bottom"/>
            <w:tcBorders>
              <w:left w:val="single" w:sz="8" w:color="0000FF"/>
            </w:tcBorders>
            <w:gridSpan w:val="8"/>
          </w:tcPr>
          <w:p>
            <w:pPr>
              <w:spacing w:after="0" w:line="20" w:lineRule="exact"/>
              <w:rPr>
                <w:sz w:val="1"/>
                <w:szCs w:val="1"/>
                <w:color w:val="auto"/>
              </w:rPr>
            </w:pPr>
          </w:p>
        </w:tc>
      </w:tr>
      <w:tr>
        <w:trPr>
          <w:trHeight w:val="31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32.2 ††</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r>
      <w:tr>
        <w:trPr>
          <w:trHeight w:val="304"/>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101.CAL†</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101.DEF†</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101.LAB†</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104†</w:t>
            </w:r>
          </w:p>
        </w:tc>
        <w:tc>
          <w:tcPr>
            <w:tcW w:w="992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8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HOLDINGS LLC,</w:t>
            </w:r>
          </w:p>
        </w:tc>
      </w:tr>
      <w:tr>
        <w:trPr>
          <w:trHeight w:val="236"/>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Chairman of the Board and Chief Executive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PAA GP</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160" w:type="dxa"/>
            <w:vAlign w:val="bottom"/>
          </w:tcPr>
          <w:p>
            <w:pPr>
              <w:spacing w:after="0"/>
              <w:rPr>
                <w:sz w:val="16"/>
                <w:szCs w:val="16"/>
                <w:color w:val="auto"/>
              </w:rPr>
            </w:pPr>
          </w:p>
        </w:tc>
        <w:tc>
          <w:tcPr>
            <w:tcW w:w="5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PAA GP Holdings LLC</w:t>
            </w:r>
          </w:p>
        </w:tc>
      </w:tr>
      <w:tr>
        <w:trPr>
          <w:trHeight w:val="238"/>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1"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5715</wp:posOffset>
            </wp:positionV>
            <wp:extent cx="2571750" cy="737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25717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2024 Regular Annual LTIP Grant</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Officers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15,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3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8" w:lineRule="exact"/>
        <w:rPr>
          <w:sz w:val="20"/>
          <w:szCs w:val="20"/>
          <w:color w:val="auto"/>
        </w:rPr>
      </w:pPr>
    </w:p>
    <w:p>
      <w:pPr>
        <w:jc w:val="both"/>
        <w:ind w:left="1060" w:hanging="404"/>
        <w:spacing w:after="0" w:line="252" w:lineRule="auto"/>
        <w:tabs>
          <w:tab w:leader="none" w:pos="1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ind w:left="1620" w:hanging="316"/>
        <w:spacing w:after="0"/>
        <w:tabs>
          <w:tab w:leader="none" w:pos="16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your Phantom Units (“Tranche 1”) will vest on the August 2027 Distribution Date.</w:t>
      </w:r>
    </w:p>
    <w:p>
      <w:pPr>
        <w:spacing w:after="0" w:line="3" w:lineRule="exact"/>
        <w:rPr>
          <w:rFonts w:ascii="Times New Roman" w:cs="Times New Roman" w:eastAsia="Times New Roman" w:hAnsi="Times New Roman"/>
          <w:sz w:val="22"/>
          <w:szCs w:val="22"/>
          <w:color w:val="auto"/>
        </w:rPr>
      </w:pPr>
    </w:p>
    <w:p>
      <w:pPr>
        <w:ind w:left="1620" w:right="20" w:hanging="316"/>
        <w:spacing w:after="0" w:line="244" w:lineRule="auto"/>
        <w:tabs>
          <w:tab w:leader="none" w:pos="16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2”) will vest pursuant to the terms and conditions described in Exhibit A attached hereto.</w:t>
      </w:r>
    </w:p>
    <w:p>
      <w:pPr>
        <w:ind w:left="1620" w:hanging="316"/>
        <w:spacing w:after="0" w:line="248" w:lineRule="auto"/>
        <w:tabs>
          <w:tab w:leader="none" w:pos="160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3”) will vest pursuant to the terms and conditions described in Exhibit B attached hereto.</w:t>
      </w:r>
    </w:p>
    <w:p>
      <w:pPr>
        <w:spacing w:after="0" w:line="1" w:lineRule="exact"/>
        <w:rPr>
          <w:rFonts w:ascii="Times New Roman" w:cs="Times New Roman" w:eastAsia="Times New Roman" w:hAnsi="Times New Roman"/>
          <w:sz w:val="22"/>
          <w:szCs w:val="22"/>
          <w:color w:val="auto"/>
        </w:rPr>
      </w:pPr>
    </w:p>
    <w:p>
      <w:pPr>
        <w:ind w:left="1620" w:right="20" w:hanging="316"/>
        <w:spacing w:after="0" w:line="248" w:lineRule="auto"/>
        <w:tabs>
          <w:tab w:leader="none" w:pos="16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Tranche 2 or Tranche 3 Phantom Units that are determined not to have vested as of the August 2027 Distribution Date shall expire effective as of such date.</w:t>
      </w:r>
    </w:p>
    <w:p>
      <w:pPr>
        <w:spacing w:after="0" w:line="15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DERs shall vest (become payable in cash) as follows:</w:t>
      </w:r>
    </w:p>
    <w:p>
      <w:pPr>
        <w:spacing w:after="0" w:line="27" w:lineRule="exact"/>
        <w:rPr>
          <w:rFonts w:ascii="Times New Roman" w:cs="Times New Roman" w:eastAsia="Times New Roman" w:hAnsi="Times New Roman"/>
          <w:sz w:val="22"/>
          <w:szCs w:val="22"/>
          <w:color w:val="auto"/>
        </w:rPr>
      </w:pPr>
    </w:p>
    <w:p>
      <w:pPr>
        <w:jc w:val="both"/>
        <w:ind w:left="1620" w:hanging="316"/>
        <w:spacing w:after="0" w:line="245" w:lineRule="auto"/>
        <w:tabs>
          <w:tab w:leader="none" w:pos="160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 1 will begin accruing on the November 2024 Distribution Date and will continue to accrue until the August 2025 Distribution Date, on which date such accrued but unpaid DERs will vest and be paid in a lump sum. Beginning on the November 2025 Distribution Date, such vested DERs will be paid quarterly until the associated Phantom Units vest or are forfeited pursuant to the terms hereof.</w:t>
      </w:r>
    </w:p>
    <w:p>
      <w:pPr>
        <w:spacing w:after="0" w:line="12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00080"/>
        </w:rPr>
        <w:t>333 Clay Street, Suite 1600 (77002)</w:t>
      </w:r>
      <w:r>
        <w:rPr>
          <w:sz w:val="20"/>
          <w:szCs w:val="20"/>
          <w:color w:val="auto"/>
        </w:rPr>
        <w:tab/>
      </w:r>
      <w:r>
        <w:rPr>
          <w:rFonts w:ascii="Times New Roman" w:cs="Times New Roman" w:eastAsia="Times New Roman" w:hAnsi="Times New Roman"/>
          <w:sz w:val="17"/>
          <w:szCs w:val="17"/>
          <w:b w:val="1"/>
          <w:bCs w:val="1"/>
          <w:color w:val="000080"/>
        </w:rPr>
        <w:t>■ P.O. Box 4648 ■ Houston, Texas 77210-4648 ■ 713-646-4100</w:t>
      </w:r>
    </w:p>
    <w:p>
      <w:pPr>
        <w:sectPr>
          <w:pgSz w:w="11900" w:h="16838" w:orient="portrait"/>
          <w:cols w:equalWidth="0" w:num="1">
            <w:col w:w="11240"/>
          </w:cols>
          <w:pgMar w:left="320" w:top="9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620" w:hanging="316"/>
        <w:spacing w:after="0" w:line="247" w:lineRule="auto"/>
        <w:tabs>
          <w:tab w:leader="none" w:pos="16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Tranches 2 and 3 will begin accruing on the November 2024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2024 Distribution Date. Unless the Phantom Units subject to this award are forfeited or vest prior to the August 2027 Distribution Date pursuant to paragraphs 5, 6 or 7 below, all accrued and unpaid DERs associated with Tranche 2 and Tranche 3 shall be paid on the August 2027 Distribution Date or as soon thereafter as is administratively practicable.</w:t>
      </w:r>
    </w:p>
    <w:p>
      <w:pPr>
        <w:spacing w:after="0" w:line="111"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98"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145" w:lineRule="exact"/>
        <w:rPr>
          <w:rFonts w:ascii="Times New Roman" w:cs="Times New Roman" w:eastAsia="Times New Roman" w:hAnsi="Times New Roman"/>
          <w:sz w:val="22"/>
          <w:szCs w:val="22"/>
          <w:color w:val="auto"/>
        </w:rPr>
      </w:pPr>
    </w:p>
    <w:p>
      <w:pPr>
        <w:jc w:val="both"/>
        <w:ind w:left="980" w:hanging="324"/>
        <w:spacing w:after="0" w:line="247" w:lineRule="auto"/>
        <w:tabs>
          <w:tab w:leader="none" w:pos="9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2027 Distribution Date (1,093). If the resulting amount includes a fraction, it will be rounded down to the nearest whole number.</w:t>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980" w:hanging="324"/>
        <w:spacing w:after="0" w:line="259" w:lineRule="auto"/>
        <w:tabs>
          <w:tab w:leader="none" w:pos="9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4" w:lineRule="exact"/>
        <w:rPr>
          <w:rFonts w:ascii="Times New Roman" w:cs="Times New Roman" w:eastAsia="Times New Roman" w:hAnsi="Times New Roman"/>
          <w:sz w:val="21"/>
          <w:szCs w:val="21"/>
          <w:color w:val="auto"/>
        </w:rPr>
      </w:pPr>
    </w:p>
    <w:p>
      <w:pPr>
        <w:jc w:val="both"/>
        <w:ind w:left="980"/>
        <w:spacing w:after="0" w:line="249" w:lineRule="auto"/>
        <w:tabs>
          <w:tab w:leader="none" w:pos="132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8" w:lineRule="exact"/>
        <w:rPr>
          <w:rFonts w:ascii="Times New Roman" w:cs="Times New Roman" w:eastAsia="Times New Roman" w:hAnsi="Times New Roman"/>
          <w:sz w:val="22"/>
          <w:szCs w:val="22"/>
          <w:color w:val="auto"/>
        </w:rPr>
      </w:pPr>
    </w:p>
    <w:p>
      <w:pPr>
        <w:jc w:val="both"/>
        <w:ind w:left="980" w:hanging="324"/>
        <w:spacing w:after="0" w:line="249"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(i) all of your then outstanding Phantom Units (which shall be equal to the target number of Phantom Units specified in the first paragraph hereof, except that in connection with a Change in Status that involves a Change of Control,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22"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185" w:lineRule="exact"/>
        <w:rPr>
          <w:sz w:val="20"/>
          <w:szCs w:val="20"/>
          <w:color w:val="auto"/>
        </w:rPr>
      </w:pPr>
    </w:p>
    <w:p>
      <w:pPr>
        <w:jc w:val="both"/>
        <w:ind w:left="1580" w:hanging="924"/>
        <w:spacing w:after="0" w:line="236" w:lineRule="auto"/>
        <w:tabs>
          <w:tab w:leader="none" w:pos="157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jc w:val="both"/>
        <w:ind w:left="1580" w:hanging="924"/>
        <w:spacing w:after="0" w:line="243" w:lineRule="auto"/>
        <w:tabs>
          <w:tab w:leader="none" w:pos="157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Times New Roman" w:cs="Times New Roman" w:eastAsia="Times New Roman" w:hAnsi="Times New Roman"/>
          <w:sz w:val="22"/>
          <w:szCs w:val="22"/>
          <w:color w:val="auto"/>
        </w:rPr>
      </w:pPr>
    </w:p>
    <w:p>
      <w:pPr>
        <w:ind w:left="1580" w:hanging="924"/>
        <w:spacing w:after="0" w:line="244" w:lineRule="auto"/>
        <w:tabs>
          <w:tab w:leader="none" w:pos="156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8" w:lineRule="auto"/>
        <w:tabs>
          <w:tab w:leader="none" w:pos="157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33" w:lineRule="auto"/>
        <w:tabs>
          <w:tab w:leader="none" w:pos="157" w:val="left"/>
        </w:tabs>
        <w:numPr>
          <w:ilvl w:val="0"/>
          <w:numId w:val="4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w:t>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00" w:lineRule="exact"/>
        <w:rPr>
          <w:sz w:val="20"/>
          <w:szCs w:val="20"/>
          <w:color w:val="auto"/>
        </w:rPr>
      </w:pPr>
    </w:p>
    <w:p>
      <w:pPr>
        <w:jc w:val="both"/>
        <w:ind w:firstLine="565"/>
        <w:spacing w:after="0" w:line="253"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 You also acknowledge and agree that (i) Tranches 2 and 3 of this award constitute Incentive-Based Compensation and Performance-Based Compensation as defined in the Amended and Restated Clawback Policy adopted by PAGP GP on November 16, 2023, as it may be amended from time to time, and (ii) this award, as well as any other performance-based or time-based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ALL AMERICAN GP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Jim Tillis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3651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«Officer Name»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Target Number of Phantom Units: </w:t>
      </w:r>
      <w:r>
        <w:rPr>
          <w:rFonts w:ascii="Times New Roman" w:cs="Times New Roman" w:eastAsia="Times New Roman" w:hAnsi="Times New Roman"/>
          <w:sz w:val="22"/>
          <w:szCs w:val="22"/>
          <w:u w:val="single" w:color="auto"/>
          <w:color w:val="auto"/>
        </w:rPr>
        <w:t>«LTIP_Grant»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4114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Beneficiary Designation</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5360" w:type="dxa"/>
            <w:vAlign w:val="bottom"/>
            <w:tcBorders>
              <w:top w:val="single" w:sz="8" w:color="auto"/>
              <w:left w:val="single" w:sz="8" w:color="auto"/>
              <w:bottom w:val="single" w:sz="8" w:color="C0C0C0"/>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98"/>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r>
        <w:trPr>
          <w:trHeight w:val="236"/>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40" w:hanging="241"/>
        <w:spacing w:after="0"/>
        <w:tabs>
          <w:tab w:leader="none" w:pos="2240" w:val="left"/>
        </w:tabs>
        <w:numPr>
          <w:ilvl w:val="0"/>
          <w:numId w:val="4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this box only if this beneficiary designation does not apply to prior grants.</w:t>
      </w:r>
    </w:p>
    <w:p>
      <w:pPr>
        <w:sectPr>
          <w:pgSz w:w="11900" w:h="16838" w:orient="portrait"/>
          <w:cols w:equalWidth="0" w:num="1">
            <w:col w:w="11260"/>
          </w:cols>
          <w:pgMar w:left="320" w:top="126" w:right="319" w:bottom="1440" w:gutter="0" w:footer="0" w:header="0"/>
        </w:sectPr>
      </w:pPr>
    </w:p>
    <w:bookmarkStart w:id="64" w:name="page65"/>
    <w:bookmarkEnd w:id="64"/>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Tranche 2 Vesting Terms</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(Total Shareholder Return)</w:t>
      </w:r>
    </w:p>
    <w:p>
      <w:pPr>
        <w:spacing w:after="0" w:line="230" w:lineRule="exact"/>
        <w:rPr>
          <w:sz w:val="20"/>
          <w:szCs w:val="20"/>
          <w:color w:val="auto"/>
        </w:rPr>
      </w:pPr>
    </w:p>
    <w:p>
      <w:pPr>
        <w:jc w:val="both"/>
        <w:ind w:left="328" w:hanging="328"/>
        <w:spacing w:after="0" w:line="267"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6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2027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52" w:lineRule="exact"/>
        <w:rPr>
          <w:sz w:val="20"/>
          <w:szCs w:val="20"/>
          <w:color w:val="auto"/>
        </w:rPr>
      </w:pPr>
    </w:p>
    <w:tbl>
      <w:tblPr>
        <w:tblLayout w:type="fixed"/>
        <w:tblInd w:w="1698" w:type="dxa"/>
        <w:tblCellMar>
          <w:top w:w="0" w:type="dxa"/>
          <w:left w:w="0" w:type="dxa"/>
          <w:bottom w:w="0" w:type="dxa"/>
          <w:right w:w="0" w:type="dxa"/>
        </w:tblCellMar>
      </w:tblPr>
      <w:tr>
        <w:trPr>
          <w:trHeight w:val="234"/>
        </w:trPr>
        <w:tc>
          <w:tcPr>
            <w:tcW w:w="3620" w:type="dxa"/>
            <w:vAlign w:val="bottom"/>
            <w:tcBorders>
              <w:top w:val="single" w:sz="8" w:color="auto"/>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3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TSR Payout</w:t>
            </w:r>
          </w:p>
        </w:tc>
        <w:tc>
          <w:tcPr>
            <w:tcW w:w="0" w:type="dxa"/>
            <w:vAlign w:val="bottom"/>
          </w:tcPr>
          <w:p>
            <w:pPr>
              <w:spacing w:after="0"/>
              <w:rPr>
                <w:sz w:val="1"/>
                <w:szCs w:val="1"/>
                <w:color w:val="auto"/>
              </w:rPr>
            </w:pPr>
          </w:p>
        </w:tc>
      </w:tr>
      <w:tr>
        <w:trPr>
          <w:trHeight w:val="238"/>
        </w:trPr>
        <w:tc>
          <w:tcPr>
            <w:tcW w:w="3620" w:type="dxa"/>
            <w:vAlign w:val="bottom"/>
            <w:tcBorders>
              <w:left w:val="single" w:sz="8" w:color="auto"/>
              <w:right w:val="single" w:sz="8" w:color="auto"/>
            </w:tcBorders>
            <w:vMerge w:val="continue"/>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0908"/>
          </w:cols>
          <w:pgMar w:left="652" w:top="14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Illustrative Examples (based on an assumed target number of Tranche 2 Phantom Units of 1,000):</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500" w:type="dxa"/>
            <w:vAlign w:val="bottom"/>
            <w:tcBorders>
              <w:top w:val="single" w:sz="8" w:color="auto"/>
            </w:tcBorders>
          </w:tcPr>
          <w:p>
            <w:pPr>
              <w:spacing w:after="0"/>
              <w:rPr>
                <w:sz w:val="20"/>
                <w:szCs w:val="20"/>
                <w:color w:val="auto"/>
              </w:rPr>
            </w:pPr>
          </w:p>
        </w:tc>
        <w:tc>
          <w:tcPr>
            <w:tcW w:w="564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TSR Payout Percentage / Number of Units Vesting</w:t>
            </w:r>
          </w:p>
        </w:tc>
      </w:tr>
      <w:tr>
        <w:trPr>
          <w:trHeight w:val="238"/>
        </w:trPr>
        <w:tc>
          <w:tcPr>
            <w:tcW w:w="512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64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(impact of negative absolute TSR)</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150%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125%</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1,250 units (TSR Payout Percentage reduced by 25 gross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117% / 1,170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(TSR Payout Percentage reduced from 117% to 100%)</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(performance at Target)</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50% / 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PAA Peer Group (2024-2027 Performance Period)</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Ticker</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KMI</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ET</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Genesis Energy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GEL</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ENLC</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 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60"/>
          </w:cols>
          <w:pgMar w:left="320" w:top="1417" w:right="319" w:bottom="1440" w:gutter="0" w:footer="0" w:header="0"/>
        </w:sectPr>
      </w:pPr>
    </w:p>
    <w:bookmarkStart w:id="66" w:name="page67"/>
    <w:bookmarkEnd w:id="66"/>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Tranche 3 Vesting Terms</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(Cumulative DCF with Leverage Modifier)</w:t>
      </w:r>
    </w:p>
    <w:p>
      <w:pPr>
        <w:spacing w:after="0" w:line="230" w:lineRule="exact"/>
        <w:rPr>
          <w:sz w:val="20"/>
          <w:szCs w:val="20"/>
          <w:color w:val="auto"/>
        </w:rPr>
      </w:pPr>
    </w:p>
    <w:p>
      <w:pPr>
        <w:jc w:val="both"/>
        <w:ind w:left="328" w:hanging="328"/>
        <w:spacing w:after="0" w:line="257"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2027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w:t>
      </w:r>
    </w:p>
    <w:p>
      <w:pPr>
        <w:spacing w:after="0" w:line="8"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Modifier”) if PAA’s “Leverage Ratio” (long-term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2027 is higher than the Leverage Ratio that equals the upper end of PAA’s then applicable target Leverage Ratio range (the “Threshold Leverage Ratio”) (such range is 2.5x to 3.0x as of the date hereof); if PAA’s Leverage Ratio as of June 30, 2027 is equal to or lower than the Threshold Leverage Ratio, there will be no adjustment to the DCF Payout Percentage.</w:t>
      </w:r>
    </w:p>
    <w:p>
      <w:pPr>
        <w:spacing w:after="0" w:line="348" w:lineRule="exact"/>
        <w:rPr>
          <w:sz w:val="20"/>
          <w:szCs w:val="20"/>
          <w:color w:val="auto"/>
        </w:rPr>
      </w:pPr>
    </w:p>
    <w:tbl>
      <w:tblPr>
        <w:tblLayout w:type="fixed"/>
        <w:tblInd w:w="898" w:type="dxa"/>
        <w:tblCellMar>
          <w:top w:w="0" w:type="dxa"/>
          <w:left w:w="0" w:type="dxa"/>
          <w:bottom w:w="0" w:type="dxa"/>
          <w:right w:w="0" w:type="dxa"/>
        </w:tblCellMar>
      </w:tblPr>
      <w:tr>
        <w:trPr>
          <w:trHeight w:val="261"/>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DCF Payout Percentage</w:t>
            </w:r>
          </w:p>
        </w:tc>
      </w:tr>
      <w:tr>
        <w:trPr>
          <w:trHeight w:val="238"/>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3560" w:type="dxa"/>
            <w:vAlign w:val="bottom"/>
            <w:tcBorders>
              <w:right w:val="single" w:sz="8" w:color="auto"/>
            </w:tcBorders>
          </w:tcPr>
          <w:p>
            <w:pPr>
              <w:spacing w:after="0"/>
              <w:rPr>
                <w:sz w:val="20"/>
                <w:szCs w:val="20"/>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$8.71875 (112.5%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$8.4765625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$8.234375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$7.9921875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$7.75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$7.55625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$6.975 (90%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Note: Both the cumulative DCF per CUE targets set forth in the table above and the initial Threshold Leverage Ratio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68" w:lineRule="exact"/>
        <w:rPr>
          <w:sz w:val="20"/>
          <w:szCs w:val="20"/>
          <w:color w:val="auto"/>
        </w:rPr>
      </w:pPr>
    </w:p>
    <w:p>
      <w:pPr>
        <w:jc w:val="both"/>
        <w:ind w:left="648" w:hanging="324"/>
        <w:spacing w:after="0" w:line="266" w:lineRule="auto"/>
        <w:tabs>
          <w:tab w:leader="none" w:pos="6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0908"/>
          </w:cols>
          <w:pgMar w:left="652" w:top="1418" w:right="339" w:bottom="1440" w:gutter="0" w:footer="0" w:header="0"/>
        </w:sectPr>
      </w:pPr>
    </w:p>
    <w:bookmarkStart w:id="67" w:name="page68"/>
    <w:bookmarkEnd w:id="67"/>
    <w:p>
      <w:pPr>
        <w:ind w:left="980" w:right="40" w:hanging="324"/>
        <w:spacing w:after="0" w:line="282" w:lineRule="auto"/>
        <w:tabs>
          <w:tab w:leader="none" w:pos="9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divested assets that were included as divestitures in the Grant Date Plan, the Threshold Leverage Ratio target will be adjusted to reflect the leverage impact of any such divested assets based on the assumptions originally set forth in the Grant Date Plan.</w:t>
      </w:r>
    </w:p>
    <w:p>
      <w:pPr>
        <w:spacing w:after="0" w:line="54"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(including, without limitation, transactions involving changes to the Company’s capital structure).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Illustrative Examples (based on an assumed target number of Tranche 3 Phantom Units of 1,000 and based on an assumed Threshold Leverage Ratio of 3.0x, which is the Leverage Ratio that is equal to the upper end of PAA’s current target Leverage Ratio range of 2.5x to 3.0x):</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Leverage Ratio as of June</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DCF Payout Percentage / Number of Units Vesting</w:t>
            </w:r>
          </w:p>
        </w:tc>
      </w:tr>
      <w:tr>
        <w:trPr>
          <w:trHeight w:val="279"/>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Over the Performance Period</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(Impact of Leverage Modifier)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$8.71875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$8.71875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175%</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1,750 units (DCF Payout Percentage reduced by 25 gross percentage points)</w:t>
            </w: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75% / 750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25% / 250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60"/>
          </w:cols>
          <w:pgMar w:left="320" w:top="1417"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13335</wp:posOffset>
            </wp:positionV>
            <wp:extent cx="2305685" cy="557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2024 ANNUAL DIRECTOR GRANT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15,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«Zip»</w:t>
      </w:r>
    </w:p>
    <w:p>
      <w:pPr>
        <w:spacing w:after="0" w:line="22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Class A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 am pleased to inform you that you have been granted 7,650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208" w:lineRule="exact"/>
        <w:rPr>
          <w:sz w:val="20"/>
          <w:szCs w:val="20"/>
          <w:color w:val="auto"/>
        </w:rPr>
      </w:pPr>
    </w:p>
    <w:p>
      <w:pPr>
        <w:ind w:left="660" w:hanging="328"/>
        <w:spacing w:after="0" w:line="284"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Phantom Class A Shares shall vest (become payable in the form of one Class A Share of PAGP for each Phantom Class A Share that vests) on the August 2025 Distribution Date.</w:t>
      </w:r>
    </w:p>
    <w:p>
      <w:pPr>
        <w:spacing w:after="0" w:line="170"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DERs shall be payable in cash substantially contemporaneously with each Distribution Date.</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vesting of any Phantom Class A Shares, an equal number of DERs shall expire.</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forfeiture of Phantom Class A Shares, an equal number of DERs shall expire.</w:t>
      </w:r>
    </w:p>
    <w:p>
      <w:pPr>
        <w:spacing w:after="0" w:line="260"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0080"/>
        </w:rPr>
        <w:t xml:space="preserve">333 Clay Street, Suite 1600 </w:t>
      </w:r>
      <w:r>
        <w:rPr>
          <w:rFonts w:ascii="Times New Roman" w:cs="Times New Roman" w:eastAsia="Times New Roman" w:hAnsi="Times New Roman"/>
          <w:sz w:val="17"/>
          <w:szCs w:val="17"/>
          <w:b w:val="1"/>
          <w:bCs w:val="1"/>
          <w:color w:val="000080"/>
        </w:rPr>
        <w:t>■</w:t>
      </w:r>
      <w:r>
        <w:rPr>
          <w:rFonts w:ascii="Times New Roman" w:cs="Times New Roman" w:eastAsia="Times New Roman" w:hAnsi="Times New Roman"/>
          <w:sz w:val="20"/>
          <w:szCs w:val="20"/>
          <w:color w:val="000080"/>
        </w:rPr>
        <w:t xml:space="preserve"> Houston, Texas 77002 </w:t>
      </w:r>
      <w:r>
        <w:rPr>
          <w:rFonts w:ascii="Times New Roman" w:cs="Times New Roman" w:eastAsia="Times New Roman" w:hAnsi="Times New Roman"/>
          <w:sz w:val="17"/>
          <w:szCs w:val="17"/>
          <w:b w:val="1"/>
          <w:bCs w:val="1"/>
          <w:color w:val="000080"/>
        </w:rPr>
        <w:t>■</w:t>
      </w:r>
      <w:r>
        <w:rPr>
          <w:rFonts w:ascii="Times New Roman" w:cs="Times New Roman" w:eastAsia="Times New Roman" w:hAnsi="Times New Roman"/>
          <w:sz w:val="20"/>
          <w:szCs w:val="20"/>
          <w:color w:val="000080"/>
        </w:rPr>
        <w:t xml:space="preserve"> 713/646-4100 or 800-564-3036</w:t>
      </w:r>
    </w:p>
    <w:p>
      <w:pPr>
        <w:sectPr>
          <w:pgSz w:w="11900" w:h="16838" w:orient="portrait"/>
          <w:cols w:equalWidth="0" w:num="1">
            <w:col w:w="11240"/>
          </w:cols>
          <w:pgMar w:left="320" w:top="122" w:right="339" w:bottom="1440" w:gutter="0" w:footer="0" w:header="0"/>
        </w:sectPr>
      </w:pPr>
    </w:p>
    <w:bookmarkStart w:id="69" w:name="page70"/>
    <w:bookmarkEnd w:id="69"/>
    <w:p>
      <w:pPr>
        <w:jc w:val="center"/>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«FirstName» «LastName»</w:t>
        <w:tab/>
        <w:t>- 2 -</w:t>
      </w:r>
      <w:r>
        <w:rPr>
          <w:sz w:val="20"/>
          <w:szCs w:val="20"/>
          <w:color w:val="auto"/>
        </w:rPr>
        <w:tab/>
      </w:r>
      <w:r>
        <w:rPr>
          <w:rFonts w:ascii="Times New Roman" w:cs="Times New Roman" w:eastAsia="Times New Roman" w:hAnsi="Times New Roman"/>
          <w:sz w:val="21"/>
          <w:szCs w:val="21"/>
          <w:color w:val="auto"/>
        </w:rPr>
        <w:t>August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hanging="328"/>
        <w:spacing w:after="0" w:line="253"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5"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85" w:lineRule="exact"/>
        <w:rPr>
          <w:sz w:val="20"/>
          <w:szCs w:val="20"/>
          <w:color w:val="auto"/>
        </w:rPr>
      </w:pPr>
    </w:p>
    <w:p>
      <w:pPr>
        <w:jc w:val="both"/>
        <w:ind w:firstLine="286"/>
        <w:spacing w:after="0" w:line="252" w:lineRule="auto"/>
        <w:rPr>
          <w:sz w:val="20"/>
          <w:szCs w:val="20"/>
          <w:color w:val="auto"/>
        </w:rPr>
      </w:pPr>
      <w:r>
        <w:rPr>
          <w:rFonts w:ascii="Times New Roman" w:cs="Times New Roman" w:eastAsia="Times New Roman" w:hAnsi="Times New Roman"/>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06" w:lineRule="exact"/>
        <w:rPr>
          <w:sz w:val="20"/>
          <w:szCs w:val="20"/>
          <w:color w:val="auto"/>
        </w:rPr>
      </w:pPr>
    </w:p>
    <w:p>
      <w:pPr>
        <w:jc w:val="both"/>
        <w:ind w:firstLine="236"/>
        <w:spacing w:after="0" w:line="265" w:lineRule="auto"/>
        <w:rPr>
          <w:sz w:val="20"/>
          <w:szCs w:val="20"/>
          <w:color w:val="auto"/>
        </w:rPr>
      </w:pPr>
      <w:r>
        <w:rPr>
          <w:rFonts w:ascii="Times New Roman" w:cs="Times New Roman" w:eastAsia="Times New Roman" w:hAnsi="Times New Roman"/>
          <w:sz w:val="21"/>
          <w:szCs w:val="21"/>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12" w:right="339" w:bottom="1440" w:gutter="0" w:footer="0" w:header="0"/>
        </w:sectPr>
      </w:pPr>
    </w:p>
    <w:bookmarkStart w:id="70" w:name="page71"/>
    <w:bookmarkEnd w:id="70"/>
    <w:p>
      <w:pPr>
        <w:jc w:val="center"/>
        <w:ind w:right="20"/>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«FirstName» «LastName»</w:t>
        <w:tab/>
        <w:t>- 3 -</w:t>
      </w:r>
      <w:r>
        <w:rPr>
          <w:sz w:val="20"/>
          <w:szCs w:val="20"/>
          <w:color w:val="auto"/>
        </w:rPr>
        <w:tab/>
      </w:r>
      <w:r>
        <w:rPr>
          <w:rFonts w:ascii="Times New Roman" w:cs="Times New Roman" w:eastAsia="Times New Roman" w:hAnsi="Times New Roman"/>
          <w:sz w:val="21"/>
          <w:szCs w:val="21"/>
          <w:color w:val="auto"/>
        </w:rPr>
        <w:t>August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PAA GP HOLDINGS LLC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Richard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13716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Phantom Class A Shares: 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-13970</wp:posOffset>
            </wp:positionV>
            <wp:extent cx="4457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Designation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3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98"/>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36"/>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12"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GP Holdings,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8, 2024</w:t>
      </w:r>
    </w:p>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8,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0"/>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1)"/>
      <w:numFmt w:val="lowerRoman"/>
      <w:start w:val="5"/>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4"/>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lvl w:ilvl="1">
      <w:lvlJc w:val="left"/>
      <w:lvlText w:val="%2."/>
      <w:numFmt w:val="lowerLetter"/>
      <w:start w:val="1"/>
    </w:lvl>
  </w:abstractNum>
  <w:abstractNum w:abstractNumId="37">
    <w:nsid w:val="684A481A"/>
    <w:multiLevelType w:val="hybridMultilevel"/>
    <w:lvl w:ilvl="0">
      <w:lvlJc w:val="left"/>
      <w:lvlText w:val="%1"/>
      <w:numFmt w:val="decimal"/>
      <w:start w:val="1"/>
    </w:lvl>
    <w:lvl w:ilvl="1">
      <w:lvlJc w:val="left"/>
      <w:lvlText w:val="%2."/>
      <w:numFmt w:val="lowerLetter"/>
      <w:start w:val="2"/>
    </w:lvl>
  </w:abstractNum>
  <w:abstractNum w:abstractNumId="38">
    <w:nsid w:val="579478FE"/>
    <w:multiLevelType w:val="hybridMultilevel"/>
    <w:lvl w:ilvl="0">
      <w:lvlJc w:val="left"/>
      <w:lvlText w:val="%1."/>
      <w:numFmt w:val="decimal"/>
      <w:start w:val="3"/>
    </w:lvl>
    <w:lvl w:ilvl="1">
      <w:lvlJc w:val="left"/>
      <w:lvlText w:val="%2"/>
      <w:numFmt w:val="lowerLetter"/>
      <w:start w:val="1"/>
    </w:lvl>
  </w:abstractNum>
  <w:abstractNum w:abstractNumId="39">
    <w:nsid w:val="749ABB43"/>
    <w:multiLevelType w:val="hybridMultilevel"/>
    <w:lvl w:ilvl="0">
      <w:lvlJc w:val="left"/>
      <w:lvlText w:val="%1."/>
      <w:numFmt w:val="decimal"/>
      <w:start w:val="6"/>
    </w:lvl>
    <w:lvl w:ilvl="1">
      <w:lvlJc w:val="left"/>
      <w:lvlText w:val="(%2)"/>
      <w:numFmt w:val="lowerLetter"/>
      <w:start w:val="25"/>
    </w:lvl>
  </w:abstractNum>
  <w:abstractNum w:abstractNumId="40">
    <w:nsid w:val="3DC240FB"/>
    <w:multiLevelType w:val="hybridMultilevel"/>
    <w:lvl w:ilvl="0">
      <w:lvlJc w:val="left"/>
      <w:lvlText w:val="(%1)"/>
      <w:numFmt w:val="lowerRoman"/>
      <w:start w:val="1"/>
    </w:lvl>
  </w:abstractNum>
  <w:abstractNum w:abstractNumId="41">
    <w:nsid w:val="1BA026FA"/>
    <w:multiLevelType w:val="hybridMultilevel"/>
    <w:lvl w:ilvl="0">
      <w:lvlJc w:val="left"/>
      <w:lvlText w:val="1"/>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3"/>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lowerRoman"/>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2" Type="http://schemas.openxmlformats.org/officeDocument/2006/relationships/image" Target="media/image70.png"/><Relationship Id="rId106"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jpe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jpe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77" Type="http://schemas.openxmlformats.org/officeDocument/2006/relationships/hyperlink" Target="https://www.sec.gov/Archives/edgar/data/1581990/000104746913007875/a2216069zex-3_1.htm" TargetMode="External"/><Relationship Id="rId78" Type="http://schemas.openxmlformats.org/officeDocument/2006/relationships/hyperlink" Target="https://www.sec.gov/Archives/edgar/data/1581990/000110465916158356/a16-21845_1ex3d2.htm" TargetMode="External"/><Relationship Id="rId79" Type="http://schemas.openxmlformats.org/officeDocument/2006/relationships/hyperlink" Target="https://www.sec.gov/Archives/edgar/data/1581990/000158199020000012/exhibit31.htm" TargetMode="External"/><Relationship Id="rId80" Type="http://schemas.openxmlformats.org/officeDocument/2006/relationships/hyperlink" Target="https://www.sec.gov/Archives/edgar/data/1581990/000104746913007875/a2216069zex-3_3.htm" TargetMode="External"/><Relationship Id="rId81" Type="http://schemas.openxmlformats.org/officeDocument/2006/relationships/hyperlink" Target="https://www.sec.gov/Archives/edgar/data/1581990/000158199022000006/pagp202110-kexhibit311a.htm" TargetMode="External"/><Relationship Id="rId82" Type="http://schemas.openxmlformats.org/officeDocument/2006/relationships/hyperlink" Target="https://www.sec.gov/Archives/edgar/data/1070423/000110465917061889/a17-22685_5ex3d1.htm" TargetMode="External"/><Relationship Id="rId83" Type="http://schemas.openxmlformats.org/officeDocument/2006/relationships/hyperlink" Target="https://www.sec.gov/Archives/edgar/data/1581990/000110465916158356/a16-21845_1ex3d3.htm" TargetMode="External"/><Relationship Id="rId84" Type="http://schemas.openxmlformats.org/officeDocument/2006/relationships/hyperlink" Target="https://www.sec.gov/Archives/edgar/data/1581990/000110465916158356/a16-21845_1ex3d4.htm" TargetMode="External"/><Relationship Id="rId85" Type="http://schemas.openxmlformats.org/officeDocument/2006/relationships/hyperlink" Target="https://www.sec.gov/Archives/edgar/data/1581990/000110465918060012/a18-36197_1ex3d1.htm" TargetMode="External"/><Relationship Id="rId86" Type="http://schemas.openxmlformats.org/officeDocument/2006/relationships/hyperlink" Target="https://www.sec.gov/Archives/edgar/data/1581990/000110465919032813/a19-10857_1ex3d1.htm" TargetMode="External"/><Relationship Id="rId87" Type="http://schemas.openxmlformats.org/officeDocument/2006/relationships/hyperlink" Target="https://www.sec.gov/Archives/edgar/data/1581990/000110465923093996/tm2324102d2_ex3-1.htm" TargetMode="External"/><Relationship Id="rId88" Type="http://schemas.openxmlformats.org/officeDocument/2006/relationships/hyperlink" Target="https://www.sec.gov/Archives/edgar/data/1070423/000095012908000071/h52770exv3w3.htm" TargetMode="External"/><Relationship Id="rId89" Type="http://schemas.openxmlformats.org/officeDocument/2006/relationships/hyperlink" Target="https://www.sec.gov/Archives/edgar/data/1070423/000089924302002834/dex41.txt" TargetMode="External"/><Relationship Id="rId90" Type="http://schemas.openxmlformats.org/officeDocument/2006/relationships/hyperlink" Target="https://www.sec.gov/Archives/edgar/data/1070423/000110465906034368/a06-11663_1ex4d1.htm" TargetMode="External"/><Relationship Id="rId91" Type="http://schemas.openxmlformats.org/officeDocument/2006/relationships/hyperlink" Target="https://www.sec.gov/Archives/edgar/data/1070423/000095012906009235/h40667exv4w2.htm" TargetMode="External"/><Relationship Id="rId93" Type="http://schemas.openxmlformats.org/officeDocument/2006/relationships/hyperlink" Target="https://www.sec.gov/Archives/edgar/data/1070423/000119312512132295/d321017dex43.htm" TargetMode="External"/><Relationship Id="rId94" Type="http://schemas.openxmlformats.org/officeDocument/2006/relationships/hyperlink" Target="https://www.sec.gov/Archives/edgar/data/1070423/000119312512499932/d453762dex43.htm" TargetMode="External"/><Relationship Id="rId95" Type="http://schemas.openxmlformats.org/officeDocument/2006/relationships/hyperlink" Target="https://www.sec.gov/Archives/edgar/data/1581990/000119312514164185/d717953dex41.htm" TargetMode="External"/><Relationship Id="rId96" Type="http://schemas.openxmlformats.org/officeDocument/2006/relationships/hyperlink" Target="https://www.sec.gov/Archives/edgar/data/1581990/000119312514338295/d787197dex41.htm" TargetMode="External"/><Relationship Id="rId97" Type="http://schemas.openxmlformats.org/officeDocument/2006/relationships/hyperlink" Target="https://www.sec.gov/Archives/edgar/data/1581990/000119312514440012/d835488dex43.htm" TargetMode="External"/><Relationship Id="rId98" Type="http://schemas.openxmlformats.org/officeDocument/2006/relationships/hyperlink" Target="https://www.sec.gov/Archives/edgar/data/1070423/000119312515302829/d45393dex41.htm" TargetMode="External"/><Relationship Id="rId99" Type="http://schemas.openxmlformats.org/officeDocument/2006/relationships/hyperlink" Target="https://www.sec.gov/Archives/edgar/data/1070423/000110465916159593/a16-22232_1ex4d1.htm" TargetMode="External"/><Relationship Id="rId100" Type="http://schemas.openxmlformats.org/officeDocument/2006/relationships/hyperlink" Target="https://www.sec.gov/Archives/edgar/data/1070423/000141057819001281/tv529555_ex4-1.htm" TargetMode="External"/><Relationship Id="rId101" Type="http://schemas.openxmlformats.org/officeDocument/2006/relationships/hyperlink" Target="https://www.sec.gov/Archives/edgar/data/1070423/000110465920072270/tm2022235d1_ex4-1.htm" TargetMode="External"/><Relationship Id="rId102" Type="http://schemas.openxmlformats.org/officeDocument/2006/relationships/hyperlink" Target="https://www.sec.gov/Archives/edgar/data/1070423/000110465924075672/tm2418387d1_ex4-1.htm" TargetMode="External"/><Relationship Id="rId103" Type="http://schemas.openxmlformats.org/officeDocument/2006/relationships/hyperlink" Target="https://www.sec.gov/Archives/edgar/data/1581990/000110465913078057/a13-22338_2ex4d1.htm" TargetMode="External"/><Relationship Id="rId104" Type="http://schemas.openxmlformats.org/officeDocument/2006/relationships/hyperlink" Target="https://www.sec.gov/Archives/edgar/data/1581990/000158199024000008/pagp202310-kexhibit414.htm" TargetMode="External"/><Relationship Id="rId105" Type="http://schemas.openxmlformats.org/officeDocument/2006/relationships/hyperlink" Target="https://www.sec.gov/Archives/edgar/data/1581990/000110465924092058/tm2422215d1_ex10-1.htm" TargetMode="External"/><Relationship Id="rId107" Type="http://schemas.openxmlformats.org/officeDocument/2006/relationships/hyperlink" Target="https://www.sec.gov/Archives/edgar/data/1581990/000110465924092058/tm242221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2024-11-08T14:46:46Z</dcterms:created>
  <dcterms:modified xsi:type="dcterms:W3CDTF">2024-11-08T14:46:46Z</dcterms:modified>
</cp:coreProperties>
</file>