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920" w:right="2020" w:hanging="3912"/>
        <w:spacing w:after="0" w:line="274" w:lineRule="auto"/>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1-14569</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PLAINS ALL AMERICAN PIPELINE, L.P.</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3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3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tcPr>
          <w:p>
            <w:pPr>
              <w:jc w:val="right"/>
              <w:ind w:right="1590"/>
              <w:spacing w:after="0"/>
              <w:rPr>
                <w:sz w:val="20"/>
                <w:szCs w:val="20"/>
                <w:color w:val="auto"/>
              </w:rPr>
            </w:pPr>
            <w:r>
              <w:rPr>
                <w:rFonts w:ascii="Arial" w:cs="Arial" w:eastAsia="Arial" w:hAnsi="Arial"/>
                <w:sz w:val="14"/>
                <w:szCs w:val="14"/>
                <w:b w:val="1"/>
                <w:bCs w:val="1"/>
                <w:color w:val="auto"/>
              </w:rPr>
              <w:t>76-0582150</w:t>
            </w:r>
          </w:p>
        </w:tc>
      </w:tr>
      <w:tr>
        <w:trPr>
          <w:trHeight w:val="203"/>
        </w:trPr>
        <w:tc>
          <w:tcPr>
            <w:tcW w:w="3960" w:type="dxa"/>
            <w:vAlign w:val="bottom"/>
            <w:gridSpan w:val="3"/>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jc w:val="center"/>
              <w:ind w:right="850"/>
              <w:spacing w:after="0"/>
              <w:rPr>
                <w:sz w:val="20"/>
                <w:szCs w:val="20"/>
                <w:color w:val="auto"/>
              </w:rPr>
            </w:pPr>
            <w:r>
              <w:rPr>
                <w:rFonts w:ascii="Arial" w:cs="Arial" w:eastAsia="Arial" w:hAnsi="Arial"/>
                <w:sz w:val="14"/>
                <w:szCs w:val="14"/>
                <w:color w:val="auto"/>
                <w:w w:val="96"/>
              </w:rPr>
              <w:t>(I.R.S. Employer Identification No.)</w:t>
            </w:r>
          </w:p>
        </w:tc>
      </w:tr>
      <w:tr>
        <w:trPr>
          <w:trHeight w:val="297"/>
        </w:trPr>
        <w:tc>
          <w:tcPr>
            <w:tcW w:w="3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jc w:val="right"/>
              <w:ind w:right="1750"/>
              <w:spacing w:after="0"/>
              <w:rPr>
                <w:sz w:val="20"/>
                <w:szCs w:val="20"/>
                <w:color w:val="auto"/>
              </w:rPr>
            </w:pPr>
            <w:r>
              <w:rPr>
                <w:rFonts w:ascii="Arial" w:cs="Arial" w:eastAsia="Arial" w:hAnsi="Arial"/>
                <w:sz w:val="14"/>
                <w:szCs w:val="14"/>
                <w:b w:val="1"/>
                <w:bCs w:val="1"/>
                <w:color w:val="auto"/>
              </w:rPr>
              <w:t>77002</w:t>
            </w:r>
          </w:p>
        </w:tc>
      </w:tr>
      <w:tr>
        <w:trPr>
          <w:trHeight w:val="203"/>
        </w:trPr>
        <w:tc>
          <w:tcPr>
            <w:tcW w:w="3960" w:type="dxa"/>
            <w:vAlign w:val="bottom"/>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jc w:val="center"/>
              <w:ind w:right="850"/>
              <w:spacing w:after="0"/>
              <w:rPr>
                <w:sz w:val="20"/>
                <w:szCs w:val="20"/>
                <w:color w:val="auto"/>
              </w:rPr>
            </w:pPr>
            <w:r>
              <w:rPr>
                <w:rFonts w:ascii="Arial" w:cs="Arial" w:eastAsia="Arial" w:hAnsi="Arial"/>
                <w:sz w:val="14"/>
                <w:szCs w:val="14"/>
                <w:color w:val="auto"/>
                <w:w w:val="96"/>
              </w:rPr>
              <w:t>(Zip Code)</w:t>
            </w:r>
          </w:p>
        </w:tc>
      </w:tr>
      <w:tr>
        <w:trPr>
          <w:trHeight w:val="526"/>
        </w:trPr>
        <w:tc>
          <w:tcPr>
            <w:tcW w:w="9500" w:type="dxa"/>
            <w:vAlign w:val="bottom"/>
            <w:gridSpan w:val="7"/>
          </w:tcPr>
          <w:p>
            <w:pPr>
              <w:jc w:val="center"/>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(713) 646-4100</w:t>
            </w:r>
          </w:p>
        </w:tc>
      </w:tr>
      <w:tr>
        <w:trPr>
          <w:trHeight w:val="216"/>
        </w:trPr>
        <w:tc>
          <w:tcPr>
            <w:tcW w:w="3060" w:type="dxa"/>
            <w:vAlign w:val="bottom"/>
          </w:tcPr>
          <w:p>
            <w:pPr>
              <w:spacing w:after="0"/>
              <w:rPr>
                <w:sz w:val="18"/>
                <w:szCs w:val="18"/>
                <w:color w:val="auto"/>
              </w:rPr>
            </w:pPr>
          </w:p>
        </w:tc>
        <w:tc>
          <w:tcPr>
            <w:tcW w:w="336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080" w:type="dxa"/>
            <w:vAlign w:val="bottom"/>
          </w:tcPr>
          <w:p>
            <w:pPr>
              <w:spacing w:after="0"/>
              <w:rPr>
                <w:sz w:val="18"/>
                <w:szCs w:val="18"/>
                <w:color w:val="auto"/>
              </w:rPr>
            </w:pPr>
          </w:p>
        </w:tc>
      </w:tr>
      <w:tr>
        <w:trPr>
          <w:trHeight w:val="303"/>
        </w:trPr>
        <w:tc>
          <w:tcPr>
            <w:tcW w:w="396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8"/>
              </w:rPr>
              <w:t>Title of Each Class</w:t>
            </w:r>
          </w:p>
        </w:tc>
        <w:tc>
          <w:tcPr>
            <w:tcW w:w="246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87"/>
              </w:rPr>
              <w:t>Trading 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82"/>
        </w:trPr>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Common Units</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jc w:val="center"/>
              <w:ind w:right="713"/>
              <w:spacing w:after="0"/>
              <w:rPr>
                <w:sz w:val="20"/>
                <w:szCs w:val="20"/>
                <w:color w:val="auto"/>
              </w:rPr>
            </w:pPr>
            <w:r>
              <w:rPr>
                <w:rFonts w:ascii="Arial" w:cs="Arial" w:eastAsia="Arial" w:hAnsi="Arial"/>
                <w:sz w:val="14"/>
                <w:szCs w:val="14"/>
                <w:color w:val="auto"/>
                <w:w w:val="99"/>
              </w:rPr>
              <w:t>PAA</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4" w:lineRule="exact"/>
        <w:rPr>
          <w:sz w:val="24"/>
          <w:szCs w:val="24"/>
          <w:color w:val="auto"/>
        </w:rPr>
      </w:pPr>
    </w:p>
    <w:p>
      <w:pPr>
        <w:ind w:left="340" w:right="31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0" w:firstLine="324"/>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40" w:type="dxa"/>
        <w:tblCellMar>
          <w:top w:w="0" w:type="dxa"/>
          <w:left w:w="0" w:type="dxa"/>
          <w:bottom w:w="0" w:type="dxa"/>
          <w:right w:w="0" w:type="dxa"/>
        </w:tblCellMar>
      </w:tblPr>
      <w:tr>
        <w:trPr>
          <w:trHeight w:val="226"/>
        </w:trPr>
        <w:tc>
          <w:tcPr>
            <w:tcW w:w="3400" w:type="dxa"/>
            <w:vAlign w:val="bottom"/>
            <w:vMerge w:val="restart"/>
          </w:tcPr>
          <w:p>
            <w:pPr>
              <w:jc w:val="center"/>
              <w:ind w:right="186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720" w:type="dxa"/>
            <w:vAlign w:val="bottom"/>
          </w:tcPr>
          <w:p>
            <w:pPr>
              <w:jc w:val="center"/>
              <w:ind w:left="188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0" w:type="dxa"/>
            <w:vAlign w:val="bottom"/>
          </w:tcPr>
          <w:p>
            <w:pPr>
              <w:jc w:val="center"/>
              <w:ind w:right="186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720" w:type="dxa"/>
            <w:vAlign w:val="bottom"/>
          </w:tcPr>
          <w:p>
            <w:pPr>
              <w:jc w:val="center"/>
              <w:ind w:left="1888"/>
              <w:spacing w:after="0" w:line="161" w:lineRule="exact"/>
              <w:rPr>
                <w:sz w:val="20"/>
                <w:szCs w:val="20"/>
                <w:color w:val="auto"/>
              </w:rPr>
            </w:pPr>
            <w:r>
              <w:rPr>
                <w:rFonts w:ascii="Arial" w:cs="Arial" w:eastAsia="Arial" w:hAnsi="Arial"/>
                <w:sz w:val="14"/>
                <w:szCs w:val="14"/>
                <w:color w:val="auto"/>
                <w:w w:val="95"/>
              </w:rPr>
              <w:t xml:space="preserve">Smaller reporting company </w:t>
            </w:r>
            <w:r>
              <w:rPr>
                <w:rFonts w:ascii="MS PGothic" w:cs="MS PGothic" w:eastAsia="MS PGothic" w:hAnsi="MS PGothic"/>
                <w:sz w:val="14"/>
                <w:szCs w:val="14"/>
                <w:color w:val="auto"/>
                <w:w w:val="95"/>
              </w:rPr>
              <w:t>☐</w:t>
            </w:r>
          </w:p>
        </w:tc>
        <w:tc>
          <w:tcPr>
            <w:tcW w:w="0" w:type="dxa"/>
            <w:vAlign w:val="bottom"/>
          </w:tcPr>
          <w:p>
            <w:pPr>
              <w:spacing w:after="0"/>
              <w:rPr>
                <w:sz w:val="1"/>
                <w:szCs w:val="1"/>
                <w:color w:val="auto"/>
              </w:rPr>
            </w:pPr>
          </w:p>
        </w:tc>
      </w:tr>
      <w:tr>
        <w:trPr>
          <w:trHeight w:val="337"/>
        </w:trPr>
        <w:tc>
          <w:tcPr>
            <w:tcW w:w="3400" w:type="dxa"/>
            <w:vAlign w:val="bottom"/>
          </w:tcPr>
          <w:p>
            <w:pPr>
              <w:spacing w:after="0"/>
              <w:rPr>
                <w:sz w:val="24"/>
                <w:szCs w:val="24"/>
                <w:color w:val="auto"/>
              </w:rPr>
            </w:pPr>
          </w:p>
        </w:tc>
        <w:tc>
          <w:tcPr>
            <w:tcW w:w="3720" w:type="dxa"/>
            <w:vAlign w:val="bottom"/>
          </w:tcPr>
          <w:p>
            <w:pPr>
              <w:jc w:val="center"/>
              <w:ind w:left="1888"/>
              <w:spacing w:after="0" w:line="161" w:lineRule="exact"/>
              <w:rPr>
                <w:sz w:val="20"/>
                <w:szCs w:val="20"/>
                <w:color w:val="auto"/>
              </w:rPr>
            </w:pPr>
            <w:r>
              <w:rPr>
                <w:rFonts w:ascii="Arial" w:cs="Arial" w:eastAsia="Arial" w:hAnsi="Arial"/>
                <w:sz w:val="14"/>
                <w:szCs w:val="14"/>
                <w:color w:val="auto"/>
                <w:w w:val="95"/>
              </w:rPr>
              <w:t xml:space="preserve">Emerging growth company </w:t>
            </w:r>
            <w:r>
              <w:rPr>
                <w:rFonts w:ascii="MS PGothic" w:cs="MS PGothic" w:eastAsia="MS PGothic" w:hAnsi="MS PGothic"/>
                <w:sz w:val="14"/>
                <w:szCs w:val="14"/>
                <w:color w:val="auto"/>
                <w:w w:val="95"/>
              </w:rPr>
              <w:t>☐</w:t>
            </w: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320" w:firstLine="324"/>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260" w:firstLine="324"/>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firstLine="324"/>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4"/>
          <w:szCs w:val="14"/>
          <w:color w:val="auto"/>
        </w:rPr>
        <w:t>The aggregate market value of the approximately 451.4 million Common Units held by non-affiliates of the registrant (treating all executive officers and directors of the registrant and holders of 10% or more of the Common Units outstanding, for this purpose, as if they are affiliates of the registrant) on June 30, 2022 was approximately $4.4 billion, based on a closing price of $9.82 per Common Unit as reported on the Nasdaq Global Select Market on such date.</w:t>
      </w:r>
    </w:p>
    <w:p>
      <w:pPr>
        <w:spacing w:after="0" w:line="8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14, 2023, there were 698,390,006 Common Units outstanding.</w:t>
      </w:r>
    </w:p>
    <w:p>
      <w:pPr>
        <w:spacing w:after="0" w:line="11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180"/>
          </w:cols>
          <w:pgMar w:left="320" w:top="238" w:right="399" w:bottom="1440" w:gutter="0" w:footer="0" w:header="0"/>
        </w:sectPr>
      </w:pPr>
    </w:p>
    <w:p>
      <w:pPr>
        <w:spacing w:after="0" w:line="79" w:lineRule="exact"/>
        <w:rPr>
          <w:sz w:val="24"/>
          <w:szCs w:val="24"/>
          <w:color w:val="auto"/>
        </w:rPr>
      </w:pPr>
    </w:p>
    <w:p>
      <w:pPr>
        <w:jc w:val="center"/>
        <w:ind w:left="80" w:right="20"/>
        <w:spacing w:after="0" w:line="262"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2023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10-K—2022 ANNUAL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ind w:right="5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60" w:type="dxa"/>
            <w:vAlign w:val="bottom"/>
            <w:gridSpan w:val="13"/>
            <w:vMerge w:val="restart"/>
          </w:tcPr>
          <w:p>
            <w:pPr>
              <w:jc w:val="center"/>
              <w:ind w:right="3880"/>
              <w:spacing w:after="0" w:line="195" w:lineRule="exact"/>
              <w:rPr>
                <w:sz w:val="20"/>
                <w:szCs w:val="20"/>
                <w:color w:val="auto"/>
              </w:rPr>
            </w:pPr>
            <w:r>
              <w:rPr>
                <w:rFonts w:ascii="Arial" w:cs="Arial" w:eastAsia="Arial" w:hAnsi="Arial"/>
                <w:sz w:val="18"/>
                <w:szCs w:val="18"/>
                <w:b w:val="1"/>
                <w:bCs w:val="1"/>
                <w:color w:val="0000FF"/>
                <w:w w:val="98"/>
              </w:rPr>
              <w:t>PART I</w:t>
            </w: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60" w:type="dxa"/>
            <w:vAlign w:val="bottom"/>
            <w:gridSpan w:val="13"/>
            <w:vMerge w:val="continue"/>
          </w:tcPr>
          <w:p>
            <w:pPr>
              <w:spacing w:after="0"/>
              <w:rPr>
                <w:sz w:val="14"/>
                <w:szCs w:val="14"/>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93"/>
        </w:trPr>
        <w:tc>
          <w:tcPr>
            <w:tcW w:w="1200" w:type="dxa"/>
            <w:vAlign w:val="bottom"/>
            <w:gridSpan w:val="6"/>
          </w:tcPr>
          <w:p>
            <w:pPr>
              <w:spacing w:after="0"/>
              <w:rPr>
                <w:sz w:val="20"/>
                <w:szCs w:val="20"/>
                <w:color w:val="auto"/>
              </w:rPr>
            </w:pPr>
            <w:r>
              <w:rPr>
                <w:rFonts w:ascii="Arial" w:cs="Arial" w:eastAsia="Arial" w:hAnsi="Arial"/>
                <w:sz w:val="18"/>
                <w:szCs w:val="18"/>
                <w:color w:val="0000FF"/>
              </w:rPr>
              <w:t>Items 1 and 2.</w:t>
            </w:r>
          </w:p>
        </w:tc>
        <w:tc>
          <w:tcPr>
            <w:tcW w:w="4020" w:type="dxa"/>
            <w:vAlign w:val="bottom"/>
            <w:gridSpan w:val="16"/>
          </w:tcPr>
          <w:p>
            <w:pPr>
              <w:ind w:left="180"/>
              <w:spacing w:after="0"/>
              <w:rPr>
                <w:sz w:val="20"/>
                <w:szCs w:val="20"/>
                <w:color w:val="auto"/>
              </w:rPr>
            </w:pPr>
            <w:r>
              <w:rPr>
                <w:rFonts w:ascii="Arial" w:cs="Arial" w:eastAsia="Arial" w:hAnsi="Arial"/>
                <w:sz w:val="18"/>
                <w:szCs w:val="18"/>
                <w:color w:val="0000FF"/>
              </w:rPr>
              <w:t>Business and Properties</w:t>
            </w:r>
          </w:p>
        </w:tc>
        <w:tc>
          <w:tcPr>
            <w:tcW w:w="580" w:type="dxa"/>
            <w:vAlign w:val="bottom"/>
            <w:tcBorders>
              <w:top w:val="single" w:sz="8" w:color="0000FF"/>
            </w:tcBorders>
            <w:gridSpan w:val="2"/>
          </w:tcPr>
          <w:p>
            <w:pPr>
              <w:spacing w:after="0"/>
              <w:rPr>
                <w:sz w:val="24"/>
                <w:szCs w:val="24"/>
                <w:color w:val="auto"/>
              </w:rPr>
            </w:pPr>
          </w:p>
        </w:tc>
        <w:tc>
          <w:tcPr>
            <w:tcW w:w="3880" w:type="dxa"/>
            <w:vAlign w:val="bottom"/>
            <w:gridSpan w:val="11"/>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1A.</w:t>
            </w: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Risk Factors</w:t>
            </w: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1B.</w:t>
            </w: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Unresolved Staff Comments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580" w:type="dxa"/>
            <w:vAlign w:val="bottom"/>
            <w:gridSpan w:val="3"/>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80"/>
        </w:trPr>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4"/>
          </w:tcPr>
          <w:p>
            <w:pPr>
              <w:jc w:val="center"/>
              <w:ind w:right="3840"/>
              <w:spacing w:after="0"/>
              <w:rPr>
                <w:sz w:val="20"/>
                <w:szCs w:val="20"/>
                <w:color w:val="auto"/>
              </w:rPr>
            </w:pPr>
            <w:r>
              <w:rPr>
                <w:rFonts w:ascii="Arial" w:cs="Arial" w:eastAsia="Arial" w:hAnsi="Arial"/>
                <w:sz w:val="18"/>
                <w:szCs w:val="18"/>
                <w:b w:val="1"/>
                <w:bCs w:val="1"/>
                <w:color w:val="0000FF"/>
                <w:w w:val="99"/>
              </w:rPr>
              <w:t>PART II</w:t>
            </w: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0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600" w:type="dxa"/>
            <w:vAlign w:val="bottom"/>
            <w:gridSpan w:val="4"/>
          </w:tcPr>
          <w:p>
            <w:pPr>
              <w:spacing w:after="0"/>
              <w:rPr>
                <w:sz w:val="24"/>
                <w:szCs w:val="24"/>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w w:val="95"/>
              </w:rPr>
              <w:t>Market for Registrant’s Common Units, Related Unitholder Matters and Issuer Purchases of Equity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6"/>
          </w:tcPr>
          <w:p>
            <w:pPr>
              <w:spacing w:after="0"/>
              <w:rPr>
                <w:sz w:val="20"/>
                <w:szCs w:val="20"/>
                <w:color w:val="auto"/>
              </w:rPr>
            </w:pPr>
            <w:r>
              <w:rPr>
                <w:rFonts w:ascii="Arial" w:cs="Arial" w:eastAsia="Arial" w:hAnsi="Arial"/>
                <w:sz w:val="18"/>
                <w:szCs w:val="18"/>
                <w:color w:val="0000FF"/>
              </w:rPr>
              <w:t>Item 7.</w:t>
            </w: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7A.</w:t>
            </w: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rPr>
              <w:t>Item 8.</w:t>
            </w:r>
          </w:p>
        </w:tc>
        <w:tc>
          <w:tcPr>
            <w:tcW w:w="4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Financial Statements and Supplementary Data</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0000FF"/>
              </w:rPr>
              <w:t>Item 9.</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9A.</w:t>
            </w: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Controls and Procedures</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9B.</w:t>
            </w:r>
          </w:p>
        </w:tc>
        <w:tc>
          <w:tcPr>
            <w:tcW w:w="560" w:type="dxa"/>
            <w:vAlign w:val="bottom"/>
            <w:gridSpan w:val="2"/>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Other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6"/>
          </w:tcPr>
          <w:p>
            <w:pPr>
              <w:spacing w:after="0"/>
              <w:rPr>
                <w:sz w:val="20"/>
                <w:szCs w:val="20"/>
                <w:color w:val="auto"/>
              </w:rPr>
            </w:pPr>
            <w:r>
              <w:rPr>
                <w:rFonts w:ascii="Arial" w:cs="Arial" w:eastAsia="Arial" w:hAnsi="Arial"/>
                <w:sz w:val="18"/>
                <w:szCs w:val="18"/>
                <w:color w:val="0000FF"/>
              </w:rPr>
              <w:t>Item 9C.</w:t>
            </w: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5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80"/>
        </w:trPr>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380" w:type="dxa"/>
            <w:vAlign w:val="bottom"/>
            <w:tcBorders>
              <w:top w:val="single" w:sz="8" w:color="0000FF"/>
            </w:tcBorders>
          </w:tcPr>
          <w:p>
            <w:pPr>
              <w:spacing w:after="0"/>
              <w:rPr>
                <w:sz w:val="24"/>
                <w:szCs w:val="24"/>
                <w:color w:val="auto"/>
              </w:rPr>
            </w:pPr>
          </w:p>
        </w:tc>
        <w:tc>
          <w:tcPr>
            <w:tcW w:w="3400" w:type="dxa"/>
            <w:vAlign w:val="bottom"/>
            <w:gridSpan w:val="7"/>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80"/>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10.</w:t>
            </w:r>
          </w:p>
        </w:tc>
        <w:tc>
          <w:tcPr>
            <w:tcW w:w="600" w:type="dxa"/>
            <w:vAlign w:val="bottom"/>
            <w:gridSpan w:val="4"/>
          </w:tcPr>
          <w:p>
            <w:pPr>
              <w:spacing w:after="0"/>
              <w:rPr>
                <w:sz w:val="24"/>
                <w:szCs w:val="24"/>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Directors and Executive Officers of Our General Partner and Corporate Governance</w:t>
            </w: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11.</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Executive Compensation</w:t>
            </w: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12.</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Security Ownership of Certain Beneficial Owners and Management and Related Unitholder Matters</w:t>
            </w: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13.</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Principal Accountant Fees and Services</w:t>
            </w: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80"/>
        </w:trPr>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gridSpan w:val="16"/>
          </w:tcPr>
          <w:p>
            <w:pPr>
              <w:jc w:val="center"/>
              <w:ind w:right="3800"/>
              <w:spacing w:after="0"/>
              <w:rPr>
                <w:sz w:val="20"/>
                <w:szCs w:val="20"/>
                <w:color w:val="auto"/>
              </w:rPr>
            </w:pPr>
            <w:r>
              <w:rPr>
                <w:rFonts w:ascii="Arial" w:cs="Arial" w:eastAsia="Arial" w:hAnsi="Arial"/>
                <w:sz w:val="18"/>
                <w:szCs w:val="18"/>
                <w:b w:val="1"/>
                <w:bCs w:val="1"/>
                <w:color w:val="0000FF"/>
              </w:rPr>
              <w:t>PART IV</w:t>
            </w: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79"/>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15.</w:t>
            </w:r>
          </w:p>
        </w:tc>
        <w:tc>
          <w:tcPr>
            <w:tcW w:w="600" w:type="dxa"/>
            <w:vAlign w:val="bottom"/>
            <w:gridSpan w:val="4"/>
          </w:tcPr>
          <w:p>
            <w:pPr>
              <w:spacing w:after="0"/>
              <w:rPr>
                <w:sz w:val="24"/>
                <w:szCs w:val="24"/>
                <w:color w:val="auto"/>
              </w:rPr>
            </w:pPr>
          </w:p>
        </w:tc>
        <w:tc>
          <w:tcPr>
            <w:tcW w:w="3980" w:type="dxa"/>
            <w:vAlign w:val="bottom"/>
            <w:gridSpan w:val="14"/>
          </w:tcPr>
          <w:p>
            <w:pPr>
              <w:ind w:left="180"/>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tcBorders>
              <w:top w:val="single" w:sz="8" w:color="0000FF"/>
            </w:tcBorders>
            <w:gridSpan w:val="6"/>
          </w:tcPr>
          <w:p>
            <w:pPr>
              <w:spacing w:after="0"/>
              <w:rPr>
                <w:sz w:val="24"/>
                <w:szCs w:val="24"/>
                <w:color w:val="auto"/>
              </w:rPr>
            </w:pPr>
          </w:p>
        </w:tc>
        <w:tc>
          <w:tcPr>
            <w:tcW w:w="3800" w:type="dxa"/>
            <w:vAlign w:val="bottom"/>
            <w:gridSpan w:val="9"/>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16.</w:t>
            </w:r>
          </w:p>
        </w:tc>
        <w:tc>
          <w:tcPr>
            <w:tcW w:w="600" w:type="dxa"/>
            <w:vAlign w:val="bottom"/>
            <w:gridSpan w:val="4"/>
          </w:tcPr>
          <w:p>
            <w:pPr>
              <w:spacing w:after="0"/>
              <w:rPr>
                <w:sz w:val="18"/>
                <w:szCs w:val="18"/>
                <w:color w:val="auto"/>
              </w:rPr>
            </w:pPr>
          </w:p>
        </w:tc>
        <w:tc>
          <w:tcPr>
            <w:tcW w:w="8480" w:type="dxa"/>
            <w:vAlign w:val="bottom"/>
            <w:gridSpan w:val="29"/>
          </w:tcPr>
          <w:p>
            <w:pPr>
              <w:ind w:left="180"/>
              <w:spacing w:after="0"/>
              <w:rPr>
                <w:sz w:val="20"/>
                <w:szCs w:val="20"/>
                <w:color w:val="auto"/>
              </w:rPr>
            </w:pPr>
            <w:r>
              <w:rPr>
                <w:rFonts w:ascii="Arial" w:cs="Arial" w:eastAsia="Arial" w:hAnsi="Arial"/>
                <w:sz w:val="18"/>
                <w:szCs w:val="18"/>
                <w:color w:val="0000FF"/>
              </w:rPr>
              <w:t>Form 10-K Summary</w:t>
            </w:r>
          </w:p>
        </w:tc>
        <w:tc>
          <w:tcPr>
            <w:tcW w:w="15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24" w:lineRule="exact"/>
        <w:rPr>
          <w:sz w:val="20"/>
          <w:szCs w:val="20"/>
          <w:color w:val="auto"/>
        </w:rPr>
      </w:pPr>
    </w:p>
    <w:p>
      <w:pPr>
        <w:ind w:left="980" w:right="260" w:hanging="324"/>
        <w:spacing w:after="0" w:line="30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40" w:hanging="324"/>
        <w:spacing w:after="0" w:line="254"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86"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8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340" w:hanging="324"/>
        <w:spacing w:after="0" w:line="25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9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and NGL.</w:t>
      </w:r>
    </w:p>
    <w:p>
      <w:pPr>
        <w:spacing w:after="0" w:line="19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assets are owned, and our operations are conducted, directly and indirectly through our primary operating subsidiaries. As used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and unless the context indicates otherwise, the terms “Partnership,” “Plains,” “PAA,” “we,” “us,” “our,” “ours” and similar terms refer to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American Pipeline, L.P.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diagram below shows our organizational structure as of December 31, 2022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337820</wp:posOffset>
            </wp:positionV>
            <wp:extent cx="5863590" cy="7098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709803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288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 w:hanging="11"/>
        <w:spacing w:after="0" w:line="296" w:lineRule="auto"/>
        <w:rPr>
          <w:sz w:val="20"/>
          <w:szCs w:val="20"/>
          <w:color w:val="auto"/>
        </w:rPr>
      </w:pPr>
      <w:r>
        <w:rPr>
          <w:rFonts w:ascii="Arial" w:cs="Arial" w:eastAsia="Arial" w:hAnsi="Arial"/>
          <w:sz w:val="16"/>
          <w:szCs w:val="16"/>
          <w:color w:val="auto"/>
        </w:rPr>
        <w:t>Each Class C share represents a non-economic limited partner interest in PAGP.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Thus,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53" w:lineRule="exact"/>
        <w:rPr>
          <w:sz w:val="20"/>
          <w:szCs w:val="20"/>
          <w:color w:val="auto"/>
        </w:rPr>
      </w:pPr>
    </w:p>
    <w:p>
      <w:pPr>
        <w:ind w:left="4" w:right="60" w:hanging="11"/>
        <w:spacing w:after="0" w:line="291" w:lineRule="auto"/>
        <w:rPr>
          <w:sz w:val="20"/>
          <w:szCs w:val="20"/>
          <w:color w:val="auto"/>
        </w:rPr>
      </w:pPr>
      <w:r>
        <w:rPr>
          <w:rFonts w:ascii="Arial" w:cs="Arial" w:eastAsia="Arial" w:hAnsi="Arial"/>
          <w:sz w:val="16"/>
          <w:szCs w:val="16"/>
          <w:color w:val="auto"/>
        </w:rPr>
        <w:t>The Partnership holds (i) direct and indirect ownership interests in consolidated operating subsidiaries including, but not limited to, Plains Marketing, L.P., Plains Pipeline, L.P., Plains Midstream Canada ULC (“PMCULC”), Plains Oryx Permian Basin LLC (the “Permian JV”), Cactus</w:t>
      </w:r>
    </w:p>
    <w:p>
      <w:pPr>
        <w:ind w:left="4" w:right="20" w:hanging="4"/>
        <w:spacing w:after="0" w:line="253" w:lineRule="auto"/>
        <w:tabs>
          <w:tab w:leader="none" w:pos="1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900" w:h="16838" w:orient="portrait"/>
          <w:cols w:equalWidth="0" w:num="2">
            <w:col w:w="140" w:space="516"/>
            <w:col w:w="10564"/>
          </w:cols>
          <w:pgMar w:left="320" w:top="130"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106" w:lineRule="exact"/>
        <w:rPr>
          <w:sz w:val="20"/>
          <w:szCs w:val="20"/>
          <w:color w:val="auto"/>
        </w:rPr>
      </w:pPr>
    </w:p>
    <w:p>
      <w:pPr>
        <w:ind w:left="1060" w:right="400" w:hanging="404"/>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operational excellence, continuous improvement and running a safe, reliable, and environmentally and socially responsible operation;</w:t>
      </w:r>
    </w:p>
    <w:p>
      <w:pPr>
        <w:spacing w:after="0" w:line="62" w:lineRule="exact"/>
        <w:rPr>
          <w:rFonts w:ascii="Arial" w:cs="Arial" w:eastAsia="Arial" w:hAnsi="Arial"/>
          <w:sz w:val="18"/>
          <w:szCs w:val="18"/>
          <w:color w:val="auto"/>
        </w:rPr>
      </w:pPr>
    </w:p>
    <w:p>
      <w:pPr>
        <w:ind w:left="1060" w:right="220" w:hanging="404"/>
        <w:spacing w:after="0" w:line="263"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our well positioned network of midstream infrastructure in conjunction with our commercial capabilities to provide our customers with market access, flexibility and value chain solutions, capture market opportunities, address physical market imbalances, mitigate risks and generate and grow sustainable cash flow and margin;</w:t>
      </w:r>
    </w:p>
    <w:p>
      <w:pPr>
        <w:spacing w:after="0" w:line="75" w:lineRule="exact"/>
        <w:rPr>
          <w:rFonts w:ascii="Arial" w:cs="Arial" w:eastAsia="Arial" w:hAnsi="Arial"/>
          <w:sz w:val="18"/>
          <w:szCs w:val="18"/>
          <w:color w:val="auto"/>
        </w:rPr>
      </w:pPr>
    </w:p>
    <w:p>
      <w:pPr>
        <w:ind w:left="1060" w:right="160" w:hanging="404"/>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and enhancing our asset portfolio and operations (through disciplined and accretive capital investments and through the pursuit of emerging energy opportunities) to maximize returns on invested capital; and</w:t>
      </w:r>
    </w:p>
    <w:p>
      <w:pPr>
        <w:spacing w:after="0" w:line="62" w:lineRule="exact"/>
        <w:rPr>
          <w:rFonts w:ascii="Arial" w:cs="Arial" w:eastAsia="Arial" w:hAnsi="Arial"/>
          <w:sz w:val="18"/>
          <w:szCs w:val="18"/>
          <w:color w:val="auto"/>
        </w:rPr>
      </w:pPr>
    </w:p>
    <w:p>
      <w:pPr>
        <w:ind w:left="1060" w:right="180" w:hanging="404"/>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9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believe successful execution of this strategy will enable us to generate and grow sustainable earnings and cash flow, and will position us to maintain an investment grade credit profile and increase returns to equity holders over time, while also continuing to migrate leverage lower.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58" w:lineRule="exact"/>
        <w:rPr>
          <w:sz w:val="20"/>
          <w:szCs w:val="20"/>
          <w:color w:val="auto"/>
        </w:rPr>
      </w:pPr>
    </w:p>
    <w:p>
      <w:pPr>
        <w:ind w:left="980" w:right="60" w:hanging="324"/>
        <w:spacing w:after="0" w:line="291" w:lineRule="auto"/>
        <w:tabs>
          <w:tab w:leader="none" w:pos="97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We own a strategically located, geographically diverse and interconnected large-scale asset base that provides operational flexibility and commercial optionality. </w:t>
      </w:r>
      <w:r>
        <w:rPr>
          <w:rFonts w:ascii="Arial" w:cs="Arial" w:eastAsia="Arial" w:hAnsi="Arial"/>
          <w:sz w:val="16"/>
          <w:szCs w:val="16"/>
          <w:color w:val="auto"/>
        </w:rPr>
        <w:t>The majority of our primary transportation assets are in crude oil service, are located in well-established crude oil</w:t>
      </w:r>
      <w:r>
        <w:rPr>
          <w:rFonts w:ascii="Arial" w:cs="Arial" w:eastAsia="Arial" w:hAnsi="Arial"/>
          <w:sz w:val="16"/>
          <w:szCs w:val="16"/>
          <w:i w:val="1"/>
          <w:iCs w:val="1"/>
          <w:color w:val="auto"/>
        </w:rPr>
        <w:t xml:space="preserve"> </w:t>
      </w:r>
      <w:r>
        <w:rPr>
          <w:rFonts w:ascii="Arial" w:cs="Arial" w:eastAsia="Arial" w:hAnsi="Arial"/>
          <w:sz w:val="16"/>
          <w:szCs w:val="16"/>
          <w:color w:val="auto"/>
        </w:rPr>
        <w:t>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and balance markets, and participate in emerging energy opportunities.</w:t>
      </w:r>
    </w:p>
    <w:p>
      <w:pPr>
        <w:spacing w:after="0" w:line="112" w:lineRule="exact"/>
        <w:rPr>
          <w:rFonts w:ascii="Arial" w:cs="Arial" w:eastAsia="Arial" w:hAnsi="Arial"/>
          <w:sz w:val="16"/>
          <w:szCs w:val="16"/>
          <w:i w:val="1"/>
          <w:iCs w:val="1"/>
          <w:color w:val="auto"/>
        </w:rPr>
      </w:pPr>
    </w:p>
    <w:p>
      <w:pPr>
        <w:ind w:left="980" w:hanging="324"/>
        <w:spacing w:after="0" w:line="273"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Our full-service integrated model and long-term focus attracts a broad, diverse and high-quality customer base that supports sustainable fee-based cash flow generation. </w:t>
      </w:r>
      <w:r>
        <w:rPr>
          <w:rFonts w:ascii="Arial" w:cs="Arial" w:eastAsia="Arial" w:hAnsi="Arial"/>
          <w:sz w:val="17"/>
          <w:szCs w:val="17"/>
          <w:color w:val="auto"/>
        </w:rPr>
        <w:t>Our strategically located and interconnected asset base enables us to provide our customers with a wide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23" w:lineRule="exact"/>
        <w:rPr>
          <w:rFonts w:ascii="Arial" w:cs="Arial" w:eastAsia="Arial" w:hAnsi="Arial"/>
          <w:sz w:val="17"/>
          <w:szCs w:val="17"/>
          <w:color w:val="auto"/>
        </w:rPr>
      </w:pPr>
    </w:p>
    <w:p>
      <w:pPr>
        <w:ind w:left="980" w:right="40" w:hanging="324"/>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and NGL market knowledge. </w:t>
      </w:r>
      <w:r>
        <w:rPr>
          <w:rFonts w:ascii="Arial" w:cs="Arial" w:eastAsia="Arial" w:hAnsi="Arial"/>
          <w:sz w:val="18"/>
          <w:szCs w:val="18"/>
          <w:color w:val="auto"/>
        </w:rPr>
        <w:t>We believe our business relationships with participants in various phases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32"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Our merchant activities provide us with the opportunity to realize incremental margins. </w:t>
      </w:r>
      <w:r>
        <w:rPr>
          <w:rFonts w:ascii="Arial" w:cs="Arial" w:eastAsia="Arial" w:hAnsi="Arial"/>
          <w:sz w:val="18"/>
          <w:szCs w:val="18"/>
          <w:color w:val="auto"/>
        </w:rPr>
        <w:t>We believe the variety of our merchant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us with a low-risk opportunity to generate incremental margin, the amount of which may vary depending on market conditions (such as differentials and certain competitive factors).</w:t>
      </w:r>
    </w:p>
    <w:p>
      <w:pPr>
        <w:spacing w:after="0" w:line="129" w:lineRule="exact"/>
        <w:rPr>
          <w:rFonts w:ascii="Arial" w:cs="Arial" w:eastAsia="Arial" w:hAnsi="Arial"/>
          <w:sz w:val="18"/>
          <w:szCs w:val="18"/>
          <w:color w:val="auto"/>
        </w:rPr>
      </w:pPr>
    </w:p>
    <w:p>
      <w:pPr>
        <w:ind w:left="980" w:right="80" w:hanging="324"/>
        <w:spacing w:after="0" w:line="301"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Arial" w:cs="Arial" w:eastAsia="Arial" w:hAnsi="Arial"/>
          <w:sz w:val="16"/>
          <w:szCs w:val="16"/>
          <w:color w:val="auto"/>
        </w:rPr>
        <w:t>Since 2016 through December 31, 2022,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consummated over 10 joint venture and/or joint ownership arrangements, including the Permian JV formation completed in October 2021, and completed more than $4.6 billion of divestitures of non-core assets and/or strategic sales of partial interests in selected assets.</w:t>
      </w:r>
    </w:p>
    <w:p>
      <w:pPr>
        <w:spacing w:after="0" w:line="103" w:lineRule="exact"/>
        <w:rPr>
          <w:rFonts w:ascii="Arial" w:cs="Arial" w:eastAsia="Arial" w:hAnsi="Arial"/>
          <w:sz w:val="16"/>
          <w:szCs w:val="16"/>
          <w:color w:val="auto"/>
        </w:rPr>
      </w:pPr>
    </w:p>
    <w:p>
      <w:pPr>
        <w:ind w:left="980" w:hanging="324"/>
        <w:spacing w:after="0" w:line="25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equity holders. </w:t>
      </w:r>
      <w:r>
        <w:rPr>
          <w:rFonts w:ascii="Arial" w:cs="Arial" w:eastAsia="Arial" w:hAnsi="Arial"/>
          <w:sz w:val="18"/>
          <w:szCs w:val="18"/>
          <w:color w:val="auto"/>
        </w:rPr>
        <w:t>Our executive management team has</w:t>
      </w:r>
      <w:r>
        <w:rPr>
          <w:rFonts w:ascii="Arial" w:cs="Arial" w:eastAsia="Arial" w:hAnsi="Arial"/>
          <w:sz w:val="18"/>
          <w:szCs w:val="18"/>
          <w:i w:val="1"/>
          <w:iCs w:val="1"/>
          <w:color w:val="auto"/>
        </w:rPr>
        <w:t xml:space="preserve"> </w:t>
      </w:r>
      <w:r>
        <w:rPr>
          <w:rFonts w:ascii="Arial" w:cs="Arial" w:eastAsia="Arial" w:hAnsi="Arial"/>
          <w:sz w:val="18"/>
          <w:szCs w:val="18"/>
          <w:color w:val="auto"/>
        </w:rPr>
        <w:t>an average of 30+ years of experience spanning across all sectors of the energy industry, as well as investment banking,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56"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$14.0 billion, implemented investment capital projects totaling approximately $17.3 billion, returned $17.2 billion to our equity holders, primarily in the form of distributions, and enhanced our credit rating to investment grade from non-investment grade.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part of our financial strategy, we intend to maintain a credit profile that we believe is consistent with investment grade credit ratings. We target a credit profile with the following attributes:</w:t>
      </w:r>
    </w:p>
    <w:p>
      <w:pPr>
        <w:spacing w:after="0" w:line="197" w:lineRule="exact"/>
        <w:rPr>
          <w:sz w:val="20"/>
          <w:szCs w:val="20"/>
          <w:color w:val="auto"/>
        </w:rPr>
      </w:pPr>
    </w:p>
    <w:p>
      <w:pPr>
        <w:ind w:left="980" w:right="28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leverage multiple averaging between 3.75x to 4.25x, which is calculated as total debt plus 50% of preferred units, divided by Adjusted EBITDA attributable to PAA (this is roughly equivalent to a long-term debt-to-Adjusted EBITDA attributable to PAA multiple of between 3.0x and 3.5x);</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52"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See Item 7. “Management’s Discussion and Analysis of Financial Condition and Results of Operations—Results of Operations—Non-GAAP Financial Measures” for our definition of Adjusted EBITDA and a reconciliation to Adjusted EBITDA attributable to PAA.</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December 31, 2022, our publicly-traded senior notes comprised approximately 99% of our long-term debt. Additionally, we also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Values and Sustainability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See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56"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business activities are conducted through two segments — Crude Oil and Natural Gas Liquids (“NGL”). 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142875</wp:posOffset>
            </wp:positionV>
            <wp:extent cx="5452110" cy="4697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Segment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Market and Business Overview</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21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168910</wp:posOffset>
            </wp:positionV>
            <wp:extent cx="5863590" cy="1466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(i) storage, throughput and loading/unloading fees at our crude oil terminals, and (ii) fees from condensate processing services. We also generate significant revenue through a variety of commercial and merchant activities that often result in increased utilization of our transportation and storage assets.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 Assets Overview</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 assets utilized in our Crude Oil segment included the following:</w:t>
      </w:r>
    </w:p>
    <w:p>
      <w:pPr>
        <w:spacing w:after="0" w:line="25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18,075 miles of active crude oil transportation pipelines and gathering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72 million barrels of commercial crude oil storage capacity at our terminalling and storage locations;</w:t>
      </w:r>
    </w:p>
    <w:p>
      <w:pPr>
        <w:spacing w:after="0" w:line="11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39 million barrels of active, above-ground tank capacity used to facilitate pipeline throughput or support our rail assets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 marine facilities in the United States;</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120,000 barrels per day;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seven crude oil rail terminals with aggregate loading and unloading capacity of 264,000 and 350,000 barrels per day, respectively;</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8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2,100 crude oil railcars;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720 trucks and 1,440 trailers.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 million barrels of crude oil linefill in pipelines and tanks owned by us;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 million barrels of crude oil utilized as linefill in pipelines owned by third parties or otherwise required as long-term inventory.</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following table presents additional information about our pipelines and terminals by geographic location, including active pipeline miles and commercial storage capacity as of December 31, 2022 and average daily volumes transported on our crude oil pipelines for the year ended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Approximate System</w:t>
            </w:r>
          </w:p>
        </w:tc>
        <w:tc>
          <w:tcPr>
            <w:tcW w:w="18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2022 Average</w:t>
            </w:r>
          </w:p>
        </w:tc>
        <w:tc>
          <w:tcPr>
            <w:tcW w:w="1760" w:type="dxa"/>
            <w:vAlign w:val="bottom"/>
          </w:tcPr>
          <w:p>
            <w:pPr>
              <w:jc w:val="right"/>
              <w:ind w:right="114"/>
              <w:spacing w:after="0"/>
              <w:rPr>
                <w:sz w:val="20"/>
                <w:szCs w:val="20"/>
                <w:color w:val="auto"/>
              </w:rPr>
            </w:pPr>
            <w:r>
              <w:rPr>
                <w:rFonts w:ascii="Arial" w:cs="Arial" w:eastAsia="Arial" w:hAnsi="Arial"/>
                <w:sz w:val="15"/>
                <w:szCs w:val="15"/>
                <w:b w:val="1"/>
                <w:bCs w:val="1"/>
                <w:color w:val="auto"/>
              </w:rPr>
              <w:t>Commercial Storage</w:t>
            </w:r>
          </w:p>
        </w:tc>
      </w:tr>
      <w:tr>
        <w:trPr>
          <w:trHeight w:val="216"/>
        </w:trPr>
        <w:tc>
          <w:tcPr>
            <w:tcW w:w="4020" w:type="dxa"/>
            <w:vAlign w:val="bottom"/>
            <w:gridSpan w:val="3"/>
          </w:tcPr>
          <w:p>
            <w:pPr>
              <w:ind w:left="20"/>
              <w:spacing w:after="0"/>
              <w:rPr>
                <w:sz w:val="20"/>
                <w:szCs w:val="20"/>
                <w:color w:val="auto"/>
              </w:rPr>
            </w:pPr>
            <w:r>
              <w:rPr>
                <w:rFonts w:ascii="Arial" w:cs="Arial" w:eastAsia="Arial" w:hAnsi="Arial"/>
                <w:sz w:val="15"/>
                <w:szCs w:val="15"/>
                <w:b w:val="1"/>
                <w:bCs w:val="1"/>
                <w:color w:val="auto"/>
              </w:rPr>
              <w:t>Region</w:t>
            </w:r>
          </w:p>
        </w:tc>
        <w:tc>
          <w:tcPr>
            <w:tcW w:w="2000" w:type="dxa"/>
            <w:vAlign w:val="bottom"/>
            <w:gridSpan w:val="2"/>
          </w:tcPr>
          <w:p>
            <w:pPr>
              <w:ind w:left="200"/>
              <w:spacing w:after="0"/>
              <w:rPr>
                <w:sz w:val="20"/>
                <w:szCs w:val="20"/>
                <w:color w:val="auto"/>
              </w:rPr>
            </w:pPr>
            <w:r>
              <w:rPr>
                <w:rFonts w:ascii="Arial" w:cs="Arial" w:eastAsia="Arial" w:hAnsi="Arial"/>
                <w:sz w:val="15"/>
                <w:szCs w:val="15"/>
                <w:b w:val="1"/>
                <w:bCs w:val="1"/>
                <w:color w:val="auto"/>
              </w:rPr>
              <w:t>Ownership Percentage</w:t>
            </w:r>
          </w:p>
        </w:tc>
        <w:tc>
          <w:tcPr>
            <w:tcW w:w="1620" w:type="dxa"/>
            <w:vAlign w:val="bottom"/>
            <w:gridSpan w:val="2"/>
          </w:tcPr>
          <w:p>
            <w:pPr>
              <w:jc w:val="center"/>
              <w:ind w:right="120"/>
              <w:spacing w:after="0" w:line="216" w:lineRule="exact"/>
              <w:rPr>
                <w:sz w:val="20"/>
                <w:szCs w:val="20"/>
                <w:color w:val="auto"/>
              </w:rPr>
            </w:pPr>
            <w:r>
              <w:rPr>
                <w:rFonts w:ascii="Arial" w:cs="Arial" w:eastAsia="Arial" w:hAnsi="Arial"/>
                <w:sz w:val="15"/>
                <w:szCs w:val="15"/>
                <w:b w:val="1"/>
                <w:bCs w:val="1"/>
                <w:color w:val="auto"/>
                <w:w w:val="87"/>
              </w:rPr>
              <w:t xml:space="preserve">Miles </w:t>
            </w:r>
            <w:r>
              <w:rPr>
                <w:rFonts w:ascii="Arial" w:cs="Arial" w:eastAsia="Arial" w:hAnsi="Arial"/>
                <w:sz w:val="19"/>
                <w:szCs w:val="19"/>
                <w:b w:val="1"/>
                <w:bCs w:val="1"/>
                <w:color w:val="auto"/>
                <w:w w:val="87"/>
                <w:vertAlign w:val="superscript"/>
              </w:rPr>
              <w:t>(1)</w:t>
            </w:r>
          </w:p>
        </w:tc>
        <w:tc>
          <w:tcPr>
            <w:tcW w:w="1840" w:type="dxa"/>
            <w:vAlign w:val="bottom"/>
            <w:gridSpan w:val="2"/>
          </w:tcPr>
          <w:p>
            <w:pPr>
              <w:jc w:val="center"/>
              <w:ind w:right="100"/>
              <w:spacing w:after="0" w:line="216" w:lineRule="exact"/>
              <w:rPr>
                <w:sz w:val="20"/>
                <w:szCs w:val="20"/>
                <w:color w:val="auto"/>
              </w:rPr>
            </w:pPr>
            <w:r>
              <w:rPr>
                <w:rFonts w:ascii="Arial" w:cs="Arial" w:eastAsia="Arial" w:hAnsi="Arial"/>
                <w:sz w:val="15"/>
                <w:szCs w:val="15"/>
                <w:b w:val="1"/>
                <w:bCs w:val="1"/>
                <w:color w:val="auto"/>
                <w:w w:val="90"/>
              </w:rPr>
              <w:t xml:space="preserve">Barrels per Day </w:t>
            </w:r>
            <w:r>
              <w:rPr>
                <w:rFonts w:ascii="Arial" w:cs="Arial" w:eastAsia="Arial" w:hAnsi="Arial"/>
                <w:sz w:val="19"/>
                <w:szCs w:val="19"/>
                <w:b w:val="1"/>
                <w:bCs w:val="1"/>
                <w:color w:val="auto"/>
                <w:w w:val="90"/>
                <w:vertAlign w:val="superscript"/>
              </w:rPr>
              <w:t>(2)</w:t>
            </w:r>
          </w:p>
        </w:tc>
        <w:tc>
          <w:tcPr>
            <w:tcW w:w="1760" w:type="dxa"/>
            <w:vAlign w:val="bottom"/>
          </w:tcPr>
          <w:p>
            <w:pPr>
              <w:jc w:val="right"/>
              <w:ind w:right="414"/>
              <w:spacing w:after="0" w:line="216" w:lineRule="exact"/>
              <w:rPr>
                <w:sz w:val="20"/>
                <w:szCs w:val="20"/>
                <w:color w:val="auto"/>
              </w:rPr>
            </w:pPr>
            <w:r>
              <w:rPr>
                <w:rFonts w:ascii="Arial" w:cs="Arial" w:eastAsia="Arial" w:hAnsi="Arial"/>
                <w:sz w:val="15"/>
                <w:szCs w:val="15"/>
                <w:b w:val="1"/>
                <w:bCs w:val="1"/>
                <w:color w:val="auto"/>
              </w:rPr>
              <w:t xml:space="preserve">Capacity </w:t>
            </w:r>
            <w:r>
              <w:rPr>
                <w:rFonts w:ascii="Arial" w:cs="Arial" w:eastAsia="Arial" w:hAnsi="Arial"/>
                <w:sz w:val="19"/>
                <w:szCs w:val="19"/>
                <w:b w:val="1"/>
                <w:bCs w:val="1"/>
                <w:color w:val="auto"/>
                <w:vertAlign w:val="superscript"/>
              </w:rPr>
              <w:t>(3)</w:t>
            </w:r>
          </w:p>
        </w:tc>
      </w:tr>
      <w:tr>
        <w:trPr>
          <w:trHeight w:val="188"/>
        </w:trPr>
        <w:tc>
          <w:tcPr>
            <w:tcW w:w="3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176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29"/>
        </w:trPr>
        <w:tc>
          <w:tcPr>
            <w:tcW w:w="4020" w:type="dxa"/>
            <w:vAlign w:val="bottom"/>
            <w:gridSpan w:val="3"/>
          </w:tcPr>
          <w:p>
            <w:pPr>
              <w:ind w:left="240"/>
              <w:spacing w:after="0" w:line="230" w:lineRule="exact"/>
              <w:rPr>
                <w:sz w:val="20"/>
                <w:szCs w:val="20"/>
                <w:color w:val="auto"/>
              </w:rPr>
            </w:pPr>
            <w:r>
              <w:rPr>
                <w:rFonts w:ascii="Arial" w:cs="Arial" w:eastAsia="Arial" w:hAnsi="Arial"/>
                <w:sz w:val="18"/>
                <w:szCs w:val="18"/>
                <w:color w:val="auto"/>
              </w:rPr>
              <w:t xml:space="preserve">Gathering pipelines </w:t>
            </w:r>
            <w:r>
              <w:rPr>
                <w:rFonts w:ascii="Arial" w:cs="Arial" w:eastAsia="Arial" w:hAnsi="Arial"/>
                <w:sz w:val="23"/>
                <w:szCs w:val="23"/>
                <w:color w:val="auto"/>
                <w:vertAlign w:val="superscript"/>
              </w:rPr>
              <w:t>(4)</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402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3"/>
                <w:szCs w:val="23"/>
                <w:color w:val="auto"/>
                <w:vertAlign w:val="superscript"/>
              </w:rPr>
              <w:t>(4) (5)</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CCEEFF"/>
            </w:tcBorders>
            <w:gridSpan w:val="3"/>
          </w:tcPr>
          <w:p>
            <w:pPr>
              <w:ind w:left="240"/>
              <w:spacing w:after="0" w:line="230" w:lineRule="exact"/>
              <w:rPr>
                <w:sz w:val="20"/>
                <w:szCs w:val="20"/>
                <w:color w:val="auto"/>
              </w:rPr>
            </w:pPr>
            <w:r>
              <w:rPr>
                <w:rFonts w:ascii="Arial" w:cs="Arial" w:eastAsia="Arial" w:hAnsi="Arial"/>
                <w:sz w:val="18"/>
                <w:szCs w:val="18"/>
                <w:color w:val="auto"/>
              </w:rPr>
              <w:t xml:space="preserve">Long-haul pipelines </w:t>
            </w:r>
            <w:r>
              <w:rPr>
                <w:rFonts w:ascii="Arial" w:cs="Arial" w:eastAsia="Arial" w:hAnsi="Arial"/>
                <w:sz w:val="23"/>
                <w:szCs w:val="23"/>
                <w:color w:val="auto"/>
                <w:vertAlign w:val="superscript"/>
              </w:rPr>
              <w:t>(5)</w:t>
            </w:r>
          </w:p>
        </w:tc>
        <w:tc>
          <w:tcPr>
            <w:tcW w:w="1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16% - 100%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23"/>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South Texas/Eagle Ford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Gulf Coast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3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4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Rocky Mountain</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4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Canada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4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Western</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r>
      <w:tr>
        <w:trPr>
          <w:trHeight w:val="248"/>
        </w:trPr>
        <w:tc>
          <w:tcPr>
            <w:tcW w:w="40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7,565</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175"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total mileage of pipelines in which we own less than 100%.</w:t>
      </w:r>
    </w:p>
    <w:p>
      <w:pPr>
        <w:spacing w:after="0" w:line="117" w:lineRule="exact"/>
        <w:rPr>
          <w:sz w:val="20"/>
          <w:szCs w:val="20"/>
          <w:color w:val="auto"/>
        </w:rPr>
      </w:pPr>
    </w:p>
    <w:p>
      <w:pPr>
        <w:ind w:left="20" w:right="100" w:hanging="11"/>
        <w:spacing w:after="0" w:line="257" w:lineRule="auto"/>
        <w:rPr>
          <w:sz w:val="20"/>
          <w:szCs w:val="20"/>
          <w:color w:val="auto"/>
        </w:rPr>
      </w:pPr>
      <w:r>
        <w:rPr>
          <w:rFonts w:ascii="Arial" w:cs="Arial" w:eastAsia="Arial" w:hAnsi="Arial"/>
          <w:sz w:val="18"/>
          <w:szCs w:val="18"/>
          <w:color w:val="auto"/>
        </w:rPr>
        <w:t>Represents average daily volumes for the entire year attributable to our interest for pipelines owned by consolidated entities, unconsolidated entities or through undivided joint interests.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during the year represent total volumes for the number of days we actually owned the assets divided by the number of days in the period.</w:t>
      </w:r>
    </w:p>
    <w:p>
      <w:pPr>
        <w:spacing w:after="0" w:line="8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20" w:right="580" w:hanging="11"/>
        <w:spacing w:after="0" w:line="277" w:lineRule="auto"/>
        <w:rPr>
          <w:sz w:val="20"/>
          <w:szCs w:val="20"/>
          <w:color w:val="auto"/>
        </w:rPr>
      </w:pPr>
      <w:r>
        <w:rPr>
          <w:rFonts w:ascii="Arial" w:cs="Arial" w:eastAsia="Arial" w:hAnsi="Arial"/>
          <w:sz w:val="18"/>
          <w:szCs w:val="18"/>
          <w:color w:val="auto"/>
        </w:rPr>
        <w:t>Commercial storage capacity in millions of barrels. Does not include operational storage capacity used to facilitate pipeline throughput and maintain product quality segregation.</w:t>
      </w:r>
    </w:p>
    <w:p>
      <w:pPr>
        <w:spacing w:after="0" w:line="62" w:lineRule="exact"/>
        <w:rPr>
          <w:sz w:val="20"/>
          <w:szCs w:val="20"/>
          <w:color w:val="auto"/>
        </w:rPr>
      </w:pPr>
    </w:p>
    <w:p>
      <w:pPr>
        <w:ind w:left="20" w:right="120" w:hanging="11"/>
        <w:spacing w:after="0" w:line="263" w:lineRule="auto"/>
        <w:rPr>
          <w:sz w:val="20"/>
          <w:szCs w:val="20"/>
          <w:color w:val="auto"/>
        </w:rPr>
      </w:pPr>
      <w:r>
        <w:rPr>
          <w:rFonts w:ascii="Arial" w:cs="Arial" w:eastAsia="Arial" w:hAnsi="Arial"/>
          <w:sz w:val="18"/>
          <w:szCs w:val="18"/>
          <w:color w:val="auto"/>
        </w:rPr>
        <w:t>All of our gathering pipelines and a majority of our intra-basin pipelines in the Permian Basin are owned by the Permian JV, a consolidated entity in which we own a 65% interest. The Permian JV has a 57% interest in an unconsolidated entity that owns one of the gathering pipelines and a 63% undivided joint interest in one of the intra-basin pipelines in the Permian Basin.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Infrastructure</w:t>
      </w:r>
    </w:p>
    <w:p>
      <w:pPr>
        <w:spacing w:after="0" w:line="25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crude oil pipelines are comprised of:</w:t>
      </w:r>
    </w:p>
    <w:p>
      <w:pPr>
        <w:spacing w:after="0" w:line="252"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gathering pipelines </w:t>
      </w:r>
      <w:r>
        <w:rPr>
          <w:rFonts w:ascii="Arial" w:cs="Arial" w:eastAsia="Arial" w:hAnsi="Arial"/>
          <w:sz w:val="18"/>
          <w:szCs w:val="18"/>
          <w:color w:val="auto"/>
        </w:rPr>
        <w:t>that move crude oil from wellhead or central battery connections to regional market hubs;</w:t>
      </w:r>
    </w:p>
    <w:p>
      <w:pPr>
        <w:spacing w:after="0" w:line="252" w:lineRule="exact"/>
        <w:rPr>
          <w:rFonts w:ascii="Arial" w:cs="Arial" w:eastAsia="Arial" w:hAnsi="Arial"/>
          <w:sz w:val="18"/>
          <w:szCs w:val="18"/>
          <w:color w:val="auto"/>
        </w:rPr>
      </w:pPr>
    </w:p>
    <w:p>
      <w:pPr>
        <w:ind w:left="1300" w:right="500" w:hanging="320"/>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intra-basin pipelines </w:t>
      </w:r>
      <w:r>
        <w:rPr>
          <w:rFonts w:ascii="Arial" w:cs="Arial" w:eastAsia="Arial" w:hAnsi="Arial"/>
          <w:sz w:val="18"/>
          <w:szCs w:val="18"/>
          <w:color w:val="auto"/>
        </w:rPr>
        <w:t>that are used as a hub system allowing for a significant amount of flexibility by creating connections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hub locations; and</w:t>
      </w:r>
    </w:p>
    <w:p>
      <w:pPr>
        <w:spacing w:after="0" w:line="197" w:lineRule="exact"/>
        <w:rPr>
          <w:rFonts w:ascii="Arial" w:cs="Arial" w:eastAsia="Arial" w:hAnsi="Arial"/>
          <w:sz w:val="18"/>
          <w:szCs w:val="18"/>
          <w:color w:val="auto"/>
        </w:rPr>
      </w:pPr>
    </w:p>
    <w:p>
      <w:pPr>
        <w:ind w:left="1300" w:right="400" w:hanging="320"/>
        <w:spacing w:after="0" w:line="342" w:lineRule="auto"/>
        <w:tabs>
          <w:tab w:leader="none" w:pos="12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long-haul pipelines </w:t>
      </w:r>
      <w:r>
        <w:rPr>
          <w:rFonts w:ascii="Arial" w:cs="Arial" w:eastAsia="Arial" w:hAnsi="Arial"/>
          <w:sz w:val="16"/>
          <w:szCs w:val="16"/>
          <w:color w:val="auto"/>
        </w:rPr>
        <w:t>that move crude oil from (i) regional market hubs to major market hubs such as Cushing, Oklahoma or to export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including our Corpus Christi terminal, or (ii) a refinery or other major market hubs, such as the Houston market.</w:t>
      </w:r>
    </w:p>
    <w:p>
      <w:pPr>
        <w:spacing w:after="0" w:line="15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significant assets are described further below by region.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Gathering Pipelines. </w:t>
      </w:r>
      <w:r>
        <w:rPr>
          <w:rFonts w:ascii="Arial" w:cs="Arial" w:eastAsia="Arial" w:hAnsi="Arial"/>
          <w:sz w:val="18"/>
          <w:szCs w:val="18"/>
          <w:color w:val="auto"/>
        </w:rPr>
        <w:t>We operate approximately 4,900 miles of gathering pipelines in both the Midland Basin and the Delaware Basin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represent approximately 3.7 million barrels per day of pipeline capacity. This gathering capacity includes pipeline capacity that delivers volumes to regional market hubs. Approximately 80%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Intra-Basin Pipelines. </w:t>
      </w:r>
      <w:r>
        <w:rPr>
          <w:rFonts w:ascii="Arial" w:cs="Arial" w:eastAsia="Arial" w:hAnsi="Arial"/>
          <w:sz w:val="18"/>
          <w:szCs w:val="18"/>
          <w:color w:val="auto"/>
        </w:rPr>
        <w:t>Our intra-basin pipeline system in the Permian Basin has a capacity of approximately 3.1 million barrels per day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21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Long-Haul Pipelines. </w:t>
      </w:r>
      <w:r>
        <w:rPr>
          <w:rFonts w:ascii="Arial" w:cs="Arial" w:eastAsia="Arial" w:hAnsi="Arial"/>
          <w:sz w:val="18"/>
          <w:szCs w:val="18"/>
          <w:color w:val="auto"/>
        </w:rPr>
        <w:t>We own interests in multiple long-haul pipeline systems that, on a combined basis, represent approximately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Cushing/Mid-Continent</w:t>
      </w:r>
    </w:p>
    <w:p>
      <w:pPr>
        <w:spacing w:after="0" w:line="256" w:lineRule="exact"/>
        <w:rPr>
          <w:sz w:val="20"/>
          <w:szCs w:val="20"/>
          <w:color w:val="auto"/>
        </w:rPr>
      </w:pPr>
    </w:p>
    <w:p>
      <w:pPr>
        <w:ind w:left="980" w:hanging="324"/>
        <w:spacing w:after="0" w:line="301" w:lineRule="auto"/>
        <w:tabs>
          <w:tab w:leader="none" w:pos="97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Basin Pipeline (Permian to Cushing). </w:t>
      </w:r>
      <w:r>
        <w:rPr>
          <w:rFonts w:ascii="Arial" w:cs="Arial" w:eastAsia="Arial" w:hAnsi="Arial"/>
          <w:sz w:val="16"/>
          <w:szCs w:val="16"/>
          <w:color w:val="auto"/>
        </w:rPr>
        <w:t>We own an 87% undivided joint interest (“UJI”) in and are the operator of Basin Pipeline. Basin</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16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Sunrise II Pipeline. </w:t>
      </w:r>
      <w:r>
        <w:rPr>
          <w:rFonts w:ascii="Arial" w:cs="Arial" w:eastAsia="Arial" w:hAnsi="Arial"/>
          <w:sz w:val="18"/>
          <w:szCs w:val="18"/>
          <w:color w:val="auto"/>
        </w:rPr>
        <w:t>We operate the Sunrise II Pipeline and, through a UJI arrangement, own 80% of the capacity of the pipeline,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equates to 400,000 barrels of capacity. Our Sunrise II Pipeline transports crude oil from Midland and Colorado City to connecting carriers at Wichita Falls.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Gulf Coast</w:t>
      </w:r>
    </w:p>
    <w:p>
      <w:pPr>
        <w:spacing w:after="0" w:line="256" w:lineRule="exact"/>
        <w:rPr>
          <w:sz w:val="20"/>
          <w:szCs w:val="20"/>
          <w:color w:val="auto"/>
        </w:rPr>
      </w:pPr>
    </w:p>
    <w:p>
      <w:pPr>
        <w:ind w:left="980" w:right="100" w:hanging="324"/>
        <w:spacing w:after="0" w:line="259" w:lineRule="auto"/>
        <w:tabs>
          <w:tab w:leader="none" w:pos="97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We own a 20% interest in the entity that owns the BridgeTex Pipeline. The pipeline, operated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Magellan Midstream Partners, L.P. (“Magellan”), originates at Colorado City, Texas and extends to Houston, Texas. The BridgeTex pipeline has a capacity of 440,000 barrels per day and is capable of receiving supply from both our Basin and Midland South pipelines.</w:t>
      </w:r>
    </w:p>
    <w:p>
      <w:pPr>
        <w:spacing w:after="0" w:line="213" w:lineRule="exact"/>
        <w:rPr>
          <w:rFonts w:ascii="Arial" w:cs="Arial" w:eastAsia="Arial" w:hAnsi="Arial"/>
          <w:sz w:val="18"/>
          <w:szCs w:val="18"/>
          <w:i w:val="1"/>
          <w:iCs w:val="1"/>
          <w:color w:val="auto"/>
        </w:rPr>
      </w:pPr>
    </w:p>
    <w:p>
      <w:pPr>
        <w:ind w:left="980" w:right="220" w:hanging="324"/>
        <w:spacing w:after="0" w:line="259"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Cactus Pipeline (Permian to Corpus Christi). </w:t>
      </w:r>
      <w:r>
        <w:rPr>
          <w:rFonts w:ascii="Arial" w:cs="Arial" w:eastAsia="Arial" w:hAnsi="Arial"/>
          <w:sz w:val="18"/>
          <w:szCs w:val="18"/>
          <w:color w:val="auto"/>
        </w:rPr>
        <w:t>We own and operate the Cactus Pipeline, which has a capacity of 390,000 barrels per day,</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213" w:lineRule="exact"/>
        <w:rPr>
          <w:rFonts w:ascii="Arial" w:cs="Arial" w:eastAsia="Arial" w:hAnsi="Arial"/>
          <w:sz w:val="18"/>
          <w:szCs w:val="18"/>
          <w:color w:val="auto"/>
        </w:rPr>
      </w:pPr>
    </w:p>
    <w:p>
      <w:pPr>
        <w:ind w:left="980" w:right="120" w:hanging="324"/>
        <w:spacing w:after="0" w:line="257" w:lineRule="auto"/>
        <w:tabs>
          <w:tab w:leader="none" w:pos="97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Cactus II Pipeline (Permian to Corpus Christi). </w:t>
      </w:r>
      <w:r>
        <w:rPr>
          <w:rFonts w:ascii="Arial" w:cs="Arial" w:eastAsia="Arial" w:hAnsi="Arial"/>
          <w:sz w:val="18"/>
          <w:szCs w:val="18"/>
          <w:color w:val="auto"/>
        </w:rPr>
        <w:t>In November 2022, we and Enbridge Inc. (“Enbridge”) purchased Western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LP (“WES”)’s 15% interest in the entity that owns the Cactus II Pipeline. Enbridge acquired 10% and we acquired 5% of Cactus II. We and Enbridge are now the sole owners of Cactus II, with 70% and 30% respective ownership interests. We continue to operate the Cactus II Pipeline, which is a Permian mainline system that extends directly to the Corpus Christi market, and has a capacity of 670,000 barrels per day.</w:t>
      </w:r>
    </w:p>
    <w:p>
      <w:pPr>
        <w:spacing w:after="0" w:line="214" w:lineRule="exact"/>
        <w:rPr>
          <w:rFonts w:ascii="Arial" w:cs="Arial" w:eastAsia="Arial" w:hAnsi="Arial"/>
          <w:sz w:val="18"/>
          <w:szCs w:val="18"/>
          <w:i w:val="1"/>
          <w:iCs w:val="1"/>
          <w:color w:val="auto"/>
        </w:rPr>
      </w:pPr>
    </w:p>
    <w:p>
      <w:pPr>
        <w:ind w:left="980" w:right="40" w:hanging="324"/>
        <w:spacing w:after="0" w:line="25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Wink to Webster Pipeline. </w:t>
      </w:r>
      <w:r>
        <w:rPr>
          <w:rFonts w:ascii="Arial" w:cs="Arial" w:eastAsia="Arial" w:hAnsi="Arial"/>
          <w:sz w:val="18"/>
          <w:szCs w:val="18"/>
          <w:color w:val="auto"/>
        </w:rPr>
        <w:t>We own a 16% interest in the entity that owns the Wink to Webster Pipeline (“W2W Pipeline”), which in turn owns</w:t>
      </w:r>
      <w:r>
        <w:rPr>
          <w:rFonts w:ascii="Arial" w:cs="Arial" w:eastAsia="Arial" w:hAnsi="Arial"/>
          <w:sz w:val="18"/>
          <w:szCs w:val="18"/>
          <w:i w:val="1"/>
          <w:iCs w:val="1"/>
          <w:color w:val="auto"/>
        </w:rPr>
        <w:t xml:space="preserve"> </w:t>
      </w:r>
      <w:r>
        <w:rPr>
          <w:rFonts w:ascii="Arial" w:cs="Arial" w:eastAsia="Arial" w:hAnsi="Arial"/>
          <w:sz w:val="18"/>
          <w:szCs w:val="18"/>
          <w:color w:val="auto"/>
        </w:rPr>
        <w:t>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(1.1 million barrels per day, net to the UJI interest). Phases one and two of the pipeline system project are currently in service. Phase three of the project, which includes the segments from Wink, Texas to Midland, Texas and from Webster, Texas to Baytown, Texas, is under construction and is expected to be completed by the fourth quarter of 2023.</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Terminals</w:t>
      </w:r>
      <w:r>
        <w:rPr>
          <w:rFonts w:ascii="Arial" w:cs="Arial" w:eastAsia="Arial" w:hAnsi="Arial"/>
          <w:sz w:val="18"/>
          <w:szCs w:val="18"/>
          <w:color w:val="auto"/>
        </w:rPr>
        <w:t>. Our Midland terminal has access to all of the Permian JV gathering pipelines, either through direct connections, or through the Permian</w:t>
      </w:r>
      <w:r>
        <w:rPr>
          <w:rFonts w:ascii="Arial" w:cs="Arial" w:eastAsia="Arial" w:hAnsi="Arial"/>
          <w:sz w:val="18"/>
          <w:szCs w:val="18"/>
          <w:i w:val="1"/>
          <w:iCs w:val="1"/>
          <w:color w:val="auto"/>
        </w:rPr>
        <w:t xml:space="preserve"> </w:t>
      </w:r>
      <w:r>
        <w:rPr>
          <w:rFonts w:ascii="Arial" w:cs="Arial" w:eastAsia="Arial" w:hAnsi="Arial"/>
          <w:sz w:val="18"/>
          <w:szCs w:val="18"/>
          <w:color w:val="auto"/>
        </w:rPr>
        <w:t>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Gathering Pipelines</w:t>
      </w:r>
      <w:r>
        <w:rPr>
          <w:rFonts w:ascii="Arial" w:cs="Arial" w:eastAsia="Arial" w:hAnsi="Arial"/>
          <w:sz w:val="18"/>
          <w:szCs w:val="18"/>
          <w:color w:val="auto"/>
        </w:rPr>
        <w:t>. We own and operate various gathering systems in the Eagle Ford producing region that connect into our Eagle Ford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pipeline system or to third-party pipelines.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Long-Haul Pipelines. </w:t>
      </w:r>
      <w:r>
        <w:rPr>
          <w:rFonts w:ascii="Arial" w:cs="Arial" w:eastAsia="Arial" w:hAnsi="Arial"/>
          <w:sz w:val="16"/>
          <w:szCs w:val="16"/>
          <w:color w:val="auto"/>
        </w:rPr>
        <w:t>We own a 50% interest in the entity that owns the Eagle Ford Pipeline through a joint venture with a subsidiary of Enterprise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Additionally, the Eagle Ford Pipeline has connectivity to Houston, Texas via a connection with Enterprise’s pipeline at Lyssy, Texas. The Eagle Ford Pipeline is supported by long-term shipper commitments.</w:t>
      </w:r>
    </w:p>
    <w:p>
      <w:pPr>
        <w:spacing w:after="0" w:line="21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Terminals</w:t>
      </w:r>
      <w:r>
        <w:rPr>
          <w:rFonts w:ascii="Arial" w:cs="Arial" w:eastAsia="Arial" w:hAnsi="Arial"/>
          <w:sz w:val="16"/>
          <w:szCs w:val="16"/>
          <w:color w:val="auto"/>
        </w:rPr>
        <w:t>. We own a 50% interest in the entity that owns the Corpus Christi terminal through a joint venture with a subsidiary of Enterprise.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Corpus Christi terminal has a dock and the capacity to export crude oil and approximately one million barrels of commercial storage capacity.</w:t>
      </w:r>
    </w:p>
    <w:p>
      <w:pPr>
        <w:spacing w:after="0" w:line="15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Condensate Processing. </w:t>
      </w:r>
      <w:r>
        <w:rPr>
          <w:rFonts w:ascii="Arial" w:cs="Arial" w:eastAsia="Arial" w:hAnsi="Arial"/>
          <w:sz w:val="16"/>
          <w:szCs w:val="16"/>
          <w:color w:val="auto"/>
        </w:rPr>
        <w:t>We own a condensate processing facility located in La Salle County, Texas that stabilizes condensate that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sourced from our Eagle Ford area gathering systems. The stabilized condensate is delivered to a third-party pipeline that delivers into Mont Belvieu, Texas.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Mid-Continent</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Gathering Pipelines</w:t>
      </w:r>
      <w:r>
        <w:rPr>
          <w:rFonts w:ascii="Arial" w:cs="Arial" w:eastAsia="Arial" w:hAnsi="Arial"/>
          <w:sz w:val="18"/>
          <w:szCs w:val="18"/>
          <w:color w:val="auto"/>
        </w:rPr>
        <w:t>. We own and operate gathering pipelines that source crude oil from Western and Central Oklahoma and Southwest Kansas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delivery into our terminal facilities at Cushing, Oklahoma.</w:t>
      </w:r>
    </w:p>
    <w:p>
      <w:pPr>
        <w:spacing w:after="0" w:line="19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Long-haul Pipelines. </w:t>
      </w:r>
      <w:r>
        <w:rPr>
          <w:rFonts w:ascii="Arial" w:cs="Arial" w:eastAsia="Arial" w:hAnsi="Arial"/>
          <w:sz w:val="17"/>
          <w:szCs w:val="17"/>
          <w:color w:val="auto"/>
        </w:rPr>
        <w:t>We own and operate various pipeline systems that extend from our Cushing terminal in Oklahoma to various refineries</w:t>
      </w:r>
      <w:r>
        <w:rPr>
          <w:rFonts w:ascii="Arial" w:cs="Arial" w:eastAsia="Arial" w:hAnsi="Arial"/>
          <w:sz w:val="17"/>
          <w:szCs w:val="17"/>
          <w:i w:val="1"/>
          <w:iCs w:val="1"/>
          <w:color w:val="auto"/>
        </w:rPr>
        <w:t xml:space="preserve"> </w:t>
      </w:r>
      <w:r>
        <w:rPr>
          <w:rFonts w:ascii="Arial" w:cs="Arial" w:eastAsia="Arial" w:hAnsi="Arial"/>
          <w:sz w:val="17"/>
          <w:szCs w:val="17"/>
          <w:color w:val="auto"/>
        </w:rPr>
        <w:t>and/or crude oil hubs. Below is a description of some of our most significant pipeline systems in the Mid-Continent region.</w:t>
      </w:r>
    </w:p>
    <w:p>
      <w:pPr>
        <w:spacing w:after="0" w:line="173" w:lineRule="exact"/>
        <w:rPr>
          <w:sz w:val="20"/>
          <w:szCs w:val="20"/>
          <w:color w:val="auto"/>
        </w:rPr>
      </w:pPr>
    </w:p>
    <w:p>
      <w:pPr>
        <w:jc w:val="both"/>
        <w:ind w:left="980" w:right="220" w:hanging="324"/>
        <w:spacing w:after="0" w:line="263" w:lineRule="auto"/>
        <w:tabs>
          <w:tab w:leader="none" w:pos="9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Diamond Pipeline (Cushing to Memphis). </w:t>
      </w:r>
      <w:r>
        <w:rPr>
          <w:rFonts w:ascii="Arial" w:cs="Arial" w:eastAsia="Arial" w:hAnsi="Arial"/>
          <w:sz w:val="18"/>
          <w:szCs w:val="18"/>
          <w:color w:val="auto"/>
        </w:rPr>
        <w:t>We own a 50% interest in the entity that owns the Diamond Pipeline through a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Valero Energy Corporation (“Valero”). We operate the Diamond Pipeline, which extends from our Cushing Terminal to Valero’s refinery in Memphis, Tennessee. The Diamond Pipeline has a total capacity of 200,000 barrels per day.</w:t>
      </w:r>
    </w:p>
    <w:p>
      <w:pPr>
        <w:spacing w:after="0" w:line="210" w:lineRule="exact"/>
        <w:rPr>
          <w:rFonts w:ascii="Arial" w:cs="Arial" w:eastAsia="Arial" w:hAnsi="Arial"/>
          <w:sz w:val="18"/>
          <w:szCs w:val="18"/>
          <w:i w:val="1"/>
          <w:iCs w:val="1"/>
          <w:color w:val="auto"/>
        </w:rPr>
      </w:pPr>
    </w:p>
    <w:p>
      <w:pPr>
        <w:ind w:left="980" w:hanging="324"/>
        <w:spacing w:after="0" w:line="257" w:lineRule="auto"/>
        <w:tabs>
          <w:tab w:leader="none" w:pos="9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We own 67% of the entity that owns the Red River Pipeline through a joint venture with Delek</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21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spacing w:after="0" w:line="15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Terminals</w:t>
      </w:r>
      <w:r>
        <w:rPr>
          <w:rFonts w:ascii="Arial" w:cs="Arial" w:eastAsia="Arial" w:hAnsi="Arial"/>
          <w:sz w:val="18"/>
          <w:szCs w:val="18"/>
          <w:color w:val="auto"/>
        </w:rPr>
        <w:t>. We are a large provider of crude oil terminalling services in Cushing, Oklahoma, which is one of the largest physical trading hubs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is the delivery point for the NYMEX light sweet crude oil futures contracts (the benchmark for U.S. crude oil). Our Cushing terminal has been designated by the NYMEX as an approved delivery location.</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Long-haul Pipelines. </w:t>
      </w:r>
      <w:r>
        <w:rPr>
          <w:rFonts w:ascii="Arial" w:cs="Arial" w:eastAsia="Arial" w:hAnsi="Arial"/>
          <w:sz w:val="18"/>
          <w:szCs w:val="18"/>
          <w:color w:val="auto"/>
        </w:rPr>
        <w:t>We own an approximate 54% interest in the entity that owns the Capline Pipeline, which extends from Patoka, Illinois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terminals in St. James, Louisiana. The Capline Pipeline is supported by long-term shipper commitments, and a subsidiary of Marathon Petroleum Corporation serves as the operator.</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Terminals</w:t>
      </w:r>
      <w:r>
        <w:rPr>
          <w:rFonts w:ascii="Arial" w:cs="Arial" w:eastAsia="Arial" w:hAnsi="Arial"/>
          <w:sz w:val="18"/>
          <w:szCs w:val="18"/>
          <w:color w:val="auto"/>
        </w:rPr>
        <w:t>. Our terminal at St. James, Louisiana, which has 15 million barrels of commercial storage capacity, is a destination facility connected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Capline Pipeline and other third-party pipelines, and also has a rail unload facility that can move crude oil from rail cars to pipelines that service local refiners, or to our dock which can receive or export crude oil. Our terminal at Mobile, Alabama, which has 4 million barrels of commercial storage capacity, also has a dock and the capacity to receive or export crude oil.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r>
        <w:rPr>
          <w:rFonts w:ascii="Arial" w:cs="Arial" w:eastAsia="Arial" w:hAnsi="Arial"/>
          <w:sz w:val="18"/>
          <w:szCs w:val="18"/>
          <w:color w:val="auto"/>
        </w:rPr>
        <w:t>. We own and operate pipelines that provide gathering services in the Bakken and the Powder River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Long-haul Pipelines. </w:t>
      </w:r>
      <w:r>
        <w:rPr>
          <w:rFonts w:ascii="Arial" w:cs="Arial" w:eastAsia="Arial" w:hAnsi="Arial"/>
          <w:sz w:val="18"/>
          <w:szCs w:val="18"/>
          <w:color w:val="auto"/>
        </w:rPr>
        <w:t>Our pipeline systems in the Rocky Mountain region provide access to our terminal in Cushing, Oklahoma as well as other</w:t>
      </w:r>
      <w:r>
        <w:rPr>
          <w:rFonts w:ascii="Arial" w:cs="Arial" w:eastAsia="Arial" w:hAnsi="Arial"/>
          <w:sz w:val="18"/>
          <w:szCs w:val="18"/>
          <w:i w:val="1"/>
          <w:iCs w:val="1"/>
          <w:color w:val="auto"/>
        </w:rPr>
        <w:t xml:space="preserve"> </w:t>
      </w:r>
      <w:r>
        <w:rPr>
          <w:rFonts w:ascii="Arial" w:cs="Arial" w:eastAsia="Arial" w:hAnsi="Arial"/>
          <w:sz w:val="18"/>
          <w:szCs w:val="18"/>
          <w:color w:val="auto"/>
        </w:rPr>
        <w:t>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222" w:lineRule="exact"/>
        <w:rPr>
          <w:sz w:val="20"/>
          <w:szCs w:val="20"/>
          <w:color w:val="auto"/>
        </w:rPr>
      </w:pPr>
    </w:p>
    <w:p>
      <w:pPr>
        <w:jc w:val="both"/>
        <w:ind w:left="980" w:hanging="324"/>
        <w:spacing w:after="0" w:line="286"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Saddlehorn Pipeline</w:t>
      </w:r>
      <w:r>
        <w:rPr>
          <w:rFonts w:ascii="Arial" w:cs="Arial" w:eastAsia="Arial" w:hAnsi="Arial"/>
          <w:sz w:val="17"/>
          <w:szCs w:val="17"/>
          <w:color w:val="auto"/>
        </w:rPr>
        <w:t>. We own a 30% interest in the entity that owns the Saddlehorn Pipeline which, through a UJI arrangement, owns 290,000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per day of capacity in the Saddlehorn Pipeline. The pipeline extends from the Niobrara and Denver-Julesburg (“DJ”) Basin to Cushing and is operated by Magellan. The Saddlehorn Pipeline is supported by minimum volume commitments.</w:t>
      </w:r>
    </w:p>
    <w:p>
      <w:pPr>
        <w:spacing w:after="0" w:line="192" w:lineRule="exact"/>
        <w:rPr>
          <w:rFonts w:ascii="Arial" w:cs="Arial" w:eastAsia="Arial" w:hAnsi="Arial"/>
          <w:sz w:val="17"/>
          <w:szCs w:val="17"/>
          <w:color w:val="auto"/>
        </w:rPr>
      </w:pPr>
    </w:p>
    <w:p>
      <w:pPr>
        <w:ind w:left="980" w:right="120" w:hanging="324"/>
        <w:spacing w:after="0" w:line="296" w:lineRule="auto"/>
        <w:tabs>
          <w:tab w:leader="none" w:pos="975"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White Cliffs Pipeline. </w:t>
      </w:r>
      <w:r>
        <w:rPr>
          <w:rFonts w:ascii="Arial" w:cs="Arial" w:eastAsia="Arial" w:hAnsi="Arial"/>
          <w:sz w:val="16"/>
          <w:szCs w:val="16"/>
          <w:color w:val="auto"/>
        </w:rPr>
        <w:t>We own an approximate 36% interest in the entity that owns the White Cliffs Pipeline system through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Gathering Pipelines</w:t>
      </w:r>
      <w:r>
        <w:rPr>
          <w:rFonts w:ascii="Arial" w:cs="Arial" w:eastAsia="Arial" w:hAnsi="Arial"/>
          <w:sz w:val="18"/>
          <w:szCs w:val="18"/>
          <w:color w:val="auto"/>
        </w:rPr>
        <w:t>. We own and operate gathering systems that source crude oil from truck terminals and pipeline-connected facilities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Enbridge Mainline system at our Kerrobert and Regina terminals in Saskatchewan, Canada.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Intra-basin Pipelines. </w:t>
      </w:r>
      <w:r>
        <w:rPr>
          <w:rFonts w:ascii="Arial" w:cs="Arial" w:eastAsia="Arial" w:hAnsi="Arial"/>
          <w:sz w:val="18"/>
          <w:szCs w:val="18"/>
          <w:color w:val="auto"/>
        </w:rPr>
        <w:t>We own and operate intra-basin pipelines with capacity of approximately 300,000 barrels per day that deliver crude oil from</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and southern Alberta to the Edmonton, Alberta market hub. These pipelines provide shippers with flexibility to access the Enbridge and TransMountain long-haul pipelines along with the Imperial Oil Refinery.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Gathering Pipelines. </w:t>
      </w:r>
      <w:r>
        <w:rPr>
          <w:rFonts w:ascii="Arial" w:cs="Arial" w:eastAsia="Arial" w:hAnsi="Arial"/>
          <w:sz w:val="18"/>
          <w:szCs w:val="18"/>
          <w:color w:val="auto"/>
        </w:rPr>
        <w:t>We own and operate a pipeline in the San Joaquin Valley that gathers locally produced crude oil, which is then delivered via</w:t>
      </w:r>
      <w:r>
        <w:rPr>
          <w:rFonts w:ascii="Arial" w:cs="Arial" w:eastAsia="Arial" w:hAnsi="Arial"/>
          <w:sz w:val="18"/>
          <w:szCs w:val="18"/>
          <w:i w:val="1"/>
          <w:iCs w:val="1"/>
          <w:color w:val="auto"/>
        </w:rPr>
        <w:t xml:space="preserve"> </w:t>
      </w:r>
      <w:r>
        <w:rPr>
          <w:rFonts w:ascii="Arial" w:cs="Arial" w:eastAsia="Arial" w:hAnsi="Arial"/>
          <w:sz w:val="18"/>
          <w:szCs w:val="18"/>
          <w:color w:val="auto"/>
        </w:rPr>
        <w:t>our Line 63 pipeline system and/or Line 2000 pipeline for transportation to Los Angeles area refiners.</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Long-haul Pipelines</w:t>
      </w:r>
      <w:r>
        <w:rPr>
          <w:rFonts w:ascii="Arial" w:cs="Arial" w:eastAsia="Arial" w:hAnsi="Arial"/>
          <w:sz w:val="18"/>
          <w:szCs w:val="18"/>
          <w:color w:val="auto"/>
        </w:rPr>
        <w:t>. We own and operate Line 63 and Line 2000 pipelines in California. Line 2000 is a mainline system that has the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 During the third quarter of 2022, we temporarily ceased service on Line 2000 as a precautionary measure following a routine inspection and initiated a program of additional tests and inspections. Line 2000 was returned to service in the first quarter of 2023.</w:t>
      </w:r>
    </w:p>
    <w:p>
      <w:pPr>
        <w:spacing w:after="0" w:line="21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2022, we recorded an impairment related to certain of our California crude oil assets. See Note 6 to our Consolidated Financial Statements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Liquids (“NGL”) Segment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Market and Business Overview</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168910</wp:posOffset>
            </wp:positionV>
            <wp:extent cx="5880735" cy="1585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 Assets Overview</w:t>
      </w:r>
    </w:p>
    <w:p>
      <w:pPr>
        <w:spacing w:after="0" w:line="243"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We operate a highly integrated network of assets, strategically positioned across Canada and the United States, with a particular focus on serving production from the liquids-rich Western Canadian Sedimentary Basin. As of December 31, 2022, the assets utilized in our NGL segment included the following:</w:t>
      </w:r>
    </w:p>
    <w:p>
      <w:pPr>
        <w:spacing w:after="0" w:line="6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four natural gas processing plants;</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useable capacity of approximately 185,600 barrels per day;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NGL storage facilities with approximately 28 million barrels of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1,620 miles of active NGL transportation pipelines;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 NGL rail terminals and approximately 4,100 NGL rail cars;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220 trailers.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1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 million barrels of NGL linefill in pipelines and storage owned by us;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 million barrels of NGL utilized as linefill in pipelines owned by third parties or otherwise required as long-term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65"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The tables below present volumes and capacities for our NGL assets and activities as of December 31, 2022 and our natural gas processing and NGL infrastructure and activities are described further below.</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Gas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46"/>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Processing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6"/>
              <w:spacing w:after="0" w:line="145" w:lineRule="exact"/>
              <w:rPr>
                <w:sz w:val="20"/>
                <w:szCs w:val="20"/>
                <w:color w:val="auto"/>
              </w:rPr>
            </w:pPr>
            <w:r>
              <w:rPr>
                <w:rFonts w:ascii="Arial" w:cs="Arial" w:eastAsia="Arial" w:hAnsi="Arial"/>
                <w:sz w:val="14"/>
                <w:szCs w:val="14"/>
                <w:b w:val="1"/>
                <w:bCs w:val="1"/>
                <w:color w:val="auto"/>
                <w:w w:val="97"/>
              </w:rPr>
              <w:t>Inlet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Natural Gas Processing Facilities</w:t>
            </w:r>
          </w:p>
        </w:tc>
        <w:tc>
          <w:tcPr>
            <w:tcW w:w="60" w:type="dxa"/>
            <w:vAlign w:val="bottom"/>
          </w:tcPr>
          <w:p>
            <w:pPr>
              <w:spacing w:after="0"/>
              <w:rPr>
                <w:sz w:val="11"/>
                <w:szCs w:val="11"/>
                <w:color w:val="auto"/>
              </w:rPr>
            </w:pPr>
          </w:p>
        </w:tc>
        <w:tc>
          <w:tcPr>
            <w:tcW w:w="1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0" w:type="dxa"/>
            <w:vAlign w:val="bottom"/>
            <w:gridSpan w:val="4"/>
          </w:tcPr>
          <w:p>
            <w:pPr>
              <w:jc w:val="center"/>
              <w:ind w:right="140"/>
              <w:spacing w:after="0" w:line="136" w:lineRule="exact"/>
              <w:rPr>
                <w:sz w:val="20"/>
                <w:szCs w:val="20"/>
                <w:color w:val="auto"/>
              </w:rPr>
            </w:pPr>
            <w:r>
              <w:rPr>
                <w:rFonts w:ascii="Arial" w:cs="Arial" w:eastAsia="Arial" w:hAnsi="Arial"/>
                <w:sz w:val="14"/>
                <w:szCs w:val="14"/>
                <w:b w:val="1"/>
                <w:bCs w:val="1"/>
                <w:color w:val="auto"/>
                <w:w w:val="92"/>
              </w:rPr>
              <w:t>Capacity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66"/>
              <w:spacing w:after="0" w:line="136" w:lineRule="exact"/>
              <w:rPr>
                <w:sz w:val="20"/>
                <w:szCs w:val="20"/>
                <w:color w:val="auto"/>
              </w:rPr>
            </w:pPr>
            <w:r>
              <w:rPr>
                <w:rFonts w:ascii="Arial" w:cs="Arial" w:eastAsia="Arial" w:hAnsi="Arial"/>
                <w:sz w:val="12"/>
                <w:szCs w:val="12"/>
                <w:b w:val="1"/>
                <w:bCs w:val="1"/>
                <w:color w:val="auto"/>
              </w:rPr>
              <w:t xml:space="preserve">Volume </w:t>
            </w:r>
            <w:r>
              <w:rPr>
                <w:rFonts w:ascii="Arial" w:cs="Arial" w:eastAsia="Arial" w:hAnsi="Arial"/>
                <w:sz w:val="15"/>
                <w:szCs w:val="15"/>
                <w:b w:val="1"/>
                <w:bCs w:val="1"/>
                <w:color w:val="auto"/>
                <w:vertAlign w:val="superscript"/>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 xml:space="preserve">(Bcf/d) </w:t>
            </w:r>
            <w:r>
              <w:rPr>
                <w:rFonts w:ascii="Arial" w:cs="Arial" w:eastAsia="Arial" w:hAnsi="Arial"/>
                <w:sz w:val="18"/>
                <w:szCs w:val="18"/>
                <w:b w:val="1"/>
                <w:bCs w:val="1"/>
                <w:color w:val="auto"/>
                <w:w w:val="85"/>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(Bcf/d)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Empress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Fractionation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88"/>
              </w:rPr>
              <w:t xml:space="preserve">Average Volume </w:t>
            </w:r>
            <w:r>
              <w:rPr>
                <w:rFonts w:ascii="Arial" w:cs="Arial" w:eastAsia="Arial" w:hAnsi="Arial"/>
                <w:sz w:val="18"/>
                <w:szCs w:val="18"/>
                <w:b w:val="1"/>
                <w:bCs w:val="1"/>
                <w:color w:val="auto"/>
                <w:w w:val="8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NGL Fractionation Facilities</w:t>
            </w:r>
          </w:p>
        </w:tc>
        <w:tc>
          <w:tcPr>
            <w:tcW w:w="60" w:type="dxa"/>
            <w:vAlign w:val="bottom"/>
          </w:tcPr>
          <w:p>
            <w:pPr>
              <w:spacing w:after="0"/>
              <w:rPr>
                <w:sz w:val="12"/>
                <w:szCs w:val="12"/>
                <w:color w:val="auto"/>
              </w:rPr>
            </w:pPr>
          </w:p>
        </w:tc>
        <w:tc>
          <w:tcPr>
            <w:tcW w:w="18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Capacity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4"/>
          </w:tcPr>
          <w:p>
            <w:pPr>
              <w:jc w:val="center"/>
              <w:ind w:right="140"/>
              <w:spacing w:after="0" w:line="202" w:lineRule="exact"/>
              <w:rPr>
                <w:sz w:val="20"/>
                <w:szCs w:val="20"/>
                <w:color w:val="auto"/>
              </w:rPr>
            </w:pPr>
            <w:r>
              <w:rPr>
                <w:rFonts w:ascii="Arial" w:cs="Arial" w:eastAsia="Arial" w:hAnsi="Arial"/>
                <w:sz w:val="14"/>
                <w:szCs w:val="14"/>
                <w:b w:val="1"/>
                <w:bCs w:val="1"/>
                <w:color w:val="auto"/>
                <w:w w:val="87"/>
              </w:rPr>
              <w:t xml:space="preserve">(Bbls/d) </w:t>
            </w:r>
            <w:r>
              <w:rPr>
                <w:rFonts w:ascii="Arial" w:cs="Arial" w:eastAsia="Arial" w:hAnsi="Arial"/>
                <w:sz w:val="18"/>
                <w:szCs w:val="18"/>
                <w:b w:val="1"/>
                <w:bCs w:val="1"/>
                <w:color w:val="auto"/>
                <w:w w:val="87"/>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rPr>
                <w:sz w:val="20"/>
                <w:szCs w:val="20"/>
                <w:color w:val="auto"/>
              </w:rPr>
            </w:pPr>
            <w:r>
              <w:rPr>
                <w:rFonts w:ascii="Arial" w:cs="Arial" w:eastAsia="Arial" w:hAnsi="Arial"/>
                <w:sz w:val="14"/>
                <w:szCs w:val="14"/>
                <w:b w:val="1"/>
                <w:bCs w:val="1"/>
                <w:color w:val="auto"/>
                <w:w w:val="95"/>
              </w:rPr>
              <w:t>(Bbls/d)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Empress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ind w:left="20"/>
              <w:spacing w:after="0" w:line="230" w:lineRule="exact"/>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23"/>
                <w:szCs w:val="23"/>
                <w:i w:val="1"/>
                <w:iCs w:val="1"/>
                <w:color w:val="auto"/>
                <w:vertAlign w:val="superscript"/>
              </w:rPr>
              <w:t>(3)</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21-100%</w:t>
            </w:r>
          </w:p>
        </w:tc>
        <w:tc>
          <w:tcPr>
            <w:tcW w:w="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61,700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49,900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shd w:val="clear" w:color="auto" w:fill="CCEEFF"/>
          </w:tcPr>
          <w:p>
            <w:pPr>
              <w:ind w:left="20"/>
              <w:spacing w:after="0"/>
              <w:rPr>
                <w:sz w:val="20"/>
                <w:szCs w:val="20"/>
                <w:color w:val="auto"/>
              </w:rPr>
            </w:pPr>
            <w:r>
              <w:rPr>
                <w:rFonts w:ascii="Arial" w:cs="Arial" w:eastAsia="Arial" w:hAnsi="Arial"/>
                <w:sz w:val="18"/>
                <w:szCs w:val="18"/>
                <w:i w:val="1"/>
                <w:iCs w:val="1"/>
                <w:color w:val="auto"/>
              </w:rPr>
              <w:t>Sarnia</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62-84%</w:t>
            </w:r>
          </w:p>
        </w:tc>
        <w:tc>
          <w:tcPr>
            <w:tcW w:w="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ind w:left="20"/>
              <w:spacing w:after="0"/>
              <w:rPr>
                <w:sz w:val="20"/>
                <w:szCs w:val="20"/>
                <w:color w:val="auto"/>
              </w:rPr>
            </w:pPr>
            <w:r>
              <w:rPr>
                <w:rFonts w:ascii="Arial" w:cs="Arial" w:eastAsia="Arial" w:hAnsi="Arial"/>
                <w:sz w:val="18"/>
                <w:szCs w:val="18"/>
                <w:i w:val="1"/>
                <w:iCs w:val="1"/>
                <w:color w:val="auto"/>
              </w:rPr>
              <w:t>Other</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82-100%</w:t>
            </w:r>
          </w:p>
        </w:tc>
        <w:tc>
          <w:tcPr>
            <w:tcW w:w="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25,600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136,800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Storage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0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 xml:space="preserve">Capacity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gridSpan w:val="5"/>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(MMBbls)</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spacing w:after="0" w:line="230" w:lineRule="exact"/>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23"/>
                <w:szCs w:val="23"/>
                <w:i w:val="1"/>
                <w:iCs w:val="1"/>
                <w:color w:val="auto"/>
                <w:vertAlign w:val="superscript"/>
              </w:rPr>
              <w:t>(3)</w:t>
            </w: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spacing w:after="0"/>
              <w:rPr>
                <w:sz w:val="20"/>
                <w:szCs w:val="20"/>
                <w:color w:val="auto"/>
              </w:rPr>
            </w:pPr>
            <w:r>
              <w:rPr>
                <w:rFonts w:ascii="Arial" w:cs="Arial" w:eastAsia="Arial" w:hAnsi="Arial"/>
                <w:sz w:val="18"/>
                <w:szCs w:val="18"/>
                <w:i w:val="1"/>
                <w:iCs w:val="1"/>
                <w:color w:val="auto"/>
              </w:rPr>
              <w:t>Sarnia</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Empress</w:t>
            </w: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spacing w:after="0"/>
              <w:rPr>
                <w:sz w:val="20"/>
                <w:szCs w:val="20"/>
                <w:color w:val="auto"/>
              </w:rPr>
            </w:pPr>
            <w:r>
              <w:rPr>
                <w:rFonts w:ascii="Arial" w:cs="Arial" w:eastAsia="Arial" w:hAnsi="Arial"/>
                <w:sz w:val="18"/>
                <w:szCs w:val="18"/>
                <w:i w:val="1"/>
                <w:iCs w:val="1"/>
                <w:color w:val="auto"/>
              </w:rPr>
              <w:t>Other</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5"/>
                <w:szCs w:val="15"/>
                <w:b w:val="1"/>
                <w:bCs w:val="1"/>
                <w:color w:val="auto"/>
                <w:w w:val="91"/>
              </w:rPr>
              <w:t>Approximate System</w:t>
            </w: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 xml:space="preserve">Average Volumes </w:t>
            </w:r>
            <w:r>
              <w:rPr>
                <w:rFonts w:ascii="Arial" w:cs="Arial" w:eastAsia="Arial" w:hAnsi="Arial"/>
                <w:sz w:val="19"/>
                <w:szCs w:val="19"/>
                <w:b w:val="1"/>
                <w:bCs w:val="1"/>
                <w:color w:val="auto"/>
                <w:w w:val="8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4"/>
          </w:tcPr>
          <w:p>
            <w:pPr>
              <w:jc w:val="center"/>
              <w:ind w:right="240"/>
              <w:spacing w:after="0" w:line="216" w:lineRule="exact"/>
              <w:rPr>
                <w:sz w:val="20"/>
                <w:szCs w:val="20"/>
                <w:color w:val="auto"/>
              </w:rPr>
            </w:pPr>
            <w:r>
              <w:rPr>
                <w:rFonts w:ascii="Arial" w:cs="Arial" w:eastAsia="Arial" w:hAnsi="Arial"/>
                <w:sz w:val="15"/>
                <w:szCs w:val="15"/>
                <w:b w:val="1"/>
                <w:bCs w:val="1"/>
                <w:color w:val="auto"/>
                <w:w w:val="90"/>
              </w:rPr>
              <w:t xml:space="preserve">Miles </w:t>
            </w:r>
            <w:r>
              <w:rPr>
                <w:rFonts w:ascii="Arial" w:cs="Arial" w:eastAsia="Arial" w:hAnsi="Arial"/>
                <w:sz w:val="19"/>
                <w:szCs w:val="19"/>
                <w:b w:val="1"/>
                <w:bCs w:val="1"/>
                <w:color w:val="auto"/>
                <w:w w:val="90"/>
                <w:vertAlign w:val="superscript"/>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86"/>
              <w:spacing w:after="0"/>
              <w:rPr>
                <w:sz w:val="20"/>
                <w:szCs w:val="20"/>
                <w:color w:val="auto"/>
              </w:rPr>
            </w:pPr>
            <w:r>
              <w:rPr>
                <w:rFonts w:ascii="Arial" w:cs="Arial" w:eastAsia="Arial" w:hAnsi="Arial"/>
                <w:sz w:val="15"/>
                <w:szCs w:val="15"/>
                <w:b w:val="1"/>
                <w:bCs w:val="1"/>
                <w:color w:val="auto"/>
                <w:w w:val="96"/>
              </w:rPr>
              <w:t>(MBbls/d)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i w:val="1"/>
                <w:iCs w:val="1"/>
                <w:color w:val="auto"/>
              </w:rPr>
              <w:t>NGL Pipelines</w:t>
            </w:r>
          </w:p>
        </w:tc>
        <w:tc>
          <w:tcPr>
            <w:tcW w:w="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6"/>
              <w:spacing w:after="0"/>
              <w:rPr>
                <w:sz w:val="20"/>
                <w:szCs w:val="20"/>
                <w:color w:val="auto"/>
              </w:rPr>
            </w:pPr>
            <w:r>
              <w:rPr>
                <w:rFonts w:ascii="Arial" w:cs="Arial" w:eastAsia="Arial" w:hAnsi="Arial"/>
                <w:sz w:val="18"/>
                <w:szCs w:val="18"/>
                <w:color w:val="auto"/>
              </w:rPr>
              <w:t>1,620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86"/>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Rack Spots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66"/>
              <w:spacing w:after="0"/>
              <w:rPr>
                <w:sz w:val="20"/>
                <w:szCs w:val="20"/>
                <w:color w:val="auto"/>
              </w:rPr>
            </w:pPr>
            <w:r>
              <w:rPr>
                <w:rFonts w:ascii="Arial" w:cs="Arial" w:eastAsia="Arial" w:hAnsi="Arial"/>
                <w:sz w:val="14"/>
                <w:szCs w:val="14"/>
                <w:b w:val="1"/>
                <w:bCs w:val="1"/>
                <w:color w:val="auto"/>
                <w:w w:val="88"/>
              </w:rPr>
              <w:t>Storage Spots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i w:val="1"/>
                <w:iCs w:val="1"/>
                <w:color w:val="auto"/>
              </w:rPr>
              <w:t>NGL Rail Facilities</w:t>
            </w:r>
          </w:p>
        </w:tc>
        <w:tc>
          <w:tcPr>
            <w:tcW w:w="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6"/>
              <w:spacing w:after="0"/>
              <w:rPr>
                <w:sz w:val="20"/>
                <w:szCs w:val="20"/>
                <w:color w:val="auto"/>
              </w:rPr>
            </w:pPr>
            <w:r>
              <w:rPr>
                <w:rFonts w:ascii="Arial" w:cs="Arial" w:eastAsia="Arial" w:hAnsi="Arial"/>
                <w:sz w:val="18"/>
                <w:szCs w:val="18"/>
                <w:color w:val="auto"/>
              </w:rPr>
              <w:t>277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288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Represents total average annual capacity of the facilities, net to our ownership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Average daily volumes are calculated as the total volumes for the year, net to our share, divided by the number of days in the year.</w:t>
      </w:r>
    </w:p>
    <w:p>
      <w:pPr>
        <w:spacing w:after="0" w:line="117" w:lineRule="exact"/>
        <w:rPr>
          <w:sz w:val="20"/>
          <w:szCs w:val="20"/>
          <w:color w:val="auto"/>
        </w:rPr>
      </w:pPr>
    </w:p>
    <w:p>
      <w:pPr>
        <w:ind w:left="20" w:right="160" w:hanging="11"/>
        <w:spacing w:after="0" w:line="263" w:lineRule="auto"/>
        <w:rPr>
          <w:sz w:val="20"/>
          <w:szCs w:val="20"/>
          <w:color w:val="auto"/>
        </w:rPr>
      </w:pPr>
      <w:r>
        <w:rPr>
          <w:rFonts w:ascii="Arial" w:cs="Arial" w:eastAsia="Arial" w:hAnsi="Arial"/>
          <w:sz w:val="18"/>
          <w:szCs w:val="18"/>
          <w:color w:val="auto"/>
        </w:rPr>
        <w:t>Includes our approximately 21% non-operated/undivided joint ownership interest in the Keyera Fort Saskatchewan facility and associated fractionation capacity of 17,300 barrels per day and storage capacity of approximately four million barrels. In December 2022, we entered into a definitive agreement to sell our interest in this facility. The transaction closed in February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total mileage of pipelines in which we own a less than 100% interest.</w:t>
      </w:r>
    </w:p>
    <w:p>
      <w:pPr>
        <w:spacing w:after="0" w:line="200" w:lineRule="exact"/>
        <w:rPr>
          <w:sz w:val="20"/>
          <w:szCs w:val="20"/>
          <w:color w:val="auto"/>
        </w:rPr>
      </w:pPr>
    </w:p>
    <w:p>
      <w:pPr>
        <w:sectPr>
          <w:pgSz w:w="11900" w:h="16838" w:orient="portrait"/>
          <w:cols w:equalWidth="0" w:num="2">
            <w:col w:w="140" w:space="500"/>
            <w:col w:w="10580"/>
          </w:cols>
          <w:pgMar w:left="320" w:top="130" w:right="359" w:bottom="1440" w:gutter="0" w:footer="0" w:header="0"/>
          <w:type w:val="continuous"/>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and NGL Infrastructure</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Empress Facility</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Empress plants are capable of processing up to 6.2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23,300 barrels per day of NGL products and is connected to rail loading infrastructure at Empress and our PPTC pipeline system, which enables NGL to be transported to storage and loading terminals in Saskatchewan and Manitoba.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Co-Ed Pipeline</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Fort Saskatchewan Complex</w:t>
      </w:r>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219"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Within the Fort Saskatchewan area, as of December 31, 2022, we also held an approximately 21% ownership in the Keyera Fort Saskatchewan facility, which included fractionation capacity of approximately 17,300 barrels per day, net to our interest, and 17 storage caverns. In December of 2022, we signed a purchase and sale agreement for the divestiture of our interest in this facility. The transaction closed in February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Sarnia Area</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62% to 84%.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Crude oil, NGL and natural gas commodity prices have historically been very volatile. For example, in 2022, the prompt month NYMEX light, sweet futures contract (commonly referred to as “WTI”) price ranged from a low of approximately $71 per barrel to a high of approximately $124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addition, relative contribution levels will vary from quarter-to-quarter due to seasonality, particularly with respect to our NGL merchant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9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COVID-19 impacts, we are currently experiencing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0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also face competition with respect to our merchant activities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recently constructed pipelines supported by minimum volume commitments and/or acreage dedications could also amplify the level of competition for purchasing wellhead barrels, especially in the Permian Basin, and thus impact our margins.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and Joint Ownership Arrangements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party to more than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significant JVs as of December 31,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JV</w:t>
            </w:r>
          </w:p>
        </w:tc>
        <w:tc>
          <w:tcPr>
            <w:tcW w:w="0" w:type="dxa"/>
            <w:vAlign w:val="bottom"/>
          </w:tcPr>
          <w:p>
            <w:pPr>
              <w:spacing w:after="0"/>
              <w:rPr>
                <w:sz w:val="1"/>
                <w:szCs w:val="1"/>
                <w:color w:val="auto"/>
              </w:rPr>
            </w:pPr>
          </w:p>
        </w:tc>
      </w:tr>
      <w:tr>
        <w:trPr>
          <w:trHeight w:val="144"/>
        </w:trPr>
        <w:tc>
          <w:tcPr>
            <w:tcW w:w="5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Type of Operation</w:t>
            </w: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96"/>
        </w:trPr>
        <w:tc>
          <w:tcPr>
            <w:tcW w:w="5740" w:type="dxa"/>
            <w:vAlign w:val="bottom"/>
            <w:gridSpan w:val="3"/>
            <w:vMerge w:val="continue"/>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30"/>
        </w:trPr>
        <w:tc>
          <w:tcPr>
            <w:tcW w:w="5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Cactus II Pipeline LLC </w:t>
            </w:r>
            <w:r>
              <w:rPr>
                <w:rFonts w:ascii="Arial" w:cs="Arial" w:eastAsia="Arial" w:hAnsi="Arial"/>
                <w:sz w:val="23"/>
                <w:szCs w:val="23"/>
                <w:color w:val="auto"/>
                <w:vertAlign w:val="superscript"/>
              </w:rPr>
              <w:t>(2)</w:t>
            </w:r>
          </w:p>
        </w:tc>
        <w:tc>
          <w:tcPr>
            <w:tcW w:w="386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3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Diamond Pipeline LLC</w:t>
            </w:r>
          </w:p>
        </w:tc>
        <w:tc>
          <w:tcPr>
            <w:tcW w:w="386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386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386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Plains Oryx Permian Basin LLC </w:t>
            </w:r>
            <w:r>
              <w:rPr>
                <w:rFonts w:ascii="Arial" w:cs="Arial" w:eastAsia="Arial" w:hAnsi="Arial"/>
                <w:sz w:val="23"/>
                <w:szCs w:val="23"/>
                <w:color w:val="auto"/>
                <w:vertAlign w:val="superscript"/>
              </w:rPr>
              <w:t>(2) (3)</w:t>
            </w:r>
          </w:p>
        </w:tc>
        <w:tc>
          <w:tcPr>
            <w:tcW w:w="386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88"/>
              </w:rPr>
              <w:t xml:space="preserve">Crude Oil Pipelines and Related Assets </w:t>
            </w:r>
            <w:r>
              <w:rPr>
                <w:rFonts w:ascii="Arial" w:cs="Arial" w:eastAsia="Arial" w:hAnsi="Arial"/>
                <w:sz w:val="23"/>
                <w:szCs w:val="23"/>
                <w:color w:val="auto"/>
                <w:w w:val="88"/>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Red River Pipeline Company LLC </w:t>
            </w:r>
            <w:r>
              <w:rPr>
                <w:rFonts w:ascii="Arial" w:cs="Arial" w:eastAsia="Arial" w:hAnsi="Arial"/>
                <w:sz w:val="23"/>
                <w:szCs w:val="23"/>
                <w:color w:val="auto"/>
                <w:vertAlign w:val="superscript"/>
              </w:rPr>
              <w:t>(2) (4)</w:t>
            </w:r>
          </w:p>
        </w:tc>
        <w:tc>
          <w:tcPr>
            <w:tcW w:w="386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Saddlehorn Pipeline Company, LLC </w:t>
            </w:r>
            <w:r>
              <w:rPr>
                <w:rFonts w:ascii="Arial" w:cs="Arial" w:eastAsia="Arial" w:hAnsi="Arial"/>
                <w:sz w:val="23"/>
                <w:szCs w:val="23"/>
                <w:color w:val="auto"/>
                <w:vertAlign w:val="superscript"/>
              </w:rPr>
              <w:t>(4)</w:t>
            </w:r>
          </w:p>
        </w:tc>
        <w:tc>
          <w:tcPr>
            <w:tcW w:w="3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White Cliffs Pipeline, LLC</w:t>
            </w: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Wink to Webster Pipeline LLC </w:t>
            </w:r>
            <w:r>
              <w:rPr>
                <w:rFonts w:ascii="Arial" w:cs="Arial" w:eastAsia="Arial" w:hAnsi="Arial"/>
                <w:sz w:val="23"/>
                <w:szCs w:val="23"/>
                <w:color w:val="auto"/>
                <w:vertAlign w:val="superscript"/>
              </w:rPr>
              <w:t>(4)</w:t>
            </w:r>
          </w:p>
        </w:tc>
        <w:tc>
          <w:tcPr>
            <w:tcW w:w="3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Assets are operated by Plains.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consolidate the entity based on control, with our partner’s interest accounted for as a noncontrolling interest.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Entity owns a 57% interest in OMOG JV LLC (“OMOG”), an unconsolidated entity that owns a crude oil pipeline.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Entity owns a UJI in the crude oil pipeline.</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significant UJIs as of December 31, 2022, excluding UJIs that are indirectly owned by us through JVs (e.g.,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Wink to Webster, Saddlehorn and Red River JVs):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UJI</w:t>
            </w:r>
          </w:p>
        </w:tc>
        <w:tc>
          <w:tcPr>
            <w:tcW w:w="0" w:type="dxa"/>
            <w:vAlign w:val="bottom"/>
          </w:tcPr>
          <w:p>
            <w:pPr>
              <w:spacing w:after="0"/>
              <w:rPr>
                <w:sz w:val="1"/>
                <w:szCs w:val="1"/>
                <w:color w:val="auto"/>
              </w:rPr>
            </w:pPr>
          </w:p>
        </w:tc>
      </w:tr>
      <w:tr>
        <w:trPr>
          <w:trHeight w:val="144"/>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3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97"/>
        </w:trPr>
        <w:tc>
          <w:tcPr>
            <w:tcW w:w="500" w:type="dxa"/>
            <w:vAlign w:val="bottom"/>
            <w:vMerge w:val="continue"/>
          </w:tcPr>
          <w:p>
            <w:pPr>
              <w:spacing w:after="0"/>
              <w:rPr>
                <w:sz w:val="17"/>
                <w:szCs w:val="17"/>
                <w:color w:val="auto"/>
              </w:rPr>
            </w:pPr>
          </w:p>
        </w:tc>
        <w:tc>
          <w:tcPr>
            <w:tcW w:w="3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Operation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9"/>
        </w:trPr>
        <w:tc>
          <w:tcPr>
            <w:tcW w:w="6320" w:type="dxa"/>
            <w:vAlign w:val="bottom"/>
            <w:tcBorders>
              <w:top w:val="single" w:sz="8" w:color="auto"/>
            </w:tcBorders>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Basin Pipeline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87%</w:t>
            </w:r>
          </w:p>
        </w:tc>
        <w:tc>
          <w:tcPr>
            <w:tcW w:w="0" w:type="dxa"/>
            <w:vAlign w:val="bottom"/>
          </w:tcPr>
          <w:p>
            <w:pPr>
              <w:spacing w:after="0"/>
              <w:rPr>
                <w:sz w:val="1"/>
                <w:szCs w:val="1"/>
                <w:color w:val="auto"/>
              </w:rPr>
            </w:pPr>
          </w:p>
        </w:tc>
      </w:tr>
      <w:tr>
        <w:trPr>
          <w:trHeight w:val="230"/>
        </w:trPr>
        <w:tc>
          <w:tcPr>
            <w:tcW w:w="65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Fort Saskatchewan NGL Storage and Fractionation </w:t>
            </w:r>
            <w:r>
              <w:rPr>
                <w:rFonts w:ascii="Arial" w:cs="Arial" w:eastAsia="Arial" w:hAnsi="Arial"/>
                <w:sz w:val="23"/>
                <w:szCs w:val="23"/>
                <w:color w:val="auto"/>
                <w:vertAlign w:val="superscript"/>
              </w:rPr>
              <w:t>(2)</w:t>
            </w:r>
          </w:p>
        </w:tc>
        <w:tc>
          <w:tcPr>
            <w:tcW w:w="30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NGL Facility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21% to 48%</w:t>
            </w:r>
          </w:p>
        </w:tc>
        <w:tc>
          <w:tcPr>
            <w:tcW w:w="0" w:type="dxa"/>
            <w:vAlign w:val="bottom"/>
          </w:tcPr>
          <w:p>
            <w:pPr>
              <w:spacing w:after="0"/>
              <w:rPr>
                <w:sz w:val="1"/>
                <w:szCs w:val="1"/>
                <w:color w:val="auto"/>
              </w:rPr>
            </w:pPr>
          </w:p>
        </w:tc>
      </w:tr>
      <w:tr>
        <w:trPr>
          <w:trHeight w:val="229"/>
        </w:trPr>
        <w:tc>
          <w:tcPr>
            <w:tcW w:w="65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Kerrobert Storage and Pipeline Assets </w:t>
            </w:r>
            <w:r>
              <w:rPr>
                <w:rFonts w:ascii="Arial" w:cs="Arial" w:eastAsia="Arial" w:hAnsi="Arial"/>
                <w:sz w:val="23"/>
                <w:szCs w:val="23"/>
                <w:color w:val="auto"/>
                <w:vertAlign w:val="superscript"/>
              </w:rPr>
              <w:t>(1)</w:t>
            </w:r>
          </w:p>
        </w:tc>
        <w:tc>
          <w:tcPr>
            <w:tcW w:w="3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NGL Pipeline and Facility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9"/>
        </w:trPr>
        <w:tc>
          <w:tcPr>
            <w:tcW w:w="65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Sarnia NGL Storage and Fractionation </w:t>
            </w:r>
            <w:r>
              <w:rPr>
                <w:rFonts w:ascii="Arial" w:cs="Arial" w:eastAsia="Arial" w:hAnsi="Arial"/>
                <w:sz w:val="23"/>
                <w:szCs w:val="23"/>
                <w:color w:val="auto"/>
                <w:vertAlign w:val="superscript"/>
              </w:rPr>
              <w:t>(2)</w:t>
            </w:r>
          </w:p>
        </w:tc>
        <w:tc>
          <w:tcPr>
            <w:tcW w:w="30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NGL Facility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62% to 84%</w:t>
            </w: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Sunrise II Pipeline </w:t>
            </w:r>
            <w:r>
              <w:rPr>
                <w:rFonts w:ascii="Arial" w:cs="Arial" w:eastAsia="Arial" w:hAnsi="Arial"/>
                <w:sz w:val="23"/>
                <w:szCs w:val="23"/>
                <w:color w:val="auto"/>
                <w:vertAlign w:val="superscript"/>
              </w:rPr>
              <w:t>(1)</w:t>
            </w:r>
          </w:p>
        </w:tc>
        <w:tc>
          <w:tcPr>
            <w:tcW w:w="3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175"/>
        </w:trPr>
        <w:tc>
          <w:tcPr>
            <w:tcW w:w="5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2640" w:type="dxa"/>
            <w:vAlign w:val="bottom"/>
            <w:gridSpan w:val="2"/>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500" w:type="dxa"/>
            <w:vAlign w:val="bottom"/>
          </w:tcPr>
          <w:p>
            <w:pPr>
              <w:spacing w:after="0"/>
              <w:rPr>
                <w:sz w:val="20"/>
                <w:szCs w:val="20"/>
                <w:color w:val="auto"/>
              </w:rPr>
            </w:pPr>
            <w:r>
              <w:rPr>
                <w:rFonts w:ascii="Arial" w:cs="Arial" w:eastAsia="Arial" w:hAnsi="Arial"/>
                <w:sz w:val="12"/>
                <w:szCs w:val="12"/>
                <w:color w:val="auto"/>
              </w:rPr>
              <w:t>(1)</w:t>
            </w:r>
          </w:p>
        </w:tc>
        <w:tc>
          <w:tcPr>
            <w:tcW w:w="6020" w:type="dxa"/>
            <w:vAlign w:val="bottom"/>
            <w:gridSpan w:val="3"/>
          </w:tcPr>
          <w:p>
            <w:pPr>
              <w:ind w:left="140"/>
              <w:spacing w:after="0"/>
              <w:rPr>
                <w:sz w:val="20"/>
                <w:szCs w:val="20"/>
                <w:color w:val="auto"/>
              </w:rPr>
            </w:pPr>
            <w:r>
              <w:rPr>
                <w:rFonts w:ascii="Arial" w:cs="Arial" w:eastAsia="Arial" w:hAnsi="Arial"/>
                <w:sz w:val="18"/>
                <w:szCs w:val="18"/>
                <w:color w:val="auto"/>
              </w:rPr>
              <w:t>Asset is operated by Plains.</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2"/>
                <w:szCs w:val="12"/>
                <w:color w:val="auto"/>
              </w:rPr>
              <w:t>(2)</w:t>
            </w:r>
          </w:p>
        </w:tc>
        <w:tc>
          <w:tcPr>
            <w:tcW w:w="6020" w:type="dxa"/>
            <w:vAlign w:val="bottom"/>
            <w:gridSpan w:val="3"/>
          </w:tcPr>
          <w:p>
            <w:pPr>
              <w:ind w:left="140"/>
              <w:spacing w:after="0"/>
              <w:rPr>
                <w:sz w:val="20"/>
                <w:szCs w:val="20"/>
                <w:color w:val="auto"/>
              </w:rPr>
            </w:pPr>
            <w:r>
              <w:rPr>
                <w:rFonts w:ascii="Arial" w:cs="Arial" w:eastAsia="Arial" w:hAnsi="Arial"/>
                <w:sz w:val="18"/>
                <w:szCs w:val="18"/>
                <w:color w:val="auto"/>
              </w:rPr>
              <w:t>Certain of these assets are operated by Plains.</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our initial public offering in 1998, the acquisition of midstream assets and businesses has been an important component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strategy. While the pace of our acquisition activity has slowed down in recent years, we continue to selectively analyze and pursue the acquisition of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businesses that are strategic and complementary to our existing operations. We also routinely review our asset portfolio to evaluate potential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non-core assets and/or sales of partial interests in assets to strategic joint venture partners to optimize our asset portfolio and strengthen our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leverage metrics. For example, from 2016 through December 31, 2022, we have completed several acquisitions for an aggregate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billion (which figure excludes the value of our Permian JV formed in October 2021), and we have completed asset sales and sales of partial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to strategic joint venture partners totaling more than approximately $4.6 billion. See Note 7 to our Consolidated Financial Statements for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Projects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2023 capital plan consists of capital-efficient, highly contracted projects that help address industry needs.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investment capital for the year ending December 31, 2023 is currently projected to be approximately $420 million ($325 million net to our interest), of which approximately half is expected to be associated with the Permian JV. Additionally, maintenance capital for 2023 is currently projected to be $205 million ($195 million net to our interest). Note that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Environmental Regulation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Pipeline Safety/Integrity Management</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$20 million in 2022. Based on currently available information, our preliminary estimate for 2023 is that we will incur approximately $30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$14 million in 2022, and our preliminary estimate for 2023 is that we will incur approximately $10 million of such costs.</w:t>
      </w:r>
    </w:p>
    <w:p>
      <w:pPr>
        <w:spacing w:after="0" w:line="19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Federal legislation has resulted in more stringent mandates for pipeline safety and has charged PHMSA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$28 million in 2022. For 2023, we have budgeted approximately $35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Furthermore, our operations may also be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must implement certain of these technologies, unless specifically exempted, by April 1,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Canada, the CER and provincial regulators regulate the safety and integrity management of pipelines and facilities used for hydrocarbon transmission and storage. We have incurred and will continue to incur costs related to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$85 million in 2022. Our preliminary estimate for 2023 is approximately $80 million of costs on such projects.</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requirements are implemented.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Solid Waste</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Hazardous Substances</w:t>
      </w:r>
    </w:p>
    <w:p>
      <w:pPr>
        <w:spacing w:after="0" w:line="25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0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56"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Air Emissions</w:t>
      </w:r>
    </w:p>
    <w:p>
      <w:pPr>
        <w:spacing w:after="0" w:line="25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211"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Climate Change Initiatives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Two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spacing w:after="0" w:line="199"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At the state level, California has implemented a GHG cap-and-trade program. California finished fuels providers (refiners and importers), including Plains Marketing and Plains Midstream Canada, are required to purchase GHG emission credits for finished fuel sold in or imported into California.</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with this reporting requirement is not considered to be material. Several Canadian Provinces, including some in which we operate, have implemented additional climate-related initiatives and regulations.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Water</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In April 2020, the federal district court for the District of Montana vacated the Corps’ NWP 12 after determining that it failed to comply with consultation requirements under the Endangered Species Act, though the district court’s order was subsequently limited on appeal. In January 2021, the Corps published a reissuance of NWP 12, but this permit is being challenged in federal court on the same grounds that were litigated in the April 2020 case. More recently, the Corps announced it was beginning a formal review of NWP 12 in May 2022.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Also, there continues to be uncertainty on the federal government’s applicable jurisdictional reach under the Clean Water Act over waters of the United States (“WOTUS”), including wetlands. The EPA and the Corps under the Obama, Trump and Biden Administrations have pursued multiple rulemakings since 2015 in an attempt to determine the scope of such reach, and in several instances, federal courts have vacated these rulemakings. Two federal district court decisions vacated the Trump Administration’s 2020 rule, which resulted in a return to protections that were in place prior to the 2015 rulemaking revisions under the Obama Administration. The EPA and the Corps recently published a final rule, which will take effect on March 20, 2023, defining WOTUS according to the broader pre-2015 standards with additional updates to incorporate existing Supreme Court decisions and agency guidance. However, the new rule has already been challenged, with the State of Texas and industry groups filing separate suits in federal court in Texas on January 18, 2023. Moreover, the EPA and the Corps have announced an intent to develop a subsequent rule further revising the definition of WOTUS. Additionally, the Supreme Court is also expected to rule in mid-2023 on the legal tests used to determine whether wetlands are WOTUS, which ruling could impact the regulatory definition and its implementation more broadly. Therefore, the ongoing boundaries and substance of the WOTUS definition and its impacts on the scope of the CWA remain uncertain at this time. In addition, in an April 2020 decision, the U.S. Supreme Court held that, in certain cases, discharges from a point source to groundwater could fall within the scope of the CWA and require a permit. The Court rejected the EPA’s and Corps’ assertion that groundwater should be totally excluded from the CWA.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Endangered Species</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Regulation</w:t>
      </w:r>
    </w:p>
    <w:p>
      <w:pPr>
        <w:spacing w:after="0" w:line="25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 of liquids are subject to rate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the Commission reduced the oil pricing index factor for oil pipelines to use for the current five-year period. As a result, the ceiling levels computed for July 1, 2021 to June 30, 2022, as well as the ceiling levels for July 1, 2022 to June 30, 2023, and the resulting rates currently in effect for certain of our liquids pipelines, were computed to account for the appropriate index factor. Some parties sought rehearing of the January 20, 2022 order with FERC, which was denied by FERC on May 6, 2022. Certain parties have appealed the January 20, 2022 and May 6, 2022 FERC orders, and the appeals remain pending before the DC Circuit. FERC has also retained cost-of-service ratemaking, market-based rates and settlement rates as alternatives to the indexing approach that may be used in certain specified circumstances.</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Energy Policy Act of 2005 (“EPAct 2005”) authorized FERC to impose civil penalties for violations of the ICA and FERC regulations thereunder, up to a maximum amount that is adjusted annually for inflation, which for 2023 equals $15,662 per day, per violation. Should we fail to comply with applicable statutes, rules, regulations and orders administered by FERC, we could be subject to substantial penalties and fines.</w:t>
      </w:r>
    </w:p>
    <w:p>
      <w:pPr>
        <w:spacing w:after="0" w:line="19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Intrastate Regulation in the United States. </w:t>
      </w:r>
      <w:r>
        <w:rPr>
          <w:rFonts w:ascii="Arial" w:cs="Arial" w:eastAsia="Arial" w:hAnsi="Arial"/>
          <w:sz w:val="17"/>
          <w:szCs w:val="17"/>
          <w:color w:val="auto"/>
        </w:rPr>
        <w:t>Our intrastate liquids pipeline transportation activities are subject to various state laws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9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CER and by provincial regulators. With respect to pipelines</w:t>
      </w:r>
      <w:r>
        <w:rPr>
          <w:rFonts w:ascii="Arial" w:cs="Arial" w:eastAsia="Arial" w:hAnsi="Arial"/>
          <w:sz w:val="18"/>
          <w:szCs w:val="18"/>
          <w:i w:val="1"/>
          <w:iCs w:val="1"/>
          <w:color w:val="auto"/>
        </w:rPr>
        <w:t xml:space="preserve"> </w:t>
      </w:r>
      <w:r>
        <w:rPr>
          <w:rFonts w:ascii="Arial" w:cs="Arial" w:eastAsia="Arial" w:hAnsi="Arial"/>
          <w:sz w:val="18"/>
          <w:szCs w:val="18"/>
          <w:color w:val="auto"/>
        </w:rPr>
        <w:t>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Trucking Regulation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Railcar Regulation</w:t>
      </w:r>
    </w:p>
    <w:p>
      <w:pPr>
        <w:spacing w:after="0" w:line="25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w:t>
      </w:r>
    </w:p>
    <w:p>
      <w:pPr>
        <w:spacing w:after="0" w:line="184"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late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Indigenous Protections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Security Administration Security Directives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2021, in response to the Colonial Pipeline cybersecurity incident, The United States Department of Homeland Security’s Transportation Security Administration (“TSA”) issued two comprehensive security directives that included various cyber security and reporting requirements for critical infrastructure pipeline owners and/or operators. Compliance with these security directives may have a significant impact on our operations and results of operations.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Cross Border Regulation</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our cross border activities, including transportation and importation of crude oil and NGL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 Anti-Manipulation Regulation</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$1.4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real property holdings generally consist of: (i) parcels of land that we own in fee, (ii) surface leases and underground storage leases and</w:t>
      </w:r>
    </w:p>
    <w:p>
      <w:pPr>
        <w:spacing w:after="0" w:line="35" w:lineRule="exact"/>
        <w:rPr>
          <w:sz w:val="20"/>
          <w:szCs w:val="20"/>
          <w:color w:val="auto"/>
        </w:rPr>
      </w:pPr>
    </w:p>
    <w:p>
      <w:pPr>
        <w:ind w:right="60" w:firstLine="8"/>
        <w:spacing w:after="0" w:line="292"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primary human capital management objective is to attract, retain and develop a high quality workforce that will enable us to maintain and enhance a culture that is consistent with our Core Values.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PMCULC). As of December 31, 2022, GP LLC and PMCULC employed approximately 4,100 people in North America, of which approximately 2,900 were employed in the U.S. and approximately 1,200 were employed in Canada. Approximately 69% of our workforce (approximately 2,800 employees) are field employees, which includes approximately 800 employees in our trucking division. Our employees are located in 25 states in the U.S. and in four provinces in Canada. Approximately 185 employees are covered by six separate collective bargaining agreements, which are open for renegotiation in 2023, 2024 and 2025.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safety component that is based on reductions in our recordable injury rate, and an environmental responsibility component that is tied to reductions in the number of federally reportable releases we experience. For 2022, our targets for these two areas were based on reductions from our 2020 results and we achieved or exceeded our targets, with reductions of approximately 18% and 35%, respectively, and since 2018, for each of these metrics, we have achieved cumulative reductions of more than 50%. In addition, in 2021 we established a new HSES Board Committee to provide additional oversight and perspectives with respect to HSES and ESG matters.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2022, approximately 21% of our overall workforce was female (46% exclusive of field employees), and under-represented groups comprised approximately 34% of our U.S. workforce (39% exclusive of field employees).</w:t>
      </w:r>
    </w:p>
    <w:p>
      <w:pPr>
        <w:spacing w:after="0" w:line="18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spacing w:after="0" w:line="211" w:lineRule="exact"/>
        <w:rPr>
          <w:sz w:val="20"/>
          <w:szCs w:val="20"/>
          <w:color w:val="auto"/>
        </w:rPr>
      </w:pPr>
    </w:p>
    <w:p>
      <w:pPr>
        <w:ind w:right="400" w:firstLine="648"/>
        <w:spacing w:after="0" w:line="301" w:lineRule="auto"/>
        <w:rPr>
          <w:sz w:val="20"/>
          <w:szCs w:val="20"/>
          <w:color w:val="auto"/>
        </w:rPr>
      </w:pPr>
      <w:r>
        <w:rPr>
          <w:rFonts w:ascii="Arial" w:cs="Arial" w:eastAsia="Arial" w:hAnsi="Arial"/>
          <w:sz w:val="16"/>
          <w:szCs w:val="16"/>
          <w:color w:val="auto"/>
        </w:rPr>
        <w:t>In addition, to further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Leadership Development</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20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5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9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spacing w:after="0" w:line="21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common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Procedures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www.plains.com</w:t>
      </w:r>
      <w:r>
        <w:rPr>
          <w:rFonts w:ascii="Arial" w:cs="Arial" w:eastAsia="Arial" w:hAnsi="Arial"/>
          <w:sz w:val="17"/>
          <w:szCs w:val="17"/>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includes a significant amount of information about us, including financial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business, results of operations, financial condition, cash flows and unit price can be adversely affected by many factors including but not limited to:</w:t>
      </w:r>
    </w:p>
    <w:p>
      <w:pPr>
        <w:spacing w:after="0" w:line="275" w:lineRule="exact"/>
        <w:rPr>
          <w:sz w:val="20"/>
          <w:szCs w:val="20"/>
          <w:color w:val="auto"/>
        </w:rPr>
      </w:pPr>
    </w:p>
    <w:p>
      <w:pPr>
        <w:ind w:left="660" w:right="4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 of crude oil, natural gas and NGL shipped, processed, purchased, stored, fractionated and/or gathered at or through the use of our facilities, which can be negatively impacted by a variety of factors outside of our control;</w:t>
      </w:r>
    </w:p>
    <w:p>
      <w:pPr>
        <w:spacing w:after="0" w:line="8"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our industry, including recontracting and other risks associated with the general capacity overbuild of midstream energy infrastructure in some of the areas where we operate;</w:t>
      </w:r>
    </w:p>
    <w:p>
      <w:pPr>
        <w:spacing w:after="0" w:line="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supply and demand for the products we handle and the services we provide, which can be caused by a variety of factors outside of our control;</w:t>
      </w:r>
    </w:p>
    <w:p>
      <w:pPr>
        <w:spacing w:after="0" w:line="8" w:lineRule="exact"/>
        <w:rPr>
          <w:rFonts w:ascii="Arial" w:cs="Arial" w:eastAsia="Arial" w:hAnsi="Arial"/>
          <w:sz w:val="18"/>
          <w:szCs w:val="18"/>
          <w:color w:val="auto"/>
        </w:rPr>
      </w:pPr>
    </w:p>
    <w:p>
      <w:pPr>
        <w:ind w:left="660" w:right="200" w:hanging="328"/>
        <w:spacing w:after="0" w:line="305"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w:t>
      </w: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attacks, data breaches and other disruptions affecting us, or our service providers, could materially and adversely affect our business, operations, reputation and financial results;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pandemics, epidemics or other public health events;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societal and political pressures from various groups, including opposition to the development or operation of our pipelines and facilities;</w:t>
      </w:r>
    </w:p>
    <w:p>
      <w:pPr>
        <w:spacing w:after="0" w:line="74"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concern by financial stakeholders with respect to our governance structure and the perceived social and environmental cost of our industry;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overall forward market for crude oil and NGL, and certain market structures, the absence of pricing volatility and other market factors;</w:t>
      </w:r>
    </w:p>
    <w:p>
      <w:pPr>
        <w:spacing w:after="0" w:line="74" w:lineRule="exact"/>
        <w:rPr>
          <w:rFonts w:ascii="Arial" w:cs="Arial" w:eastAsia="Arial" w:hAnsi="Arial"/>
          <w:sz w:val="17"/>
          <w:szCs w:val="17"/>
          <w:color w:val="auto"/>
        </w:rPr>
      </w:pPr>
    </w:p>
    <w:p>
      <w:pPr>
        <w:ind w:left="660" w:right="7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fully implement or realize expected returns or other anticipated benefits associated with joint venture and joint ownership arrangements, acquisitions, divestitures and other projects;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new businesses in connection with our strategy to participate in emerging energy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our investment grade credit rating or a significant reduction in our ability to receive open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credit risk of our customers and other counterparties we transact with in the ordinary course of business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otherwise limit our access to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insufficiency of, or non-compliance with, our risk policies;</w:t>
      </w:r>
    </w:p>
    <w:p>
      <w:pPr>
        <w:spacing w:after="0" w:line="63"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insurance coverage may not fully cover our losses and we may in the future encounter increased costs related to, and lack of availability of, insurance;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or future debt levels, or inability to borrow additional funds or capitalize on business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recruiting and retaining our workforce;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impairment of long-term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under-utilization of certain assets due to fixed costs incurred to obtain the right to use such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to repair and maintain our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own all of the land on which our pipelines and facilities are located, which could result in disruptions to our operations; and</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materials or commodities in the quantity and the quality we need, and at commercially acceptable prices, whether due to supply disruptions, inflation, tariffs, quotas or other factors.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business may be adversely impacted by existing or new laws, executive orders and regulations relating to protection of the environment and wildlife, operational safety, pandemics, cross-border import/export and tax matters, financial and hedging activities, climate change and related matters.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reimbursements due to our general partner may be substantial and will reduce our cash available for distribution to unitholders;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distributions are not guaranteed and may fluctuate with our performance and the establishment of financial reserves;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preferred units have rights, preferences and privileges that are not the same as, and are preferential to, the rights of holders of our common units;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unitholders may not be able to remove our general partner even if they wish to do so;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issue additional common units without unitholder approval, which would dilute a unitholder’s existing ownership interests;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conflicts of interest could arise among our general partner and us or our unitholders.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debt securities are subject to risks including but not limited to:</w:t>
      </w:r>
    </w:p>
    <w:p>
      <w:pPr>
        <w:spacing w:after="0" w:line="171" w:lineRule="exact"/>
        <w:rPr>
          <w:sz w:val="20"/>
          <w:szCs w:val="20"/>
          <w:color w:val="auto"/>
        </w:rPr>
      </w:pPr>
    </w:p>
    <w:p>
      <w:pPr>
        <w:ind w:left="660" w:right="28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spacing w:after="0" w:line="2" w:lineRule="exact"/>
        <w:rPr>
          <w:rFonts w:ascii="Arial" w:cs="Arial" w:eastAsia="Arial" w:hAnsi="Arial"/>
          <w:sz w:val="18"/>
          <w:szCs w:val="18"/>
          <w:color w:val="auto"/>
        </w:rPr>
      </w:pPr>
    </w:p>
    <w:p>
      <w:pPr>
        <w:ind w:left="660" w:right="64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have the same flexibility as other types of organizations to accumulate cash, which may limit cash available to service our debt securities or to repay them at maturity.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 and Series B Preferred Unitholders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Units and Series B Preferred Units are subject to tax risks, which may adversely impact the value of or market for our units and may reduce our cash available for distribution or debt service, including but not limited to:</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status as a partnership for U.S. federal income tax purposes and not being subject to a material amount of entity-level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legislative, judicial or administrative changes or differing interpretations, possibly applied on a retroactive basis;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audit adjustments to our income tax returns for tax years beginning after December 31, 2017, by the IRS or state tax authorities;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IRS or Canada Revenue Agency (“CRA”) contests to the federal income tax positions or inter-country allocations we take;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unitholders may be required to pay taxes on their share of our income even if they do not receive any cash distributions from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units;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taxable gain or loss on the disposition of our common units could be more or less than expected;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unitholders may be subject to limitation on their ability to deduct interest expense incurred by us;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unitholders will likely be subject to state, local and non-U.S. taxes and return filing requirements in states and jurisdictions where they do not live as a result of investing in our units; and</w:t>
      </w:r>
    </w:p>
    <w:p>
      <w:pPr>
        <w:spacing w:after="0" w:line="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Drilling activity, crude oil production and benchmark crude oil prices can fluctuate significantly over time for a wide variety of reasons, including prevailing economic conditions, reduced demand by consumers for end products made with hydrocarbons, increased competition, adverse weather conditions, public health emergencies, and government laws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19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Also, except with respect to some of our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21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spacing w:after="0" w:line="1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spacing w:after="0" w:line="15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1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supply and demand for the products we handle, which can be caused by a variety of factors outside of our control, can negatively affect our operating results.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Supply and demand for crude oil and other hydrocarbon products we handle is dependent upon a variety of factors, including price, current and future economic conditions,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21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2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Cybersecurity attacks, data breaches and other disruptions affecting us, or our service providers, could materially and adversely affect our business, operations, reputation and financial results.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reliant on the continuous and uninterrupted operation of our various technology systems. User access to our sites and information technology systems are critical elements of our operations, as is cloud security and protection against cyber security incidents. In the ordinary course of our business, we collect and store sensitive data in our data centers and on our networks, including intellectual property, proprietary business information, critical operating information and data, information regarding our customers, suppliers, royalty owners and business partners, and personally identifiable information of our employees. We also engage third parties, such as service providers and vendors, who provide a broad array of software, technologies, tools and other products, services and functions that enable us to conduct, monitor and/or protect our business, operations systems and data assets. The secure processing, maintenance and transmission of this information is critical to our operations and business strategy. Despite our security measures, the information technology and infrastructure we rely on may be vulnerable to attacks by third parties, such as hackers, or breached due to human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20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and certain of our service providers have, from time to time, been subject to cyberattacks. The frequency and magnitude of cyberattacks is expected to increase and attackers are becoming more sophisticated.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21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information technology infrastructure we use is critical to the efficient operation of our business and essential to our ability to perform day-to-day operations. Risks to our information technology systems include: unauthorized or inadvertent extraction of business sensitive, confidential or personal information; denial of access extortion; corruption of information; or disruption of business processes. Breaches of our information technology infrastructure or physical facilities, or other disruptions, could result in damage to our assets, safety incidents, damage to the environment, remediation costs, liability, regulatory enforcement, violation of privacy or securities laws and regulations, the loss of contracts or the inability to fulfil our contractual obligations, any of which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unit price can be adversely affected by pandemics, epidemics or other public health events.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2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face opposition from various groups to the development or operation of our pipelines and facilities and our business may be subject to societal and political pressures.</w:t>
      </w:r>
    </w:p>
    <w:p>
      <w:pPr>
        <w:spacing w:after="0" w:line="1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9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2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subject to increased concern by institutional investors with respect to the perceived social and environmental cost of our industry and our governance structure, which may adversely impact our ability to raise capital from such investors.</w:t>
      </w:r>
    </w:p>
    <w:p>
      <w:pPr>
        <w:spacing w:after="0" w:line="197"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In recent years, certain financial stakeholders, including institutional investors such as public pension funds, have placed increased importance on the implications and social cost of ESG matters. ESG factors are playing an increasingly important role in the investment decisions made by investors, and companies involved in certain industries or with certain governance structures, such as master limited partnerships, are receiving increased scrutiny.</w:t>
      </w:r>
    </w:p>
    <w:p>
      <w:pPr>
        <w:spacing w:after="0" w:line="176" w:lineRule="exact"/>
        <w:rPr>
          <w:sz w:val="20"/>
          <w:szCs w:val="20"/>
          <w:color w:val="auto"/>
        </w:rPr>
      </w:pPr>
    </w:p>
    <w:p>
      <w:pPr>
        <w:jc w:val="both"/>
        <w:ind w:right="120" w:firstLine="648"/>
        <w:spacing w:after="0" w:line="258" w:lineRule="auto"/>
        <w:rPr>
          <w:sz w:val="20"/>
          <w:szCs w:val="20"/>
          <w:color w:val="auto"/>
        </w:rPr>
      </w:pPr>
      <w:r>
        <w:rPr>
          <w:rFonts w:ascii="Arial" w:cs="Arial" w:eastAsia="Arial" w:hAnsi="Arial"/>
          <w:sz w:val="18"/>
          <w:szCs w:val="18"/>
          <w:color w:val="auto"/>
        </w:rPr>
        <w:t>Investors’ increased focus and activism related to ESG and similar matters could constrain our ability to raise capital. Any material limitations on our ability to access capital as a result of such scrutiny could limit our ability to</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obtain future financing on favorable terms, or at all, or could result in increased financing costs in the future. Similarly, such activism could negatively impact our unit price,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Businesses across all industries are facing increasing attention from stakeholders related to their ESG practices. Businesses that do not adapt to or comply with investor or stakeholder expectations and standards, which are continuing to evolve, or businesses that are perceived to have not responded appropriately to the growing concern for ESG issues, regardless of whether there is a legal requirement to do so, may suffer from reputational damage and the business, financial condition, and/or equity value of such business entity could be materially and adversely affected. Increasing attention to climate change, societal expectations on companies to address climate change, investor expectations regarding voluntary ESG related disclosures, increasing mandatory ESG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spacing w:after="0" w:line="19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most commentators now expect a final rule to be issued in 2023. Although the final form and substance of this rule and its requirements are not yet known and its ultimate impact on our business is uncertain, compliance with the proposed rule, if finalized, will result in additional legal, accounting and financial compliance costs. In addition, enhanced climate-related disclosure requirements could accelerate the trend of certain stakeholders and lenders restricting or seeking more stringent conditions with respect to their investments in certain carbon-intensive sectors.</w:t>
      </w:r>
    </w:p>
    <w:p>
      <w:pPr>
        <w:spacing w:after="0" w:line="2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Joint ventures, joint ownership arrangements and other projects pose unique challenges and we may not be able to fully implement or realize synergies, expected returns or other anticipated benefits associated with such projects.</w:t>
      </w:r>
    </w:p>
    <w:p>
      <w:pPr>
        <w:spacing w:after="0" w:line="19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20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We are undertaking, or are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our control, including the following:</w:t>
      </w:r>
    </w:p>
    <w:p>
      <w:pPr>
        <w:spacing w:after="0" w:line="176" w:lineRule="exact"/>
        <w:rPr>
          <w:sz w:val="20"/>
          <w:szCs w:val="20"/>
          <w:color w:val="auto"/>
        </w:rPr>
      </w:pPr>
    </w:p>
    <w:p>
      <w:pPr>
        <w:ind w:left="980" w:right="3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realize our forecasted commercial, operational or administrative synergies in connection with our joint ventures and joint ownership arrangements, including the Plains Oryx Permian Basin LLC joint venture;</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Joint ventures and other joint ownership arrangements may demand substantial internal resources and may divert resources and attention from other areas of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9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construct pipelines, facilities or other assets in anticipation of market demand that dissipates or market growth that never materializes;</w:t>
      </w:r>
    </w:p>
    <w:p>
      <w:pPr>
        <w:spacing w:after="0" w:line="62" w:lineRule="exact"/>
        <w:rPr>
          <w:rFonts w:ascii="Arial" w:cs="Arial" w:eastAsia="Arial" w:hAnsi="Arial"/>
          <w:sz w:val="18"/>
          <w:szCs w:val="18"/>
          <w:color w:val="auto"/>
        </w:rPr>
      </w:pPr>
    </w:p>
    <w:p>
      <w:pPr>
        <w:ind w:left="980" w:right="100" w:hanging="324"/>
        <w:spacing w:after="0" w:line="311"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40" w:lineRule="exact"/>
        <w:rPr>
          <w:rFonts w:ascii="Arial" w:cs="Arial" w:eastAsia="Arial" w:hAnsi="Arial"/>
          <w:sz w:val="16"/>
          <w:szCs w:val="16"/>
          <w:color w:val="auto"/>
        </w:rPr>
      </w:pPr>
    </w:p>
    <w:p>
      <w:pPr>
        <w:ind w:left="980" w:right="580" w:hanging="324"/>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75"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opposition to our planned projects from environmental groups, landowners, local groups and other advocates, including lawsuits or other actions designed to disrupt or delay our planned projects;</w:t>
      </w:r>
    </w:p>
    <w:p>
      <w:pPr>
        <w:spacing w:after="0" w:line="62" w:lineRule="exact"/>
        <w:rPr>
          <w:rFonts w:ascii="Arial" w:cs="Arial" w:eastAsia="Arial" w:hAnsi="Arial"/>
          <w:sz w:val="18"/>
          <w:szCs w:val="18"/>
          <w:color w:val="auto"/>
        </w:rPr>
      </w:pPr>
    </w:p>
    <w:p>
      <w:pPr>
        <w:ind w:left="980" w:right="60" w:hanging="324"/>
        <w:spacing w:after="0" w:line="342"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5" w:lineRule="exact"/>
        <w:rPr>
          <w:rFonts w:ascii="Arial" w:cs="Arial" w:eastAsia="Arial" w:hAnsi="Arial"/>
          <w:sz w:val="16"/>
          <w:szCs w:val="16"/>
          <w:color w:val="auto"/>
        </w:rPr>
      </w:pPr>
    </w:p>
    <w:p>
      <w:pPr>
        <w:ind w:left="980" w:right="20" w:hanging="324"/>
        <w:spacing w:after="0" w:line="259"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completion or success of our projects may depend on the completion or success of third-party facilities over which we have no control.</w:t>
      </w:r>
    </w:p>
    <w:p>
      <w:pPr>
        <w:spacing w:after="0" w:line="27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a result of these uncertainties, the anticipated benefits associated with our joint ventures and joint ownership arrangements may not be achieved or could be delayed. In turn, this could negatively impact our cash flow and our ability to make or increase cash distributions to our partners.</w:t>
      </w:r>
    </w:p>
    <w:p>
      <w:pPr>
        <w:spacing w:after="0" w:line="17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our customers and other counterparties we transact with in the ordinary course of our business activities.</w:t>
      </w:r>
    </w:p>
    <w:p>
      <w:pPr>
        <w:spacing w:after="0" w:line="27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21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21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231F20"/>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involve risks that may adversely affect our business.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future acquisitions or planned divestitures (due to reduced investment in the energy sector, governmental action, litigation, counterparty non-performance or other factors), it may be more difficult for us to implement our business strategies, achieve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 also involve potential risks, including:</w:t>
      </w:r>
    </w:p>
    <w:p>
      <w:pPr>
        <w:spacing w:after="0" w:line="25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22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or other benefits from our acquisitions, pay distributions to our partners or meet our debt service requirements.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9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03"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risk policies cannot eliminate all risks and the insufficiency of, or non-compliance with our risk policies could result in significant financial losses.</w:t>
      </w:r>
    </w:p>
    <w:p>
      <w:pPr>
        <w:spacing w:after="0" w:line="28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9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insurance coverage may not fully cover our losses and we may in the future encounter increased costs related to, and lack of availability of, insurance.</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19 to our Consolidated Financial Statements.</w:t>
      </w:r>
    </w:p>
    <w:p>
      <w:pPr>
        <w:spacing w:after="0" w:line="21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December 31, 2022, the face value of our consolidated debt outstanding was approximately $8.5 billion (excluding unamortized discounts and debt issuance costs of approximately $46 million), consisting of approximately $7.3 billion face value of long-term debt (including senior notes and finance lease obligations) and approximately $1.2 billion of short-term borrowings. As of December 31, 2022, we had approximately $3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52" w:lineRule="exact"/>
        <w:rPr>
          <w:sz w:val="20"/>
          <w:szCs w:val="20"/>
          <w:color w:val="auto"/>
        </w:rPr>
      </w:pPr>
    </w:p>
    <w:p>
      <w:pPr>
        <w:ind w:left="980" w:right="10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117"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to plan for and react to changes in our business;</w:t>
      </w:r>
    </w:p>
    <w:p>
      <w:pPr>
        <w:spacing w:after="0" w:line="62"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December 31, 2022, the face value of our consolidated debt was approximately $8.5 billion (excluding unamortized discounts and debt issuance costs of approximately $46 million), substantially all of which was at fixed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merchant activities by increasing interest costs associated with the storage of hedged crude oil and NGL inventory. In addition, distributions on our Series B preferred units accumulate for each distribution period at a percentage of the liquidation preference equal to the applicable three-month LIBOR (or, if discontinued, a substitute or successor rate determined by the calculation agent), plus a spread of 4.11%. Further, the trading price of our common units may be sensitive to changes in interest rates and any rise in interest rates could adversely impact such trading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business requires the retention and recruitment of a skilled workforce, and difficulties retaining and recruiting our workforce could result in a failure to implement our business plans.</w:t>
      </w:r>
    </w:p>
    <w:p>
      <w:pPr>
        <w:spacing w:after="0" w:line="19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5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At December 31, 2022, we had approximately $15.3 billion of net property and equipment, $961 million of linefill, $3.1 billion of investments accounted for under the equity method of accounting and approximately $2.1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2022, we recognized non-cash impairment charges of approximately</w:t>
      </w:r>
    </w:p>
    <w:p>
      <w:pPr>
        <w:spacing w:after="0" w:line="1"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$330 million related to the write-down of certain long-lived crude oil assets in California. See Note 6 to our Consolidated Financial Statements for additional information regarding these impairments.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use or availability of third-party assets for certain of our operations.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Significant under-utilization of certain assets could significantly reduce our profitability due to fixed costs incurred to obtain the right to use such assets.</w:t>
      </w:r>
    </w:p>
    <w:p>
      <w:pPr>
        <w:spacing w:after="0" w:line="19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2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result in disruptions to our operations.</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9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fail to obtain materials or commodities in the quantity and the quality we need, and at commercially acceptable prices, whether due to supply disruptions, inflation, tariffs, quotas or other factors, our results of operations, financial condition and cash flows could be materially and adversely affected.</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21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NGL and refined products,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operations, revenues, expenses and profitability.</w:t>
      </w:r>
    </w:p>
    <w:p>
      <w:pPr>
        <w:spacing w:after="0" w:line="19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21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21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2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purchases and sales of crude oil, natural gas and NGL, and hedging activities, expose us to potential regulatory risks.</w:t>
      </w:r>
    </w:p>
    <w:p>
      <w:pPr>
        <w:spacing w:after="0" w:line="25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9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amount of working capital required to conduct these hedging activities.</w:t>
      </w:r>
    </w:p>
    <w:p>
      <w:pPr>
        <w:spacing w:after="0" w:line="21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21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the Governor of California issued an order in April 2021 directing the Department of Conservation’s Geologic Energy Management Division to initiate regulatory action to end the issuance of new permits for hydraulic fracturing by January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spacing w:after="0" w:line="21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and our customers’ operations are subject to various risks arising out of the threat of climate change, energy conservation measures, or initiatives that stimulate demand for alternative forms of energy that could result in increased costs, limits on the areas in which oil and natural gas production may occur and reduced demand for our services.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and our customers’ operations are subject to a number of risks arising out of the threat of climate change, energy conservation measures, or initiatives that stimulate demand for alternative forms of energy that could result in increased operating costs, limits on the areas in which oil and natural gas production may occur, and reduced demand for the crude oil and natural gas. Risks arising out of the threat of climate change, fuel conservation measures, governmental requirements for renewable energy resources, increasing consumer demand for alternative forms of energy, and technological advances in fuel economy and energy generation devices may create new competitive conditions that result in reduced demand for the crude oil and natural gas our customers produce and, in turn, the services we provide. The adoption and implementation of any international, federal, regional or state legislation, executive actions, regulations or other regulatory and policy initiatives that impose more stringent standards for GHG emissions from the oil and natural gas industry, restrict the areas in which this industry may produce crude oil and natural gas or generate GHG emissions, increase scrutiny of environmental permitting or delay such permitting reviews, or require enhanced disclosure of such GHG emission and other climate-related information, could result in increased compliance costs, which if passed on to the customer could also result in increased fossil fuel consumption costs, and thereby reduce demand for crude oil and natural gas, and thus our services. The potential impact of changing demand for crude oil and natural gas services and products may have a material adverse effect on our business, financial condition, results of operations and cash flows. Additionally, political, financial and litigation risks may result in us restricting, delaying or canceling development activities and new projects, incurring liability for infrastructure damages as a result of climatic changes, or impairing the ability to continue to operate in an economic manner.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Litigation risks are also increasing as a number of cities, local governments and other plaintiffs have filed lawsuits against various oil and natural gas companies in state or federal court, alleging, among other things, that such companies created public nuisances by producing fuels that contributed to climate change and its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Additionally, changing meteorological conditions, particularly temperature, may result in changes to the amount, timing, or location of demand for energy or our customer’s production, which could reduce the need for our services. While our consideration of changing climatic conditions and inclusion of safety factors in our design is intended to reduce the uncertainties that climate change and other events may potentially introduce, our ability to mitigate the adverse impacts of these events depends in part on the effectiveness of our facilities, particularly those located in coastal or flood prone areas, and our disaster preparedness and response and business continuity planning, which may not have considered or be prepared for every eventuality.</w:t>
      </w:r>
    </w:p>
    <w:p>
      <w:pPr>
        <w:spacing w:after="0" w:line="20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Although it is not possible at this time to predict how legislation or new regulations that may be adopted to address GHG emissions and climate change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6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preferred units have rights, preferences and privileges that are not the same as, and are preferential to, the rights of holders of our common units.</w:t>
      </w:r>
    </w:p>
    <w:p>
      <w:pPr>
        <w:spacing w:after="0" w:line="2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52"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our outstanding units (including units held by our general partner or its affiliates). Because AAP owns approximately 31%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97" w:lineRule="exact"/>
        <w:rPr>
          <w:sz w:val="20"/>
          <w:szCs w:val="20"/>
          <w:color w:val="auto"/>
        </w:rPr>
      </w:pPr>
    </w:p>
    <w:p>
      <w:pPr>
        <w:ind w:left="980" w:right="2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21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PAGP GP Board is composed of three classes of directors, which limits our unitholders’ ability to make significant changes to the board in any given year; and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common units without unitholder approval, which would dilute a unitholder’s existing ownership interests.</w:t>
      </w:r>
    </w:p>
    <w:p>
      <w:pPr>
        <w:spacing w:after="0" w:line="26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76"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21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21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8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cash expenditures, borrowings and reserves in any quarter may affect available cash to pay quarterly distributions to unitholders;</w:t>
      </w:r>
    </w:p>
    <w:p>
      <w:pPr>
        <w:spacing w:after="0" w:line="62" w:lineRule="exact"/>
        <w:rPr>
          <w:rFonts w:ascii="Arial" w:cs="Arial" w:eastAsia="Arial" w:hAnsi="Arial"/>
          <w:sz w:val="18"/>
          <w:szCs w:val="18"/>
          <w:color w:val="auto"/>
        </w:rPr>
      </w:pPr>
    </w:p>
    <w:p>
      <w:pPr>
        <w:ind w:left="980" w:hanging="324"/>
        <w:spacing w:after="0" w:line="273"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69"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9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21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7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leverage is significant in relation to our partners’ capital. At December 31, 2022, the face value of our total outstanding long-term debt was approximately $7.3 billion, and the face value of our total outstanding short-term debt was approximately $1.2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0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9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8" w:lineRule="exact"/>
        <w:rPr>
          <w:sz w:val="20"/>
          <w:szCs w:val="20"/>
          <w:color w:val="auto"/>
        </w:rPr>
      </w:pPr>
    </w:p>
    <w:p>
      <w:pPr>
        <w:ind w:left="980" w:right="58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comply with applicable law or any loan agreement, security agreement, mortgage, debt instrument or other agreement or obligation;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Unitholders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tax treatment depends on our status as a partnership for U.S. federal income tax purposes and not being subject to a material amount of entity-level taxation. If the IRS were to treat us as a corporation for U.S. federal income tax purposes, or we become subject to entity-level taxation for state or foreign tax purposes, our cash available for distributions to our unitholders would be substantially reduced.</w:t>
      </w:r>
    </w:p>
    <w:p>
      <w:pPr>
        <w:spacing w:after="0" w:line="1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9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20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211" w:lineRule="exact"/>
        <w:rPr>
          <w:sz w:val="20"/>
          <w:szCs w:val="20"/>
          <w:color w:val="auto"/>
        </w:rPr>
      </w:pPr>
    </w:p>
    <w:p>
      <w:pPr>
        <w:ind w:right="40" w:firstLine="729"/>
        <w:spacing w:after="0" w:line="257"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25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9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9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15 for additional information regarding CRA challenge of intercompany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unitholders may be required to pay taxes on their share of our income even if they do not receive any cash distributions from us.</w:t>
      </w:r>
    </w:p>
    <w:p>
      <w:pPr>
        <w:spacing w:after="0" w:line="2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21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21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51" w:lineRule="exact"/>
        <w:rPr>
          <w:sz w:val="20"/>
          <w:szCs w:val="20"/>
          <w:color w:val="auto"/>
        </w:rPr>
      </w:pPr>
    </w:p>
    <w:p>
      <w:pPr>
        <w:ind w:right="14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9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9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7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Taxable income from our non-U.S. businesses is not eligible for the 20% deduction for qualified publicly traded partnership income.</w:t>
      </w:r>
    </w:p>
    <w:p>
      <w:pPr>
        <w:spacing w:after="0" w:line="26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Series B Preferred Unitholders</w:t>
      </w:r>
    </w:p>
    <w:p>
      <w:pPr>
        <w:spacing w:after="0" w:line="25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20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holders of our Series B Preferred Units are urged to consult a tax advisor with respect to the consequences of owning our Series B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included in Note 19 to our Consolidated Financial Statements,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4" w:lineRule="exact"/>
        <w:rPr>
          <w:sz w:val="20"/>
          <w:szCs w:val="20"/>
          <w:color w:val="auto"/>
        </w:rPr>
      </w:pPr>
    </w:p>
    <w:p>
      <w:pPr>
        <w:jc w:val="center"/>
        <w:ind w:right="88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5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common units are listed and traded on The Nasdaq Global Select Market under the symbol “PAA.” As of February 14, 2023, there were 698,390,006 common units outstanding and approximately 103,000 record holders and beneficial owners (held in street name).</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 Quarter</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6"/>
                <w:szCs w:val="16"/>
                <w:color w:val="auto"/>
              </w:rPr>
            </w:pP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Fourth Quarter</w:t>
            </w:r>
          </w:p>
        </w:tc>
      </w:tr>
      <w:tr>
        <w:trPr>
          <w:trHeight w:val="26"/>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jc w:val="right"/>
              <w:ind w:right="3810"/>
              <w:spacing w:after="0"/>
              <w:rPr>
                <w:sz w:val="20"/>
                <w:szCs w:val="20"/>
                <w:color w:val="auto"/>
              </w:rPr>
            </w:pPr>
            <w:r>
              <w:rPr>
                <w:rFonts w:ascii="Arial" w:cs="Arial" w:eastAsia="Arial" w:hAnsi="Arial"/>
                <w:sz w:val="18"/>
                <w:szCs w:val="18"/>
                <w:b w:val="1"/>
                <w:bCs w:val="1"/>
                <w:color w:val="auto"/>
                <w:w w:val="84"/>
              </w:rPr>
              <w:t>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r>
      <w:tr>
        <w:trPr>
          <w:trHeight w:val="234"/>
        </w:trPr>
        <w:tc>
          <w:tcPr>
            <w:tcW w:w="4260" w:type="dxa"/>
            <w:vAlign w:val="bottom"/>
          </w:tcPr>
          <w:p>
            <w:pPr>
              <w:jc w:val="right"/>
              <w:ind w:right="3810"/>
              <w:spacing w:after="0"/>
              <w:rPr>
                <w:sz w:val="20"/>
                <w:szCs w:val="20"/>
                <w:color w:val="auto"/>
              </w:rPr>
            </w:pPr>
            <w:r>
              <w:rPr>
                <w:rFonts w:ascii="Arial" w:cs="Arial" w:eastAsia="Arial" w:hAnsi="Arial"/>
                <w:sz w:val="18"/>
                <w:szCs w:val="18"/>
                <w:b w:val="1"/>
                <w:bCs w:val="1"/>
                <w:color w:val="auto"/>
                <w:w w:val="84"/>
              </w:rPr>
              <w:t>2021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0.1800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0.1800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0.1800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0.1800</w:t>
            </w:r>
          </w:p>
        </w:tc>
      </w:tr>
    </w:tbl>
    <w:p>
      <w:pPr>
        <w:spacing w:after="0" w:line="3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units are also used as a form of compensation to our employees. See Note 18 to our Consolidated Financial Statements for additional information regarding our equity-indexed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following graph compares the total unitholder return performance of our common units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2017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125730</wp:posOffset>
            </wp:positionV>
            <wp:extent cx="5846445" cy="2914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12/31/2022</w:t>
            </w:r>
          </w:p>
        </w:tc>
      </w:tr>
      <w:tr>
        <w:trPr>
          <w:trHeight w:val="25"/>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156.89</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spacing w:after="0" w:line="214" w:lineRule="exact"/>
        <w:rPr>
          <w:sz w:val="20"/>
          <w:szCs w:val="20"/>
          <w:color w:val="auto"/>
        </w:rPr>
      </w:pPr>
    </w:p>
    <w:p>
      <w:pPr>
        <w:ind w:left="980" w:right="8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128"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funds for future distributions to our Series A and Series B preferred unitholders or distributions to our common unitholders for any one or more of the next four calendar quarters.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52"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7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 comparative discussion of our 2021 to 2020 operating results and performance measures can be found in Item 7. “Management’s Discussion and Analysis of Financial Condition and Results of Operations—Results of Operations” included in our Annual Report on Form 10-K for the year ended December 31, 2021 filed with the SEC on March 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Crude oil and other petroleum liquids are supplied to the global market by producers around the world, with the majority coming from the Organization of Petroleum Exporting Countries (“OPEC”), the Russian Federation and North American producers, among others. The chart below depicts the relationship between global supply of crude oil and other petroleum liquids and demand since the beginning of 2018 and the U.S. Energy Information Administration’s (“EIA”) Short-Term Energy Outlook as of January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World Liquid Fuels Production and Consumption Balance </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97955" cy="3154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Barrels produced and consumed per quarter.</w:t>
      </w:r>
    </w:p>
    <w:p>
      <w:pPr>
        <w:spacing w:after="0" w:line="229"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Global crude oil demand at the end of 2022 was near pre-COVID levels, with the EIA and other third parties forecasting demand to exceed 2019 levels by the second half of 2023 and continue to grow for the foreseeable future. We believe this demand growth combined with the multi-year backdrop of reduced upstream investment and a continuation of OPEC discipline and Western sanctions on Russian petroleum could further exacerbate many of the supply concerns that emerged in 2022. This includes tight global markets and continued commodity price volatility. As a result, we expect North American energy supply to play a critical long-term role in meeting global demand and the Permian Basin to drive the vast majority of U.S. production growth in the coming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It is against this macro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2022, we continued to build momentum and reinforce our long-term positioning by taking actions to further optimize our asset base and streamline our operations. We recognized net income attributable to PAA of $1.037 billion for the year ended December 31, 2022 compared to net income attributable to PAA of $593 million for the year ended December 31, 2021. Results from our operations increased for 2022 over the comparable 2021 period driven primarily by more favorable margins in our NGL segment, as well as increased earnings from our crude oil pipelines due to higher tariff volumes and higher loss allowance revenue attributable to higher volumes and commodity prices. However, these items were partially offset by the impact of the monetization of contango hedges that benefited the 2021 period,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2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results for 2022 included a net loss on asset sales and asset impairments of $269 million, primarily related to the impairment of certain of our California crude oil assets, compared to a net loss on asset sales and asset impairments of $592 million included in results for 2021, a majority of which was related to the write-down of our natural gas storage facilities, which were classified as held for sale in the second quarter and sold in the third quarter. The 2022 period also includes net gains of approximately $346 million, primarily associated with the remeasurement of our previously held 65% interest in Cactus II to fair value in connection with our acquisition of an additional 5% interest in Cactus II in November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6"/>
                <w:szCs w:val="16"/>
                <w:color w:val="auto"/>
              </w:rPr>
            </w:pPr>
          </w:p>
        </w:tc>
      </w:tr>
      <w:tr>
        <w:trPr>
          <w:trHeight w:val="26"/>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9"/>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Basic and diluted 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w:t>
        <w:tab/>
        <w:t>Indicates that variance as a percentage is not meaningful.</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 and Purchases</w:t>
      </w:r>
    </w:p>
    <w:p>
      <w:pPr>
        <w:spacing w:after="0" w:line="25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 majority of our sales and purchases are indexed to West Texas Intermediate (“WTI”). The following table presents the range of the NYMEX WTI benchmark price of crude oil over the last two years (in dollars per barrel):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NYMEX WTI</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Crude Oil Price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During the Year Ended December 31,</w:t>
            </w:r>
          </w:p>
        </w:tc>
        <w:tc>
          <w:tcPr>
            <w:tcW w:w="2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Pr>
          <w:p>
            <w:pPr>
              <w:spacing w:after="0"/>
              <w:rPr>
                <w:sz w:val="17"/>
                <w:szCs w:val="17"/>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Average</w:t>
            </w:r>
          </w:p>
        </w:tc>
      </w:tr>
      <w:tr>
        <w:trPr>
          <w:trHeight w:val="230"/>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3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Product sales revenues and purchases increased for the year ended December 31, 2022 compared to the year ended December 31, 2021 primarily due to higher prices in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Revenues from services increased for the year ended December 31, 2022 compared to the year ended December 31, 2021 primarily due to higher prices and volumes in 2022 (a portion of which was related to contributions from recently completed acquisitions and joint venture transactions), partially offset by the impact of the sale of our natural gas storage facilities in the third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further discussion of net revenues (revenues less purchases and related costs) in the “—Analysis of Operating Segments” section below.</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increase in general and administrative expenses for the year ended December 31, 2022 compared to the year ended December 31, 2021 was primarily due to (i) employee-related costs, including an increase in equity-indexed compensation expense due to changes in plan assumptions and a higher common unit price (a portion of which is excluded in the calculation of Adjusted EBITDA and Segment Adjusted EBITDA), (ii) higher information systems costs due to ongoing systems integration work and (iii) higher office rent due to an operating cost abatement in the prior year, partially offset by</w:t>
      </w:r>
    </w:p>
    <w:p>
      <w:pPr>
        <w:spacing w:after="0" w:line="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associated with the formation of the Permian JV in the prior year.</w:t>
      </w:r>
    </w:p>
    <w:p>
      <w:pPr>
        <w:spacing w:after="0" w:line="23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Depreciation and amortization expense increased for the year ended December 31, 2022 compared to the year ended December 31, 2021 largely driven by depreciation and amortization expense on assets (i) contributed by Oryx Midstream Holdings LLC (“Oryx Midstream”) upon formation of the Permian JV and (ii) consolidated in connection with our acquisition of an additional interest in Cactus II. See Note 7 to our Consolidated Financial Statements for additional information.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net losses on asset sales and asset impairments for 2022 primarily included (i) a $330 million non-cash impairment charge recognized in the fourth quarter of 2022 related to certain crude oil assets in California and (ii) gains recognized from the sale of land and related assets in Long Beach, California, as well as Line 901 and the Sisquoc to Pentland portion of Line 903, a portion of which relates to the transfer of an asset retirement obligation to the purchaser. See Note 6 and Note 7 to our Consolidated Financial Statements for additional information.</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net losses on asset sales and asset impairments for 2021 primarily included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(these assets were sold in August 2021), and (iii) a gain of $106 million related to the asset exchange agreement (the “Asset Exchange”) involving the sale of one of our crude oil pipelines in Canada in exchange for additional interests in certain of the Empress natural gas processing plants.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6 and Note 7 to our Consolidated Financial Statements for additional information regarding these asset sales and asset impairments.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Earnings in Unconsolidated Entities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Investments in Unconsolidated Entities, Net</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During the fourth quarter of 2022, we recognized (i) a gain of $370 million associated with the remeasurement of our previously held 65% interest in Cactus II to fair value in connection with our acquisition of an additional 5% interest in Cactus II in November 2022 and (ii) a loss of $25 million associated with the difference between the fair value and historical book value of assets contributed by the Permian JV in exchange for an additional interest in OMOG. See Note 7 and Note 9 to our Consolidated Financial Statements for additional information regarding these transactions.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5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right"/>
              <w:ind w:right="19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LIBOR/SOFR</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79"/>
              <w:spacing w:after="0" w:line="201" w:lineRule="exact"/>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for the year ended December 31, 2021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Impact of retirement of senior notes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lower capitalized interest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Impact of interest rate swap</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Interest expense for the year ended December 31, 2022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11 to our Consolidated Financial Statements for additional information regarding our debt and related activities during the periods presented.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1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r>
      <w:tr>
        <w:trPr>
          <w:trHeight w:val="25"/>
        </w:trPr>
        <w:tc>
          <w:tcPr>
            <w:tcW w:w="38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r>
      <w:tr>
        <w:trPr>
          <w:trHeight w:val="230"/>
        </w:trPr>
        <w:tc>
          <w:tcPr>
            <w:tcW w:w="8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8"/>
              </w:rPr>
              <w:t xml:space="preserve">Gain/(loss) on mark-to-market adjustment of Preferred Distribution Rate Reset Option embedded derivative </w:t>
            </w:r>
            <w:r>
              <w:rPr>
                <w:rFonts w:ascii="Arial" w:cs="Arial" w:eastAsia="Arial" w:hAnsi="Arial"/>
                <w:sz w:val="23"/>
                <w:szCs w:val="23"/>
                <w:color w:val="auto"/>
                <w:w w:val="98"/>
                <w:vertAlign w:val="superscript"/>
              </w:rPr>
              <w:t>(1)</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8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(219)</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83"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13 to our Consolidated Financial Statements for additional information.</w:t>
      </w:r>
    </w:p>
    <w:p>
      <w:pPr>
        <w:spacing w:after="0" w:line="117"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6"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net unfavorable income tax variance for the year ended December 31, 2022 compared to the year ended December 31, 2021 was primarily a result of higher year-over-year income as impacted by fluctuations of the derivative mark-to-market valuations in our Canadian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increase in amounts attributable to noncontrolling interests for the year ended December 31, 2022 compared to the year ended December 31, 2021 was due to (i) the formation of the Permian JV in October 2021 and (ii) the consolidation of Cactus II in November 2022. See Note 7 to our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pacing w:after="0" w:line="26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definition and calculation of certain non-GAAP financial measures may not be comparable to similarly-titled measures of other companies. Adjusted EBITDA, Adjusted EBITDA attributable to PAA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Resources—Liquidity Measures” for additional information regarding Free Cash Flow and Free Cash Flow after Distributions.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1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Adjusted EBITDA attributable to PAA and Implied DCF from Net Income (in millions):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40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6"/>
                <w:szCs w:val="16"/>
                <w:color w:val="auto"/>
              </w:rPr>
            </w:pPr>
          </w:p>
        </w:tc>
      </w:tr>
      <w:tr>
        <w:trPr>
          <w:trHeight w:val="26"/>
        </w:trPr>
        <w:tc>
          <w:tcPr>
            <w:tcW w:w="3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(Gains)/losses on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Selected Items Impacting Comparability: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Line 901 incident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2"/>
          </w:tcPr>
          <w:p>
            <w:pPr>
              <w:ind w:left="4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(2)</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59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Mark-to-market adjustment of Preferred Distribution Rate Reset Option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940" w:type="dxa"/>
            <w:vAlign w:val="bottom"/>
            <w:gridSpan w:val="2"/>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embedded derivative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6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Adjusted EBITDA attributable to PAA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535"/>
        </w:trPr>
        <w:tc>
          <w:tcPr>
            <w:tcW w:w="3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24"/>
                <w:szCs w:val="24"/>
                <w:color w:val="auto"/>
              </w:rPr>
            </w:pPr>
          </w:p>
        </w:tc>
        <w:tc>
          <w:tcPr>
            <w:tcW w:w="140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r>
      <w:tr>
        <w:trPr>
          <w:trHeight w:val="25"/>
        </w:trPr>
        <w:tc>
          <w:tcPr>
            <w:tcW w:w="3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9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5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9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Investment capital of noncontrolling interests </w:t>
            </w:r>
            <w:r>
              <w:rPr>
                <w:rFonts w:ascii="Arial" w:cs="Arial" w:eastAsia="Arial" w:hAnsi="Arial"/>
                <w:sz w:val="23"/>
                <w:szCs w:val="23"/>
                <w:color w:val="auto"/>
                <w:vertAlign w:val="superscript"/>
              </w:rPr>
              <w:t>(9)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175"/>
        </w:trPr>
        <w:tc>
          <w:tcPr>
            <w:tcW w:w="59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Distributions from unconsolidated entities in excess of/(less than) adjusted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94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equity earnings </w:t>
            </w:r>
            <w:r>
              <w:rPr>
                <w:rFonts w:ascii="Arial" w:cs="Arial" w:eastAsia="Arial" w:hAnsi="Arial"/>
                <w:sz w:val="23"/>
                <w:szCs w:val="23"/>
                <w:color w:val="auto"/>
                <w:vertAlign w:val="superscript"/>
              </w:rPr>
              <w:t>(10)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(11)</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5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Preferred unit cash distributions </w:t>
            </w:r>
            <w:r>
              <w:rPr>
                <w:rFonts w:ascii="Arial" w:cs="Arial" w:eastAsia="Arial" w:hAnsi="Arial"/>
                <w:sz w:val="23"/>
                <w:szCs w:val="23"/>
                <w:color w:val="auto"/>
                <w:vertAlign w:val="superscript"/>
              </w:rPr>
              <w:t>(11)</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23"/>
        </w:trPr>
        <w:tc>
          <w:tcPr>
            <w:tcW w:w="5940" w:type="dxa"/>
            <w:vAlign w:val="bottom"/>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(11)</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3"/>
        </w:trPr>
        <w:tc>
          <w:tcPr>
            <w:tcW w:w="59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80"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660" w:right="660" w:hanging="652"/>
        <w:spacing w:after="0" w:line="238" w:lineRule="auto"/>
        <w:tabs>
          <w:tab w:leader="none" w:pos="648"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Index to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20 to our Consolidated Financial Statements.</w:t>
      </w:r>
    </w:p>
    <w:p>
      <w:pPr>
        <w:spacing w:after="0" w:line="62" w:lineRule="exact"/>
        <w:rPr>
          <w:sz w:val="20"/>
          <w:szCs w:val="20"/>
          <w:color w:val="auto"/>
        </w:rPr>
      </w:pPr>
    </w:p>
    <w:p>
      <w:pPr>
        <w:ind w:right="20" w:hanging="11"/>
        <w:spacing w:after="0" w:line="259" w:lineRule="auto"/>
        <w:rPr>
          <w:sz w:val="20"/>
          <w:szCs w:val="20"/>
          <w:color w:val="auto"/>
        </w:rPr>
      </w:pPr>
      <w:r>
        <w:rPr>
          <w:rFonts w:ascii="Arial" w:cs="Arial" w:eastAsia="Arial" w:hAnsi="Arial"/>
          <w:sz w:val="18"/>
          <w:szCs w:val="18"/>
          <w:color w:val="auto"/>
        </w:rPr>
        <w:t>The Preferred Distribution Rate Reset Option of our Series A preferred units is accounted for as an embedded derivative and recorded at fair value in our Consolidated Financial Statements. The associated gains and losses are not integral to our results and were thus classified as a selected item impacting comparability. See Note 13 to our Consolidated Financial Statements for additional information regarding the Preferred Distribution Rate Reset Option.</w:t>
      </w:r>
    </w:p>
    <w:p>
      <w:pPr>
        <w:spacing w:after="0" w:line="79" w:lineRule="exact"/>
        <w:rPr>
          <w:sz w:val="20"/>
          <w:szCs w:val="20"/>
          <w:color w:val="auto"/>
        </w:rPr>
      </w:pPr>
    </w:p>
    <w:p>
      <w:pPr>
        <w:ind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sectPr>
          <w:pgSz w:w="11900" w:h="16838" w:orient="portrait"/>
          <w:cols w:equalWidth="0" w:num="2">
            <w:col w:w="140" w:space="520"/>
            <w:col w:w="10560"/>
          </w:cols>
          <w:pgMar w:left="320" w:top="130" w:right="359" w:bottom="1440" w:gutter="0" w:footer="0" w:header="0"/>
          <w:type w:val="continuous"/>
        </w:sectPr>
      </w:pPr>
    </w:p>
    <w:p>
      <w:pPr>
        <w:ind w:left="660" w:right="100" w:hanging="652"/>
        <w:spacing w:after="0" w:line="227"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Other income/(expense), net on our Consolidated Statements of Operations, adjusted for selected items impacting comparability (“Adjusted other income/(expense), net”) is included in Adjusted EBITDA and excluded from Segment Adjusted EBITDA.</w:t>
      </w:r>
    </w:p>
    <w:p>
      <w:pPr>
        <w:sectPr>
          <w:pgSz w:w="11900" w:h="16838" w:orient="portrait"/>
          <w:cols w:equalWidth="0" w:num="1">
            <w:col w:w="11220"/>
          </w:cols>
          <w:pgMar w:left="320" w:top="130" w:right="3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expenditures attributable to noncontrolling interests that reduce Implied DCF available to PAA common unitholders.</w:t>
      </w:r>
    </w:p>
    <w:p>
      <w:pPr>
        <w:spacing w:after="0" w:line="129" w:lineRule="exact"/>
        <w:rPr>
          <w:sz w:val="20"/>
          <w:szCs w:val="20"/>
          <w:color w:val="auto"/>
        </w:rPr>
      </w:pPr>
    </w:p>
    <w:p>
      <w:pPr>
        <w:sectPr>
          <w:pgSz w:w="11900" w:h="16838" w:orient="portrait"/>
          <w:cols w:equalWidth="0" w:num="2">
            <w:col w:w="140" w:space="500"/>
            <w:col w:w="10580"/>
          </w:cols>
          <w:pgMar w:left="320" w:top="130" w:right="359" w:bottom="1440" w:gutter="0" w:footer="0" w:header="0"/>
          <w:type w:val="continuous"/>
        </w:sectPr>
      </w:pPr>
    </w:p>
    <w:p>
      <w:pPr>
        <w:ind w:left="660" w:right="840" w:hanging="652"/>
        <w:spacing w:after="0" w:line="234" w:lineRule="auto"/>
        <w:tabs>
          <w:tab w:leader="none" w:pos="652"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0"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160" w:hanging="652"/>
        <w:spacing w:after="0" w:line="227" w:lineRule="auto"/>
        <w:tabs>
          <w:tab w:leader="none" w:pos="652"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debt repayment, future distributions, common equity repurchases, capital expenditures and other partnership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5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5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 See Note 20 to our Consolidated Financial Statements for a reconciliation of Segment Adjusted EBITDA to Net income/(loss) attributable to PAA.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8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8"/>
                <w:szCs w:val="18"/>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(37,540)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Line 901 incident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Volumes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Volumes</w:t>
            </w:r>
          </w:p>
        </w:tc>
        <w:tc>
          <w:tcPr>
            <w:tcW w:w="88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820" w:type="dxa"/>
            <w:vAlign w:val="bottom"/>
            <w:tcBorders>
              <w:top w:val="single" w:sz="8" w:color="auto"/>
            </w:tcBorders>
            <w:gridSpan w:val="2"/>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Crude oil pipeline tariff (by region) </w:t>
            </w:r>
            <w:r>
              <w:rPr>
                <w:rFonts w:ascii="Arial" w:cs="Arial" w:eastAsia="Arial" w:hAnsi="Arial"/>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592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Total crude oil pipeline tariff</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(5) (6)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 (7)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0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920" w:type="dxa"/>
            <w:vAlign w:val="bottom"/>
            <w:gridSpan w:val="3"/>
          </w:tcPr>
          <w:p>
            <w:pPr>
              <w:spacing w:after="0"/>
              <w:rPr>
                <w:sz w:val="20"/>
                <w:szCs w:val="20"/>
                <w:color w:val="auto"/>
              </w:rPr>
            </w:pPr>
            <w:r>
              <w:rPr>
                <w:rFonts w:ascii="Arial" w:cs="Arial" w:eastAsia="Arial" w:hAnsi="Arial"/>
                <w:sz w:val="18"/>
                <w:szCs w:val="18"/>
                <w:color w:val="auto"/>
              </w:rPr>
              <w:t>**  Indicates that variance as a percentage is not meaningful.</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right="480" w:hanging="652"/>
        <w:spacing w:after="0" w:line="227"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ectPr>
          <w:pgSz w:w="11900" w:h="16838" w:orient="portrait"/>
          <w:cols w:equalWidth="0" w:num="1">
            <w:col w:w="11240"/>
          </w:cols>
          <w:pgMar w:left="320" w:top="130"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 w:right="520" w:hanging="11"/>
        <w:spacing w:after="0" w:line="311" w:lineRule="auto"/>
        <w:rPr>
          <w:sz w:val="20"/>
          <w:szCs w:val="20"/>
          <w:color w:val="auto"/>
        </w:rPr>
      </w:pPr>
      <w:r>
        <w:rPr>
          <w:rFonts w:ascii="Arial" w:cs="Arial" w:eastAsia="Arial" w:hAnsi="Arial"/>
          <w:sz w:val="16"/>
          <w:szCs w:val="16"/>
          <w:color w:val="auto"/>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Index to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year divided by the number of months in the year.</w:t>
      </w:r>
    </w:p>
    <w:p>
      <w:pPr>
        <w:spacing w:after="0" w:line="140"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Of this amount, approximately 1,073 and 1,038 thousand barrels per day were purchased in the Permian Basin for the years ended December 31, 2022 and 2021, respectively.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Crude Oil Segment Adjusted EBITDA was favorably impacted for the year ended December 31, 2022 compared to the year ended December 31, 2021 by higher volumes on our pipelines, favorable Canadian crude oil differentials and higher loss allowance revenue. These favorable impacts were partially offset by (i) the monetization of contango hedges that benefited the 2021 period, (ii) the sale of our natural gas storage facilities in August 2021 (which were reported in our Crude Oil Segment) and (iii) gains related to hedged power costs resulting from Winter Storm Uri recognized in the first quarter of 2021.</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year ended December 31, 2022 compared to the year ended December 31, 2021.</w:t>
      </w:r>
    </w:p>
    <w:p>
      <w:pPr>
        <w:spacing w:after="0" w:line="197" w:lineRule="exact"/>
        <w:rPr>
          <w:sz w:val="20"/>
          <w:szCs w:val="20"/>
          <w:color w:val="auto"/>
        </w:rPr>
      </w:pPr>
    </w:p>
    <w:p>
      <w:pPr>
        <w:ind w:left="980" w:right="100" w:hanging="324"/>
        <w:spacing w:after="0" w:line="293" w:lineRule="auto"/>
        <w:tabs>
          <w:tab w:leader="none" w:pos="97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JV. </w:t>
      </w:r>
      <w:r>
        <w:rPr>
          <w:rFonts w:ascii="Arial" w:cs="Arial" w:eastAsia="Arial" w:hAnsi="Arial"/>
          <w:sz w:val="16"/>
          <w:szCs w:val="16"/>
          <w:color w:val="auto"/>
        </w:rPr>
        <w:t>In October 2021, we closed on the transaction with Oryx Midstream to merge our respective Permian Basin assets,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 of our long-haul pipeline systems and certain of our intra-basin assets, into the Permian JV. The significant year-over-year growth in our tariff volumes in the Permian Basin region was primarily from the Permian JV assets, largely due to additional volumes from the pipelines contributed by Oryx Midstream as well as increased production and new connections. We deduct the portion of the financial results attributable to Oryx Midstream’s 35% interest in the Permian JV in determining Segment Adjusted EBITDA, which partially offset the favorable impact of the volume growth when comparing Segment Adjusted EBITDA for 2022 compared to 2021.</w:t>
      </w:r>
    </w:p>
    <w:p>
      <w:pPr>
        <w:spacing w:after="0" w:line="191" w:lineRule="exact"/>
        <w:rPr>
          <w:rFonts w:ascii="Arial" w:cs="Arial" w:eastAsia="Arial" w:hAnsi="Arial"/>
          <w:sz w:val="16"/>
          <w:szCs w:val="16"/>
          <w:i w:val="1"/>
          <w:iCs w:val="1"/>
          <w:color w:val="auto"/>
        </w:rPr>
      </w:pPr>
    </w:p>
    <w:p>
      <w:pPr>
        <w:ind w:left="980" w:right="220" w:hanging="324"/>
        <w:spacing w:after="0" w:line="308" w:lineRule="auto"/>
        <w:tabs>
          <w:tab w:leader="none" w:pos="975"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Pipeline Projects. </w:t>
      </w:r>
      <w:r>
        <w:rPr>
          <w:rFonts w:ascii="Arial" w:cs="Arial" w:eastAsia="Arial" w:hAnsi="Arial"/>
          <w:sz w:val="17"/>
          <w:szCs w:val="17"/>
          <w:color w:val="auto"/>
        </w:rPr>
        <w:t>The Capline pipeline reversal project and phase two of the Wink to Webster pipeline project were placed in service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2022, which favorably impacted equity earnings in unconsolidated entities and our tariff volumes in 2022.</w:t>
      </w:r>
    </w:p>
    <w:p>
      <w:pPr>
        <w:spacing w:after="0" w:line="173" w:lineRule="exact"/>
        <w:rPr>
          <w:rFonts w:ascii="Arial" w:cs="Arial" w:eastAsia="Arial" w:hAnsi="Arial"/>
          <w:sz w:val="17"/>
          <w:szCs w:val="17"/>
          <w:i w:val="1"/>
          <w:iCs w:val="1"/>
          <w:color w:val="auto"/>
        </w:rPr>
      </w:pPr>
    </w:p>
    <w:p>
      <w:pPr>
        <w:ind w:left="980" w:right="8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The variance in equity earnings in unconsolidated entities for the year ended December 31, 2022 compared to the year ended December 31, 2021 was also driven by the unfavorable impact to the prior period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14" w:lineRule="exact"/>
        <w:rPr>
          <w:rFonts w:ascii="Arial" w:cs="Arial" w:eastAsia="Arial" w:hAnsi="Arial"/>
          <w:sz w:val="17"/>
          <w:szCs w:val="17"/>
          <w:i w:val="1"/>
          <w:iCs w:val="1"/>
          <w:color w:val="auto"/>
        </w:rPr>
      </w:pPr>
    </w:p>
    <w:p>
      <w:pPr>
        <w:ind w:left="980" w:right="280" w:hanging="324"/>
        <w:spacing w:after="0" w:line="277" w:lineRule="auto"/>
        <w:tabs>
          <w:tab w:leader="none" w:pos="97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Loss Allowance Revenue. </w:t>
      </w:r>
      <w:r>
        <w:rPr>
          <w:rFonts w:ascii="Arial" w:cs="Arial" w:eastAsia="Arial" w:hAnsi="Arial"/>
          <w:sz w:val="18"/>
          <w:szCs w:val="18"/>
          <w:color w:val="auto"/>
        </w:rPr>
        <w:t>Pipeline loss allowance revenues increased for the year ended December 31, 2022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due to a combination of higher prices and higher volumes during 2022.</w:t>
      </w:r>
    </w:p>
    <w:p>
      <w:pPr>
        <w:spacing w:after="0" w:line="197" w:lineRule="exact"/>
        <w:rPr>
          <w:rFonts w:ascii="Arial" w:cs="Arial" w:eastAsia="Arial" w:hAnsi="Arial"/>
          <w:sz w:val="18"/>
          <w:szCs w:val="18"/>
          <w:i w:val="1"/>
          <w:iCs w:val="1"/>
          <w:color w:val="auto"/>
        </w:rPr>
      </w:pPr>
    </w:p>
    <w:p>
      <w:pPr>
        <w:jc w:val="both"/>
        <w:ind w:left="980" w:right="240" w:hanging="324"/>
        <w:spacing w:after="0" w:line="311" w:lineRule="auto"/>
        <w:tabs>
          <w:tab w:leader="none" w:pos="97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Opportunities. </w:t>
      </w:r>
      <w:r>
        <w:rPr>
          <w:rFonts w:ascii="Arial" w:cs="Arial" w:eastAsia="Arial" w:hAnsi="Arial"/>
          <w:sz w:val="16"/>
          <w:szCs w:val="16"/>
          <w:color w:val="auto"/>
        </w:rPr>
        <w:t>Our results for the year ended December 31, 2022 benefited from favorable Canadian crude oil differentials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excess linefill and inventory in a higher crude oil price environment; however, in comparison to the year ended December 31, 2021, these favorable variances were offset by the benefit of the monetization of contango hedges during the year ended December 31, 2021.</w:t>
      </w:r>
    </w:p>
    <w:p>
      <w:pPr>
        <w:spacing w:after="0" w:line="175" w:lineRule="exact"/>
        <w:rPr>
          <w:rFonts w:ascii="Arial" w:cs="Arial" w:eastAsia="Arial" w:hAnsi="Arial"/>
          <w:sz w:val="16"/>
          <w:szCs w:val="16"/>
          <w:i w:val="1"/>
          <w:iCs w:val="1"/>
          <w:color w:val="auto"/>
        </w:rPr>
      </w:pPr>
    </w:p>
    <w:p>
      <w:pPr>
        <w:ind w:left="980" w:right="60" w:hanging="324"/>
        <w:spacing w:after="0" w:line="259" w:lineRule="auto"/>
        <w:tabs>
          <w:tab w:leader="none" w:pos="97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Assets. </w:t>
      </w:r>
      <w:r>
        <w:rPr>
          <w:rFonts w:ascii="Arial" w:cs="Arial" w:eastAsia="Arial" w:hAnsi="Arial"/>
          <w:sz w:val="18"/>
          <w:szCs w:val="18"/>
          <w:color w:val="auto"/>
        </w:rPr>
        <w:t>We sold our natural gas storage facilities in August 2021, impacting the comparison of our results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compared to the year ended December 31, 2021. Net revenues from our natural gas storage facilities were approximately $76 million for the year ended December 31, 2021, which included the benefit of favorable margins from hub activities related to Winter Storm Uri, as mentioned below.</w:t>
      </w:r>
    </w:p>
    <w:p>
      <w:pPr>
        <w:spacing w:after="0" w:line="213" w:lineRule="exact"/>
        <w:rPr>
          <w:rFonts w:ascii="Arial" w:cs="Arial" w:eastAsia="Arial" w:hAnsi="Arial"/>
          <w:sz w:val="18"/>
          <w:szCs w:val="18"/>
          <w:i w:val="1"/>
          <w:iCs w:val="1"/>
          <w:color w:val="auto"/>
        </w:rPr>
      </w:pPr>
    </w:p>
    <w:p>
      <w:pPr>
        <w:ind w:left="980" w:right="20" w:hanging="324"/>
        <w:spacing w:after="0" w:line="286" w:lineRule="auto"/>
        <w:tabs>
          <w:tab w:leader="none" w:pos="975"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right="300" w:hanging="324"/>
        <w:spacing w:after="0" w:line="263" w:lineRule="auto"/>
        <w:tabs>
          <w:tab w:leader="none" w:pos="97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Line 2000 Pipeline. </w:t>
      </w:r>
      <w:r>
        <w:rPr>
          <w:rFonts w:ascii="Arial" w:cs="Arial" w:eastAsia="Arial" w:hAnsi="Arial"/>
          <w:sz w:val="18"/>
          <w:szCs w:val="18"/>
          <w:color w:val="auto"/>
        </w:rPr>
        <w:t>In the third quarter of 2022, we temporarily ceased service on Line 2000 in California as a precautionary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 routine inspection, which unfavorably impacted our results for the year ended December 31, 2022 compared to the year ended December 31, 2021. Line 2000 was returned to service in the first quarter of 2023.</w:t>
      </w:r>
    </w:p>
    <w:p>
      <w:pPr>
        <w:spacing w:after="0" w:line="210" w:lineRule="exact"/>
        <w:rPr>
          <w:rFonts w:ascii="Arial" w:cs="Arial" w:eastAsia="Arial" w:hAnsi="Arial"/>
          <w:sz w:val="18"/>
          <w:szCs w:val="18"/>
          <w:i w:val="1"/>
          <w:iCs w:val="1"/>
          <w:color w:val="auto"/>
        </w:rPr>
      </w:pPr>
    </w:p>
    <w:p>
      <w:pPr>
        <w:ind w:left="980" w:hanging="324"/>
        <w:spacing w:after="0" w:line="273" w:lineRule="auto"/>
        <w:tabs>
          <w:tab w:leader="none" w:pos="975"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year ended December 31, 2022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primarily due to (i) an increase in estimated costs associated with the Line 901 incident (which impact field operating costs but are excluded from Segment Adjusted EBITDA and thus are reflected as an “Adjustment” in the table above), (ii) the impact of gains related to hedged power costs resulting from Winter Storm Uri recognized in the first quarter of 2021, (iii) incremental operating costs from the Permian JV, (iv) increased utilities as a result of higher volumes, (v) increased costs resulting from higher third-party trucked volumes and (vi) higher fuel prices, partially offset by (vii) the sale of our natural gas storage facilities in August 2021.</w:t>
      </w:r>
    </w:p>
    <w:p>
      <w:pPr>
        <w:spacing w:after="0" w:line="2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 “—Consolidated Results” 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increase in maintenance capital spending for the year ended December 31, 2022 compared to the year ended December 31, 2021 was primarily due to ongoing station upgrades, integrity projects and tank maintenance, partially offset by lower costs due to the completion of certain projects.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5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Generally, our segment results are impacted by (i) increases or decreases in our NGL sales volumes, (ii) the overall strength, weakness and volatility of market conditions, including the differential between the price of natural gas and the extracted NGL, as well as location differentials and time spreads, and (iii) the effects of competition on our NGL margins. In addition, we utilize various risk management strategies to manage our commodity exposure.</w:t>
      </w:r>
    </w:p>
    <w:p>
      <w:pPr>
        <w:spacing w:after="0" w:line="214" w:lineRule="exact"/>
        <w:rPr>
          <w:sz w:val="20"/>
          <w:szCs w:val="20"/>
          <w:color w:val="auto"/>
        </w:rPr>
      </w:pPr>
    </w:p>
    <w:p>
      <w:pPr>
        <w:ind w:right="660" w:firstLine="648"/>
        <w:spacing w:after="0" w:line="311" w:lineRule="auto"/>
        <w:rPr>
          <w:sz w:val="20"/>
          <w:szCs w:val="20"/>
          <w:color w:val="auto"/>
        </w:rPr>
      </w:pPr>
      <w:r>
        <w:rPr>
          <w:rFonts w:ascii="Arial" w:cs="Arial" w:eastAsia="Arial" w:hAnsi="Arial"/>
          <w:sz w:val="16"/>
          <w:szCs w:val="16"/>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gridSpan w:val="5"/>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8"/>
                <w:szCs w:val="18"/>
                <w:color w:val="auto"/>
              </w:rPr>
            </w:pPr>
          </w:p>
        </w:tc>
        <w:tc>
          <w:tcPr>
            <w:tcW w:w="2440" w:type="dxa"/>
            <w:vAlign w:val="bottom"/>
            <w:gridSpan w:val="10"/>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8"/>
                <w:szCs w:val="18"/>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8"/>
                <w:szCs w:val="18"/>
                <w:color w:val="auto"/>
              </w:rPr>
            </w:pPr>
          </w:p>
        </w:tc>
      </w:tr>
      <w:tr>
        <w:trPr>
          <w:trHeight w:val="190"/>
        </w:trPr>
        <w:tc>
          <w:tcPr>
            <w:tcW w:w="5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29"/>
        </w:trPr>
        <w:tc>
          <w:tcPr>
            <w:tcW w:w="58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5940" w:type="dxa"/>
            <w:vAlign w:val="bottom"/>
            <w:gridSpan w:val="5"/>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9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59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Derivative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5"/>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Foreign currency revaluation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5"/>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9"/>
        </w:trPr>
        <w:tc>
          <w:tcPr>
            <w:tcW w:w="5940" w:type="dxa"/>
            <w:vAlign w:val="bottom"/>
            <w:gridSpan w:val="5"/>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536"/>
        </w:trPr>
        <w:tc>
          <w:tcPr>
            <w:tcW w:w="3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r>
      <w:tr>
        <w:trPr>
          <w:trHeight w:val="26"/>
        </w:trPr>
        <w:tc>
          <w:tcPr>
            <w:tcW w:w="3880" w:type="dxa"/>
            <w:vAlign w:val="bottom"/>
          </w:tcPr>
          <w:p>
            <w:pPr>
              <w:spacing w:after="0"/>
              <w:rPr>
                <w:sz w:val="2"/>
                <w:szCs w:val="2"/>
                <w:color w:val="auto"/>
              </w:rPr>
            </w:pPr>
          </w:p>
        </w:tc>
        <w:tc>
          <w:tcPr>
            <w:tcW w:w="206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920" w:type="dxa"/>
            <w:vAlign w:val="bottom"/>
            <w:gridSpan w:val="4"/>
          </w:tcPr>
          <w:p>
            <w:pPr>
              <w:ind w:left="20"/>
              <w:spacing w:after="0" w:line="196" w:lineRule="exact"/>
              <w:rPr>
                <w:sz w:val="20"/>
                <w:szCs w:val="20"/>
                <w:color w:val="auto"/>
              </w:rPr>
            </w:pPr>
            <w:r>
              <w:rPr>
                <w:rFonts w:ascii="Arial" w:cs="Arial" w:eastAsia="Arial" w:hAnsi="Arial"/>
                <w:sz w:val="14"/>
                <w:szCs w:val="14"/>
                <w:b w:val="1"/>
                <w:bCs w:val="1"/>
                <w:color w:val="auto"/>
              </w:rPr>
              <w:t xml:space="preserve">Average Volumes (in thousands of barrels per day) </w:t>
            </w:r>
            <w:r>
              <w:rPr>
                <w:rFonts w:ascii="Arial" w:cs="Arial" w:eastAsia="Arial" w:hAnsi="Arial"/>
                <w:sz w:val="18"/>
                <w:szCs w:val="18"/>
                <w:b w:val="1"/>
                <w:bCs w:val="1"/>
                <w:color w:val="auto"/>
                <w:vertAlign w:val="superscript"/>
              </w:rPr>
              <w:t>(4)</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Volumes</w:t>
            </w:r>
          </w:p>
        </w:tc>
        <w:tc>
          <w:tcPr>
            <w:tcW w:w="8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23"/>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38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9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NGL pipeline tariff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38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94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162"/>
        </w:trPr>
        <w:tc>
          <w:tcPr>
            <w:tcW w:w="3880" w:type="dxa"/>
            <w:vAlign w:val="bottom"/>
            <w:tcBorders>
              <w:bottom w:val="single" w:sz="8" w:color="auto"/>
            </w:tcBorders>
          </w:tcPr>
          <w:p>
            <w:pPr>
              <w:spacing w:after="0"/>
              <w:rPr>
                <w:sz w:val="14"/>
                <w:szCs w:val="14"/>
                <w:color w:val="auto"/>
              </w:rPr>
            </w:pPr>
          </w:p>
        </w:tc>
        <w:tc>
          <w:tcPr>
            <w:tcW w:w="206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2"/>
        </w:trPr>
        <w:tc>
          <w:tcPr>
            <w:tcW w:w="5940" w:type="dxa"/>
            <w:vAlign w:val="bottom"/>
            <w:gridSpan w:val="5"/>
          </w:tcPr>
          <w:p>
            <w:pPr>
              <w:spacing w:after="0"/>
              <w:rPr>
                <w:sz w:val="20"/>
                <w:szCs w:val="20"/>
                <w:color w:val="auto"/>
              </w:rPr>
            </w:pPr>
            <w:r>
              <w:rPr>
                <w:rFonts w:ascii="Arial" w:cs="Arial" w:eastAsia="Arial" w:hAnsi="Arial"/>
                <w:sz w:val="18"/>
                <w:szCs w:val="18"/>
                <w:color w:val="auto"/>
              </w:rPr>
              <w:t>**  Indicates that variance as a percentage is not meaningful.</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8"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20" w:right="380" w:hanging="11"/>
        <w:spacing w:after="0" w:line="263" w:lineRule="auto"/>
        <w:rPr>
          <w:sz w:val="20"/>
          <w:szCs w:val="20"/>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62"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Average daily volumes calculated as the total volumes (attributable to our interest for assets owned through undivided joint interests) for the year divided by the number of days in the year.</w:t>
      </w:r>
    </w:p>
    <w:p>
      <w:pPr>
        <w:spacing w:after="0" w:line="62" w:lineRule="exact"/>
        <w:rPr>
          <w:sz w:val="20"/>
          <w:szCs w:val="20"/>
          <w:color w:val="auto"/>
        </w:rPr>
      </w:pPr>
    </w:p>
    <w:p>
      <w:pPr>
        <w:ind w:left="20" w:right="60" w:hanging="11"/>
        <w:spacing w:after="0" w:line="259" w:lineRule="auto"/>
        <w:rPr>
          <w:sz w:val="20"/>
          <w:szCs w:val="20"/>
          <w:color w:val="auto"/>
        </w:rPr>
      </w:pPr>
      <w:r>
        <w:rPr>
          <w:rFonts w:ascii="Arial" w:cs="Arial" w:eastAsia="Arial" w:hAnsi="Arial"/>
          <w:sz w:val="18"/>
          <w:szCs w:val="18"/>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NGL Segment Adjusted EBITDA increased for the year ended December 31, 2022 compared to the year ended December 31, 2021 primarily due to the favorable impact of higher realized fractionation spreads between the price of natural gas and the extracted NGL (“frac spreads”) and increased NGL mix produced at our straddle plants.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activities, excluding the impact of derivative activities and inventory valuation and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costing adjustments, increased for the year ended December 31, 2022 compared to the year ended December 31, 2021 primarily due to higher realized frac spreads, increased NGL mix produced at our straddle plants and higher field operating cost recoveries at our Empress straddle plants as part of our commercial agreements, primarily related to higher utilities-related costs. This was partially offset by lower NGL sales volumes due to a reduction in lower margin hub activity. Additionally, net revenues for the year ended December 31, 2022 include the benefit of a full year of increased ownership in the Empress straddle plants and higher product gains at certain of our NGL facilities.</w:t>
      </w:r>
    </w:p>
    <w:p>
      <w:pPr>
        <w:spacing w:after="0" w:line="2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year ended December 31, 2022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primarily due to increased utilities-related costs from (i) increased production at certain of our Empress straddle plants, (ii) our increased ownership in the Empress straddle plants and (iii) higher utility-related prices in the 2022 period. The increase in utilities-related costs was largely offset by the benefit to net revenues from operating cost recoveries realized through commercial agreements.</w:t>
      </w:r>
    </w:p>
    <w:p>
      <w:pPr>
        <w:spacing w:after="0" w:line="19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 “—Consolidated Results” 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spending for the year ended December 31, 2022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was primarily due to (i) a turnaround at one of our Empress facilities during 2022 and (ii) various maintenance capital projects on our Co-Ed pipeline system. This increase was partially offset by the absence of certain costs in 2022 that were incurred in 2021, including repair costs at the Fort Saskatchewan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30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120" w:firstLine="8"/>
        <w:spacing w:after="0" w:line="271"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0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of December 31, 2022, although we had a working capital deficit of $536 million, we had approximately $3.0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-149860</wp:posOffset>
            </wp:positionV>
            <wp:extent cx="704659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46595"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wp:posOffset>
            </wp:positionV>
            <wp:extent cx="704659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63"/>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3"/>
        <w:spacing w:after="0"/>
        <w:rPr>
          <w:sz w:val="20"/>
          <w:szCs w:val="20"/>
          <w:color w:val="auto"/>
        </w:rPr>
      </w:pPr>
      <w:r>
        <w:rPr>
          <w:rFonts w:ascii="Arial" w:cs="Arial" w:eastAsia="Arial" w:hAnsi="Arial"/>
          <w:sz w:val="14"/>
          <w:szCs w:val="14"/>
          <w:b w:val="1"/>
          <w:bCs w:val="1"/>
          <w:color w:val="auto"/>
        </w:rPr>
        <w:t>December 31, 2022</w:t>
      </w:r>
    </w:p>
    <w:p>
      <w:pPr>
        <w:spacing w:after="0" w:line="34" w:lineRule="exact"/>
        <w:rPr>
          <w:sz w:val="20"/>
          <w:szCs w:val="20"/>
          <w:color w:val="auto"/>
        </w:rPr>
      </w:pPr>
    </w:p>
    <w:p>
      <w:pPr>
        <w:ind w:left="1157" w:hanging="1157"/>
        <w:spacing w:after="0"/>
        <w:tabs>
          <w:tab w:leader="none" w:pos="1157" w:val="left"/>
        </w:tabs>
        <w:numPr>
          <w:ilvl w:val="0"/>
          <w:numId w:val="48"/>
        </w:numPr>
        <w:rPr>
          <w:rFonts w:ascii="Arial" w:cs="Arial" w:eastAsia="Arial" w:hAnsi="Arial"/>
          <w:sz w:val="15"/>
          <w:szCs w:val="15"/>
          <w:color w:val="auto"/>
        </w:rPr>
      </w:pPr>
      <w:r>
        <w:rPr>
          <w:rFonts w:ascii="Arial" w:cs="Arial" w:eastAsia="Arial" w:hAnsi="Arial"/>
          <w:sz w:val="15"/>
          <w:szCs w:val="15"/>
          <w:color w:val="auto"/>
        </w:rPr>
        <w:t>1,317</w:t>
      </w:r>
    </w:p>
    <w:p>
      <w:pPr>
        <w:spacing w:after="0" w:line="57" w:lineRule="exact"/>
        <w:rPr>
          <w:rFonts w:ascii="Arial" w:cs="Arial" w:eastAsia="Arial" w:hAnsi="Arial"/>
          <w:sz w:val="15"/>
          <w:szCs w:val="15"/>
          <w:color w:val="auto"/>
        </w:rPr>
      </w:pPr>
    </w:p>
    <w:p>
      <w:pPr>
        <w:ind w:left="1157"/>
        <w:spacing w:after="0"/>
        <w:rPr>
          <w:rFonts w:ascii="Arial" w:cs="Arial" w:eastAsia="Arial" w:hAnsi="Arial"/>
          <w:sz w:val="15"/>
          <w:szCs w:val="15"/>
          <w:color w:val="auto"/>
        </w:rPr>
      </w:pPr>
      <w:r>
        <w:rPr>
          <w:rFonts w:ascii="Arial" w:cs="Arial" w:eastAsia="Arial" w:hAnsi="Arial"/>
          <w:sz w:val="15"/>
          <w:szCs w:val="15"/>
          <w:color w:val="auto"/>
        </w:rPr>
        <w:t>1,281</w:t>
      </w:r>
    </w:p>
    <w:p>
      <w:pPr>
        <w:spacing w:after="0" w:line="57" w:lineRule="exact"/>
        <w:rPr>
          <w:rFonts w:ascii="Arial" w:cs="Arial" w:eastAsia="Arial" w:hAnsi="Arial"/>
          <w:sz w:val="15"/>
          <w:szCs w:val="15"/>
          <w:color w:val="auto"/>
        </w:rPr>
      </w:pPr>
    </w:p>
    <w:p>
      <w:pPr>
        <w:ind w:left="1377"/>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2">
            <w:col w:w="8823" w:space="720"/>
            <w:col w:w="1677"/>
          </w:cols>
          <w:pgMar w:left="320" w:top="130"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r>
      <w:tr>
        <w:trPr>
          <w:trHeight w:val="230"/>
        </w:trPr>
        <w:tc>
          <w:tcPr>
            <w:tcW w:w="80" w:type="dxa"/>
            <w:vAlign w:val="bottom"/>
          </w:tcPr>
          <w:p>
            <w:pPr>
              <w:spacing w:after="0"/>
              <w:rPr>
                <w:sz w:val="19"/>
                <w:szCs w:val="19"/>
                <w:color w:val="auto"/>
              </w:rPr>
            </w:pPr>
          </w:p>
        </w:tc>
        <w:tc>
          <w:tcPr>
            <w:tcW w:w="9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80" w:type="dxa"/>
            <w:vAlign w:val="bottom"/>
          </w:tcPr>
          <w:p>
            <w:pPr>
              <w:spacing w:after="0"/>
              <w:rPr>
                <w:sz w:val="19"/>
                <w:szCs w:val="19"/>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175"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3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$33 million and $69 million, respectively.</w:t>
      </w:r>
    </w:p>
    <w:p>
      <w:pPr>
        <w:spacing w:after="0" w:line="200" w:lineRule="exact"/>
        <w:rPr>
          <w:sz w:val="20"/>
          <w:szCs w:val="20"/>
          <w:color w:val="auto"/>
        </w:rPr>
      </w:pPr>
    </w:p>
    <w:p>
      <w:pPr>
        <w:sectPr>
          <w:pgSz w:w="11900" w:h="16838" w:orient="portrait"/>
          <w:cols w:equalWidth="0" w:num="2">
            <w:col w:w="140" w:space="520"/>
            <w:col w:w="10560"/>
          </w:cols>
          <w:pgMar w:left="320" w:top="130" w:right="359" w:bottom="1440" w:gutter="0" w:footer="0" w:header="0"/>
          <w:type w:val="continuous"/>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52"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Excludes restricted cash of $23 million.</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 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19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Agreements, Commercial Paper Program and Indentures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three primary credit arrangements, which we use to meet our short-term cash needs. These include our $1.35 billion senior unsecured revolving credit facility maturing in 2027, $1.35 billion senior secured hedged inventory facility maturing in 2025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4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40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30"/>
        </w:trPr>
        <w:tc>
          <w:tcPr>
            <w:tcW w:w="8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8720" w:type="dxa"/>
            <w:vAlign w:val="bottom"/>
            <w:gridSpan w:val="3"/>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cash provided by/(used in) investing activities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8720" w:type="dxa"/>
            <w:vAlign w:val="bottom"/>
            <w:gridSpan w:val="3"/>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2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720" w:type="dxa"/>
            <w:vAlign w:val="bottom"/>
            <w:gridSpan w:val="3"/>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30"/>
        </w:trPr>
        <w:tc>
          <w:tcPr>
            <w:tcW w:w="872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3"/>
        </w:trPr>
        <w:tc>
          <w:tcPr>
            <w:tcW w:w="8720" w:type="dxa"/>
            <w:vAlign w:val="bottom"/>
            <w:gridSpan w:val="3"/>
          </w:tcPr>
          <w:p>
            <w:pPr>
              <w:ind w:left="20"/>
              <w:spacing w:after="0"/>
              <w:rPr>
                <w:sz w:val="20"/>
                <w:szCs w:val="20"/>
                <w:color w:val="auto"/>
              </w:rPr>
            </w:pPr>
            <w:r>
              <w:rPr>
                <w:rFonts w:ascii="Arial" w:cs="Arial" w:eastAsia="Arial" w:hAnsi="Arial"/>
                <w:sz w:val="18"/>
                <w:szCs w:val="18"/>
                <w:color w:val="auto"/>
              </w:rPr>
              <w:t>Free Cash Flow after Distributions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0"/>
        </w:trPr>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0"/>
        </w:trPr>
        <w:tc>
          <w:tcPr>
            <w:tcW w:w="400" w:type="dxa"/>
            <w:vAlign w:val="bottom"/>
          </w:tcPr>
          <w:p>
            <w:pPr>
              <w:spacing w:after="0"/>
              <w:rPr>
                <w:sz w:val="20"/>
                <w:szCs w:val="20"/>
                <w:color w:val="auto"/>
              </w:rPr>
            </w:pPr>
            <w:r>
              <w:rPr>
                <w:rFonts w:ascii="Arial" w:cs="Arial" w:eastAsia="Arial" w:hAnsi="Arial"/>
                <w:sz w:val="12"/>
                <w:szCs w:val="12"/>
                <w:color w:val="auto"/>
              </w:rPr>
              <w:t>(1)</w:t>
            </w:r>
          </w:p>
        </w:tc>
        <w:tc>
          <w:tcPr>
            <w:tcW w:w="8320" w:type="dxa"/>
            <w:vAlign w:val="bottom"/>
            <w:gridSpan w:val="2"/>
          </w:tcPr>
          <w:p>
            <w:pPr>
              <w:jc w:val="right"/>
              <w:ind w:right="4360"/>
              <w:spacing w:after="0"/>
              <w:rPr>
                <w:sz w:val="20"/>
                <w:szCs w:val="20"/>
                <w:color w:val="auto"/>
              </w:rPr>
            </w:pPr>
            <w:r>
              <w:rPr>
                <w:rFonts w:ascii="Arial" w:cs="Arial" w:eastAsia="Arial" w:hAnsi="Arial"/>
                <w:sz w:val="18"/>
                <w:szCs w:val="18"/>
                <w:color w:val="auto"/>
                <w:w w:val="95"/>
              </w:rPr>
              <w:t>Cash distributions paid during the period presented.</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8"/>
        </w:trPr>
        <w:tc>
          <w:tcPr>
            <w:tcW w:w="400" w:type="dxa"/>
            <w:vAlign w:val="bottom"/>
          </w:tcPr>
          <w:p>
            <w:pPr>
              <w:spacing w:after="0"/>
              <w:rPr>
                <w:sz w:val="24"/>
                <w:szCs w:val="24"/>
                <w:color w:val="auto"/>
              </w:rPr>
            </w:pPr>
          </w:p>
        </w:tc>
        <w:tc>
          <w:tcPr>
            <w:tcW w:w="8320" w:type="dxa"/>
            <w:vAlign w:val="bottom"/>
            <w:gridSpan w:val="2"/>
          </w:tcPr>
          <w:p>
            <w:pPr>
              <w:jc w:val="right"/>
              <w:ind w:right="300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44"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and common unitholders during the period presented.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93" w:lineRule="exact"/>
        <w:rPr>
          <w:sz w:val="20"/>
          <w:szCs w:val="20"/>
          <w:color w:val="auto"/>
        </w:rPr>
      </w:pPr>
    </w:p>
    <w:p>
      <w:pPr>
        <w:jc w:val="both"/>
        <w:ind w:right="540" w:firstLine="648"/>
        <w:spacing w:after="0" w:line="311" w:lineRule="auto"/>
        <w:rPr>
          <w:sz w:val="20"/>
          <w:szCs w:val="20"/>
          <w:color w:val="auto"/>
        </w:rPr>
      </w:pPr>
      <w:r>
        <w:rPr>
          <w:rFonts w:ascii="Arial" w:cs="Arial" w:eastAsia="Arial" w:hAnsi="Arial"/>
          <w:sz w:val="16"/>
          <w:szCs w:val="16"/>
          <w:color w:val="auto"/>
        </w:rPr>
        <w:t>Net cash provided by operating activities for the years ended December 31, 2022 and 2021 was approximately $2.4 billion and $2.0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2022, we decreased the volume of our crude oil inventory due to opportunities for inventory liquidation during the year, and we also had lower margin balances required as part of our hedging activities, both of which reduced required funding by short-term debt. These decreases were partially offset by higher NGL volumes at the end of 2022 due to inventory builds as part of the winter heating season.</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2021, we decreased the volume of both our crude oil inventory due to fewer storage opportunities in the contango market and our NGL inventory as well as the margin balances required as part of our hedging activities, all of which reduced required funding by short-term debt. The cash inflows associated with these activities were partially offset by higher prices for inventory purchased and stored at the end of the current period compared to the end of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5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r>
      <w:tr>
        <w:trPr>
          <w:trHeight w:val="25"/>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9"/>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Index to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both"/>
        <w:ind w:left="20"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ind w:left="20" w:right="280" w:hanging="11"/>
        <w:spacing w:after="0" w:line="263" w:lineRule="auto"/>
        <w:rPr>
          <w:sz w:val="20"/>
          <w:szCs w:val="20"/>
          <w:color w:val="auto"/>
        </w:rPr>
      </w:pPr>
      <w:r>
        <w:rPr>
          <w:rFonts w:ascii="Arial" w:cs="Arial" w:eastAsia="Arial" w:hAnsi="Arial"/>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and Maintenance capital, net to our interest, was approximately $265 million and $202 million, respectively, for 2022.</w:t>
      </w:r>
    </w:p>
    <w:p>
      <w:pPr>
        <w:spacing w:after="0" w:line="129" w:lineRule="exact"/>
        <w:rPr>
          <w:sz w:val="20"/>
          <w:szCs w:val="20"/>
          <w:color w:val="auto"/>
        </w:rPr>
      </w:pPr>
    </w:p>
    <w:p>
      <w:pPr>
        <w:ind w:left="20" w:right="100" w:hanging="11"/>
        <w:spacing w:after="0" w:line="259" w:lineRule="auto"/>
        <w:rPr>
          <w:sz w:val="20"/>
          <w:szCs w:val="20"/>
          <w:color w:val="auto"/>
        </w:rPr>
      </w:pPr>
      <w:r>
        <w:rPr>
          <w:rFonts w:ascii="Arial" w:cs="Arial" w:eastAsia="Arial" w:hAnsi="Arial"/>
          <w:sz w:val="18"/>
          <w:szCs w:val="18"/>
          <w:color w:val="auto"/>
        </w:rPr>
        <w:t>Acquisition capital for 2022 includes (i) an additional ownership interest in certain straddle plants included in our NGL segment, (ii) the purchase of an additional 5% interest in Cactus II and (iii) the remaining 50% interest in Advantage Pipeline Holdings LLC. Acquisition capital for 2021 represents the cash consideration paid as part of the Asset Exchange transaction. See Note 7 to our Consolidated Financial Statements for additional information.</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Investment Capital Projects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6"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Selected Facilities/Downstream Projects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projects associated with assets included in the Permian JV.</w:t>
      </w:r>
    </w:p>
    <w:p>
      <w:pPr>
        <w:spacing w:after="0" w:line="117"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Represents pipeline projects with takeaway capacity out of the Permian Basin, including investments for our proportionate share of the projects of Wink to Webster Pipeline and Cactus II Pipeline.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at our St. James, Cushing and Fort Saskatchewan terminals.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Projected 2023 Capital Expenditures. </w:t>
      </w:r>
      <w:r>
        <w:rPr>
          <w:rFonts w:ascii="Arial" w:cs="Arial" w:eastAsia="Arial" w:hAnsi="Arial"/>
          <w:sz w:val="18"/>
          <w:szCs w:val="18"/>
          <w:color w:val="auto"/>
        </w:rPr>
        <w:t>Total investment capital for the year ending December 31, 2023 is currently projected to be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$420 million ($325 million net to our interest). Approximately half of our projected investment capital expenditures are expected to be invested in the Permian JV assets. Additionally, maintenance capital for 2023 is currently projected to be $205 million ($195 million net to our interest). We expect to fund our 2023 investment and maintenance capital expenditures primarily with retained cash flow.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from divestitures during the last two years (in millions):</w:t>
      </w:r>
    </w:p>
    <w:p>
      <w:pPr>
        <w:spacing w:after="0" w:line="22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w:t>
        <w:tab/>
        <w:t>$</w:t>
      </w:r>
      <w:r>
        <w:rPr>
          <w:sz w:val="20"/>
          <w:szCs w:val="20"/>
          <w:color w:val="auto"/>
        </w:rPr>
        <w:tab/>
      </w:r>
      <w:r>
        <w:rPr>
          <w:rFonts w:ascii="Arial" w:cs="Arial" w:eastAsia="Arial" w:hAnsi="Arial"/>
          <w:sz w:val="15"/>
          <w:szCs w:val="15"/>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89"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net borrowings or repayments under our credit facilities or commercial paper program during the year ended December 31, 2022.</w:t>
      </w:r>
    </w:p>
    <w:p>
      <w:pPr>
        <w:spacing w:after="0" w:line="2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had net repayments under our credit facilities and commercial paper program of $712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sale of our Pine Prairie and Southern Pines natural gas storage facilities in August 2021, we repaid our two GO Zone term loans totaling $200 million. See Note 7 for additional information regarding the sale of our natural gas storage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Repayments of Senior Notes. </w:t>
      </w:r>
      <w:r>
        <w:rPr>
          <w:rFonts w:ascii="Arial" w:cs="Arial" w:eastAsia="Arial" w:hAnsi="Arial"/>
          <w:sz w:val="18"/>
          <w:szCs w:val="18"/>
          <w:color w:val="auto"/>
        </w:rPr>
        <w:t>During 2022, we repaid the following senior unsecured notes in full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80" w:type="dxa"/>
            <w:vAlign w:val="bottom"/>
          </w:tcPr>
          <w:p>
            <w:pPr>
              <w:spacing w:after="0"/>
              <w:rPr>
                <w:sz w:val="16"/>
                <w:szCs w:val="16"/>
                <w:color w:val="auto"/>
              </w:rPr>
            </w:pPr>
          </w:p>
        </w:tc>
        <w:tc>
          <w:tcPr>
            <w:tcW w:w="404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93"/>
              </w:rPr>
              <w:t>Description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40" w:type="dxa"/>
            <w:vAlign w:val="bottom"/>
            <w:vMerge w:val="restart"/>
            <w:shd w:val="clear" w:color="auto" w:fill="CCEEFF"/>
          </w:tcPr>
          <w:p>
            <w:pPr>
              <w:jc w:val="right"/>
              <w:ind w:right="859"/>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1"/>
                <w:szCs w:val="11"/>
                <w:color w:val="auto"/>
              </w:rPr>
            </w:pPr>
          </w:p>
        </w:tc>
        <w:tc>
          <w:tcPr>
            <w:tcW w:w="5520" w:type="dxa"/>
            <w:vAlign w:val="bottom"/>
            <w:gridSpan w:val="3"/>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0"/>
              </w:rPr>
              <w:t>$750 million 3.65% Senior Notes due June 2022</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March 2022</w:t>
            </w:r>
          </w:p>
        </w:tc>
        <w:tc>
          <w:tcPr>
            <w:tcW w:w="620" w:type="dxa"/>
            <w:vAlign w:val="bottom"/>
            <w:shd w:val="clear" w:color="auto" w:fill="CCEEFF"/>
          </w:tcPr>
          <w:p>
            <w:pPr>
              <w:jc w:val="right"/>
              <w:ind w:right="322"/>
              <w:spacing w:after="0" w:line="136"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520" w:type="dxa"/>
            <w:vAlign w:val="bottom"/>
            <w:gridSpan w:val="3"/>
            <w:vMerge w:val="continue"/>
            <w:shd w:val="clear" w:color="auto" w:fill="CCEEFF"/>
          </w:tcPr>
          <w:p>
            <w:pPr>
              <w:spacing w:after="0"/>
              <w:rPr>
                <w:sz w:val="7"/>
                <w:szCs w:val="7"/>
                <w:color w:val="auto"/>
              </w:rPr>
            </w:pPr>
          </w:p>
        </w:tc>
        <w:tc>
          <w:tcPr>
            <w:tcW w:w="268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We repaid these senior notes with cash on hand and borrowings under our commercial paper program.</w:t>
      </w:r>
    </w:p>
    <w:p>
      <w:pPr>
        <w:spacing w:after="0" w:line="33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On January 31, 2023, we redeemed our 2.85%, $400 million senior notes. We utilized a combination of cash on hand and borrowings under our commercial paper program to repay these senior notes. We also intend to utilize a combination of cash flow from operating activities, proceeds from asset sales and borrowings under our commercial paper program to repay our 3.85%, $700 million notes due October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2022. We also have access to a universal shelf registration statement (“WKSI Shelf”), which provides us with the ability to offer and sell an unlimited amount of debt and equity securities, subject to market conditions and our capital needs.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repurchased common units under the Program during the years ended December 31, 2022 and 2021 for a total purchase price of $74 million and $178 million, respectively, including commissions and fees. The remaining available capacity under the Program as of December 31, 2022 was $198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21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Holders of our Series A preferred units are entitled to receive quarterly distributions,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customary anti-dilution adjustments, of $0.525 per unit ($2.10 per unit annualized). Subject to certain limitations, following January 28, 2021, the holders of our Series A preferred units have the right to make a one-time election to reset the distribution rate. In January 2023, we received notice that the Series A preferred unitholders elected the Preferred Distribution Rate Reset Option. Effective January 31, 2023, the new Series A preferred unit distribution rate is equal to 9.375% per annum on the original issue price (approximately $2.46 per unit annualized). The quarterly distribution to be paid in May 2023 will reflect a pro-rated amount of $0.58516 per unit. See Note 12 to our Consolidated Financial Statements for additional information.</w:t>
      </w:r>
    </w:p>
    <w:p>
      <w:pPr>
        <w:spacing w:after="0" w:line="19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Distributions to our Series B preferred unitholders. </w:t>
      </w:r>
      <w:r>
        <w:rPr>
          <w:rFonts w:ascii="Arial" w:cs="Arial" w:eastAsia="Arial" w:hAnsi="Arial"/>
          <w:sz w:val="16"/>
          <w:szCs w:val="16"/>
          <w:color w:val="auto"/>
        </w:rPr>
        <w:t>Holders of our Series B preferred units are entitled to receive, when, as and if declared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out of legally available funds for such purpose, cumulative cash distributions, as applicable. Through and including November 15, 2022, holders were entitled to a distribution equal to $61.25 per unit per year, payable semiannually in arrears on the 15th day of May and November. On and after November 15, 2022, distributions on the Series B units accumulate based on a floating rate equal to the applicable three-month LIBOR (or, if discontinued, a substitute or successor rate determined by the calculation agent) plus a spread of 4.11% and is payable quarterly on the 15th day of February, May, August and November. The distribution rate for the quarterly distribution paid on February 15, 2023 was 8.71614% ($22.27 per Series B preferred unit). See Note 12 to our Consolidated Financial Statements for further discussion of our Series B preferred units.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Distributions to our common unitholders. </w:t>
      </w:r>
      <w:r>
        <w:rPr>
          <w:rFonts w:ascii="Arial" w:cs="Arial" w:eastAsia="Arial" w:hAnsi="Arial"/>
          <w:sz w:val="18"/>
          <w:szCs w:val="18"/>
          <w:color w:val="auto"/>
        </w:rPr>
        <w:t>On February 14, 2023, we paid a quarterly distribution of $0.2675 per common unit ($1.07 per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 on an annualized basis). The total distribution of $187 million was paid to common unitholders of record as of January 31, 2023, with respect to the quarter ended December 31, 2022. See Note 12 to our Consolidated Financial Statements for details of distributions paid during the three years ended December 31, 2022.</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December 31, 2022, noncontrolling interests in our subsidiaries consisted of (i) a 35% interest in the Permian JV, (ii) a 30% interest in Cactus II and (iii) a 33% interest in Red River. See Note 12 to our Consolidated Financial Statements for details of distributions paid to noncontrolling interests during the three years ended December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19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See Note 11 to our Consolidated Financial Statements for information regarding our debt obligations and Note 19 for information regarding our leases and other commitments.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Purchase Obligations</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the ordinary course of doing business, we purchase crude oil and NGL from third parties under contracts, the majority 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our best estimate and the timing of these payments as of December 31, 2022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2028 and</w:t>
            </w: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41,216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135,494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459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60" w:right="120" w:hanging="652"/>
        <w:spacing w:after="0" w:line="269" w:lineRule="auto"/>
        <w:tabs>
          <w:tab w:leader="none" w:pos="648"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Amounts are primarily based on estimated volumes and market prices based on average activity during December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our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approximately $102 million and $98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have invested in entities that are not consolidated in our financial statements. None of these entities had debt outstanding as of December 31, 2022. We may elect at any time to make additional capital contributions to any of these entities. The following table sets forth selected information regarding these entities as of December 31, 2022 (unaudited,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Our</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Total Cash</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Type of Operation</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26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Entity</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Capline Pipeline Company LLC</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Diamond Pipeline LLC</w:t>
            </w:r>
          </w:p>
        </w:tc>
        <w:tc>
          <w:tcPr>
            <w:tcW w:w="340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Eagle Ford Pipeline LLC</w:t>
            </w:r>
          </w:p>
        </w:tc>
        <w:tc>
          <w:tcPr>
            <w:tcW w:w="340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340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OMOG JV LLC</w:t>
            </w:r>
          </w:p>
        </w:tc>
        <w:tc>
          <w:tcPr>
            <w:tcW w:w="340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Saddlehorn Pipeline Company, LLC</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White Cliffs Pipeline, LLC</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Wink to Webster Pipeline LLC</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Other investments</w:t>
            </w: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540" w:type="dxa"/>
            <w:vAlign w:val="bottom"/>
            <w:tcBorders>
              <w:bottom w:val="single" w:sz="8" w:color="auto"/>
            </w:tcBorders>
            <w:gridSpan w:val="2"/>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540" w:type="dxa"/>
            <w:vAlign w:val="bottom"/>
            <w:gridSpan w:val="2"/>
          </w:tcPr>
          <w:p>
            <w:pPr>
              <w:jc w:val="right"/>
              <w:ind w:right="312"/>
              <w:spacing w:after="0"/>
              <w:rPr>
                <w:sz w:val="20"/>
                <w:szCs w:val="20"/>
                <w:color w:val="auto"/>
              </w:rPr>
            </w:pPr>
            <w:r>
              <w:rPr>
                <w:rFonts w:ascii="Arial" w:cs="Arial" w:eastAsia="Arial" w:hAnsi="Arial"/>
                <w:sz w:val="12"/>
                <w:szCs w:val="12"/>
                <w:color w:val="auto"/>
                <w:w w:val="81"/>
              </w:rPr>
              <w:t>(1)</w:t>
            </w:r>
          </w:p>
        </w:tc>
        <w:tc>
          <w:tcPr>
            <w:tcW w:w="3500" w:type="dxa"/>
            <w:vAlign w:val="bottom"/>
            <w:gridSpan w:val="3"/>
          </w:tcPr>
          <w:p>
            <w:pPr>
              <w:ind w:left="100"/>
              <w:spacing w:after="0"/>
              <w:rPr>
                <w:sz w:val="20"/>
                <w:szCs w:val="20"/>
                <w:color w:val="auto"/>
              </w:rPr>
            </w:pPr>
            <w:r>
              <w:rPr>
                <w:rFonts w:ascii="Arial" w:cs="Arial" w:eastAsia="Arial" w:hAnsi="Arial"/>
                <w:sz w:val="18"/>
                <w:szCs w:val="18"/>
                <w:color w:val="auto"/>
              </w:rPr>
              <w:t>We serve as operator of the asset.</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20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3"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The fair value of a derivative at a particular period end does not reflect the end results of a particular transaction,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Preferred Distribution Rate Reset Option of our Series A preferred units is an embedded derivative that is recorded at fair value in our Consolidated Balance Sheets. The valuation model utilized for this embedded derivative contains multiple inputs, some of which involve management judgment, including our common unit price, ten-year United States treasury rates, default probabilities and timing estimates to ultimately calculate the fair value of our Series A preferred units with and without the Preferred Distribution Rate Reset Option.</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1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potential legal claims or</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1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Property and Equipment, Depreciation and Amortization Expense and Asset Retirement Obligations. </w:t>
      </w:r>
      <w:r>
        <w:rPr>
          <w:rFonts w:ascii="Arial" w:cs="Arial" w:eastAsia="Arial" w:hAnsi="Arial"/>
          <w:sz w:val="17"/>
          <w:szCs w:val="17"/>
          <w:color w:val="auto"/>
        </w:rPr>
        <w:t>We compute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2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See Note 6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5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Impairment Assessments of Property and Equipment, Investments in Unconsolidated Entities and Intangible Assets. </w:t>
      </w:r>
      <w:r>
        <w:rPr>
          <w:rFonts w:ascii="Arial" w:cs="Arial" w:eastAsia="Arial" w:hAnsi="Arial"/>
          <w:sz w:val="18"/>
          <w:szCs w:val="18"/>
          <w:color w:val="auto"/>
        </w:rPr>
        <w:t>We periodically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8"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05"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 decline in value of the investment;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decline in value is other than temporary;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fair value of the investment.</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5"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A change in our outlook or use could result in impairments that may be material to our results of operations or financial condition. See “— Executive Summary— Market Overview and Outlook” and Note 6, Note 9 and Note 10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Inventory Valuations. </w:t>
      </w:r>
      <w:r>
        <w:rPr>
          <w:rFonts w:ascii="Arial" w:cs="Arial" w:eastAsia="Arial" w:hAnsi="Arial"/>
          <w:sz w:val="16"/>
          <w:szCs w:val="16"/>
          <w:color w:val="auto"/>
        </w:rPr>
        <w:t>Inventory, including long-term inventory, primarily consists of crude oil and NGL and is valued at the lower of cost or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2022 and 2021, we did not record any charges related to the valuation adjustment of our inventory. During the year ended December 31, 2020, we recorded charges of $233 million related to the valuation adjustment of our crude oil inventory due to declines in prices. See Note 5 to our Consolidated Financial Statements for further discussion regarding inventory.</w:t>
      </w:r>
    </w:p>
    <w:p>
      <w:pPr>
        <w:spacing w:after="0" w:line="19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Line 901 Incident Insurance Receivable. </w:t>
      </w:r>
      <w:r>
        <w:rPr>
          <w:rFonts w:ascii="Arial" w:cs="Arial" w:eastAsia="Arial" w:hAnsi="Arial"/>
          <w:sz w:val="17"/>
          <w:szCs w:val="17"/>
          <w:color w:val="auto"/>
        </w:rPr>
        <w:t>In May 2015, we experienced a crude oil release from our Las Flores to Gaviota Pipeline (Line 901) in</w:t>
      </w:r>
      <w:r>
        <w:rPr>
          <w:rFonts w:ascii="Arial" w:cs="Arial" w:eastAsia="Arial" w:hAnsi="Arial"/>
          <w:sz w:val="17"/>
          <w:szCs w:val="17"/>
          <w:i w:val="1"/>
          <w:iCs w:val="1"/>
          <w:color w:val="auto"/>
        </w:rPr>
        <w:t xml:space="preserve"> </w:t>
      </w:r>
      <w:r>
        <w:rPr>
          <w:rFonts w:ascii="Arial" w:cs="Arial" w:eastAsia="Arial" w:hAnsi="Arial"/>
          <w:sz w:val="17"/>
          <w:szCs w:val="17"/>
          <w:color w:val="auto"/>
        </w:rPr>
        <w:t>Santa Barbara County, California. We have estimated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2022, we have recognized a long-term receivable of approximately $225 million for the portion of the release costs that we believe is probable of recovery from insurance, net of deductibles and amounts already collected. In the fourth quarter of 2022, insurers responsible for the majority of our remaining insurance coverage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We cannot provide assurance that actual receivable amounts will not vary significantly from our estimated amounts. See Note 19 to our Consolidated Financial Statements for further discussion regarding the Line 901 incident and our related insurance receivable.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252" w:lineRule="exact"/>
        <w:rPr>
          <w:rFonts w:ascii="Arial" w:cs="Arial" w:eastAsia="Arial" w:hAnsi="Arial"/>
          <w:sz w:val="13"/>
          <w:szCs w:val="13"/>
          <w:i w:val="1"/>
          <w:iCs w:val="1"/>
          <w:color w:val="auto"/>
        </w:rPr>
      </w:pPr>
    </w:p>
    <w:p>
      <w:pPr>
        <w:ind w:left="980" w:right="200"/>
        <w:spacing w:after="0" w:line="263" w:lineRule="auto"/>
        <w:rPr>
          <w:rFonts w:ascii="Arial" w:cs="Arial" w:eastAsia="Arial" w:hAnsi="Arial"/>
          <w:sz w:val="13"/>
          <w:szCs w:val="13"/>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252" w:lineRule="exact"/>
        <w:rPr>
          <w:rFonts w:ascii="Arial" w:cs="Arial" w:eastAsia="Arial" w:hAnsi="Arial"/>
          <w:sz w:val="13"/>
          <w:szCs w:val="13"/>
          <w:color w:val="auto"/>
        </w:rPr>
      </w:pPr>
    </w:p>
    <w:p>
      <w:pPr>
        <w:ind w:left="980" w:right="160"/>
        <w:spacing w:after="0" w:line="259"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213" w:lineRule="exact"/>
        <w:rPr>
          <w:rFonts w:ascii="Arial" w:cs="Arial" w:eastAsia="Arial" w:hAnsi="Arial"/>
          <w:sz w:val="13"/>
          <w:szCs w:val="13"/>
          <w:color w:val="auto"/>
        </w:rPr>
      </w:pPr>
    </w:p>
    <w:p>
      <w:pPr>
        <w:ind w:left="980" w:hanging="324"/>
        <w:spacing w:after="0"/>
        <w:tabs>
          <w:tab w:leader="none" w:pos="980" w:val="left"/>
        </w:tabs>
        <w:numPr>
          <w:ilvl w:val="0"/>
          <w:numId w:val="57"/>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3"/>
          <w:szCs w:val="13"/>
          <w:color w:val="auto"/>
        </w:rPr>
      </w:pPr>
    </w:p>
    <w:p>
      <w:pPr>
        <w:ind w:left="980" w:right="120"/>
        <w:spacing w:after="0" w:line="257"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2022 that would be expected from a 10% price increase or decrease is shown in the table below (in millions):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December 31, 2022. The average interest rate on variable rate debt that was outstanding during the year ended December 31, 2022 was 1.9%, based upon rates in effect during the year. The fair value of our interest rate derivatives was an asset of $120 million as of December 31, 2022. A 10% increase in the forward LIBOR curve as of December 31, 2022 would have resulted in an increase of $18 million to the fair value of our interest rate derivatives. A 10% decrease in the forward LIBOR curve as of December 31, 2022 would have resulted in a decrease of $18 million to the fair value of our interest rate derivatives. See Note 13 to our Consolidated Financial Statements for a discussion of our interest rate risk hedging activities.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host contract, our partnership agreement, and recorded at fair value in our Consolidated Balance Sheets. The valuation model utilized for this embedded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contains multiple inputs, including our common unit price, ten-year United States treasury rates, default probabilities and timing estimates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ultimately calculate the fair value of our Series A preferred units with and without the Preferred Distribution Rate Reset Option. The fair value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embedded derivative was a liability of $189 million as of December 31, 2022. The ten-year U.S. Treasury rate as of December 31, 2022 was 3.88%.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ten-year U.S. Treasury rate curve of 10%, holding other inputs constant, would result in an increase in both expense and our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A decrease in the ten-year U.S. Treasury rate curve of 10%, holding other inputs constant, would result in a decrease in both expense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of $39 million. See Note 13 to our Consolidated Financial Statements for a discussion of embedded derivatives. In January 2023, we received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notice that the Series A preferred unitholders elected the Preferred Distribution Rate Reset Option, which will be effective for the distribution paid in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2023. See Note 12 to our Consolidated Financial Statements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2022, the end of the period covered by this report, and, based on such evaluation, our Chief Executive Officer and Chief Financial Officer have concluded that our DCP is effective.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2022. See “Management’s Report on Internal Control Over Financial Reporting” on page F-2 of our Consolidated Financial Statements.</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7"/>
          <w:szCs w:val="17"/>
          <w:color w:val="auto"/>
        </w:rPr>
        <w:t>Report of Independent Registered Public Accounting Firm</w:t>
      </w:r>
      <w:r>
        <w:rPr>
          <w:rFonts w:ascii="Arial" w:cs="Arial" w:eastAsia="Arial" w:hAnsi="Arial"/>
          <w:sz w:val="18"/>
          <w:szCs w:val="18"/>
          <w:color w:val="auto"/>
        </w:rPr>
        <w:t>” on page F-3 of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2022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3" w:name="page94"/>
    <w:bookmarkEnd w:id="93"/>
    <w:p>
      <w:pPr>
        <w:ind w:left="73"/>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ind w:left="73"/>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12"/>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right="34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3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217" w:lineRule="exact"/>
        <w:rPr>
          <w:sz w:val="20"/>
          <w:szCs w:val="20"/>
          <w:color w:val="auto"/>
        </w:rPr>
      </w:pPr>
    </w:p>
    <w:tbl>
      <w:tblPr>
        <w:tblLayout w:type="fixed"/>
        <w:tblInd w:w="73" w:type="dxa"/>
        <w:tblCellMar>
          <w:top w:w="0" w:type="dxa"/>
          <w:left w:w="0" w:type="dxa"/>
          <w:bottom w:w="0" w:type="dxa"/>
          <w:right w:w="0" w:type="dxa"/>
        </w:tblCellMar>
      </w:tblPr>
      <w:tr>
        <w:trPr>
          <w:trHeight w:val="186"/>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6"/>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Willie Chiang </w:t>
            </w:r>
            <w:r>
              <w:rPr>
                <w:rFonts w:ascii="Arial" w:cs="Arial" w:eastAsia="Arial" w:hAnsi="Arial"/>
                <w:sz w:val="23"/>
                <w:szCs w:val="23"/>
                <w:color w:val="auto"/>
                <w:vertAlign w:val="superscript"/>
              </w:rPr>
              <w:t>(1)(2)</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(1)(2)</w:t>
            </w:r>
          </w:p>
        </w:tc>
        <w:tc>
          <w:tcPr>
            <w:tcW w:w="858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30"/>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Jeremy L. Goebel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29"/>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Richard K. McGee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Chris Herbold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229"/>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Senior Advisor to the Chief Executive Officer (former Chairman and Chief Executive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Victor Burk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Advisor, Alvarez and Marsal</w:t>
            </w:r>
          </w:p>
        </w:tc>
      </w:tr>
      <w:tr>
        <w:trPr>
          <w:trHeight w:val="230"/>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Ellen R. DeSanctis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Former Senior Vice President, ConocoPhillips</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Kevin McCarthy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 Kayne Anderson Capital Advisors, L.P.</w:t>
            </w:r>
          </w:p>
        </w:tc>
      </w:tr>
      <w:tr>
        <w:trPr>
          <w:trHeight w:val="230"/>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Advisor, Perella Weinberg Partners</w:t>
            </w:r>
          </w:p>
        </w:tc>
      </w:tr>
      <w:tr>
        <w:trPr>
          <w:trHeight w:val="230"/>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29"/>
        </w:trPr>
        <w:tc>
          <w:tcPr>
            <w:tcW w:w="2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Christopher M. Temple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President, DelTex Capital LLC</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Lawrence M. Ziemba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222885</wp:posOffset>
            </wp:positionV>
            <wp:extent cx="22885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91" w:lineRule="exact"/>
        <w:rPr>
          <w:sz w:val="20"/>
          <w:szCs w:val="20"/>
          <w:color w:val="auto"/>
        </w:rPr>
      </w:pPr>
    </w:p>
    <w:p>
      <w:pPr>
        <w:ind w:left="353" w:hanging="353"/>
        <w:spacing w:after="0"/>
        <w:tabs>
          <w:tab w:leader="none" w:pos="353"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3"/>
          <w:szCs w:val="23"/>
          <w:color w:val="auto"/>
          <w:vertAlign w:val="superscript"/>
        </w:rPr>
      </w:pPr>
    </w:p>
    <w:p>
      <w:pPr>
        <w:ind w:left="353" w:hanging="353"/>
        <w:spacing w:after="0" w:line="194" w:lineRule="auto"/>
        <w:tabs>
          <w:tab w:leader="none" w:pos="353"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Director</w:t>
      </w:r>
    </w:p>
    <w:p>
      <w:pPr>
        <w:spacing w:after="0" w:line="229" w:lineRule="exact"/>
        <w:rPr>
          <w:sz w:val="20"/>
          <w:szCs w:val="20"/>
          <w:color w:val="auto"/>
        </w:rPr>
      </w:pPr>
    </w:p>
    <w:p>
      <w:pPr>
        <w:ind w:left="73" w:right="320" w:firstLine="648"/>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www.plains.com</w:t>
      </w:r>
      <w:r>
        <w:rPr>
          <w:rFonts w:ascii="Arial" w:cs="Arial" w:eastAsia="Arial" w:hAnsi="Arial"/>
          <w:sz w:val="18"/>
          <w:szCs w:val="18"/>
          <w:color w:val="auto"/>
        </w:rPr>
        <w:t xml:space="preserve"> under About Us— Leadership.</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left="73" w:right="34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02" w:lineRule="exact"/>
        <w:rPr>
          <w:sz w:val="20"/>
          <w:szCs w:val="20"/>
          <w:color w:val="auto"/>
        </w:rPr>
      </w:pPr>
    </w:p>
    <w:p>
      <w:pPr>
        <w:ind w:left="73" w:right="34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130" w:right="37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0" w:right="71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52" w:lineRule="exact"/>
        <w:rPr>
          <w:sz w:val="20"/>
          <w:szCs w:val="20"/>
          <w:color w:val="auto"/>
        </w:rPr>
      </w:pPr>
    </w:p>
    <w:p>
      <w:pPr>
        <w:ind w:left="1040" w:hanging="384"/>
        <w:spacing w:after="0"/>
        <w:tabs>
          <w:tab w:leader="none" w:pos="1040" w:val="left"/>
        </w:tabs>
        <w:numPr>
          <w:ilvl w:val="0"/>
          <w:numId w:val="60"/>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97"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gridSpan w:val="20"/>
          </w:tcPr>
          <w:p>
            <w:pPr>
              <w:ind w:left="37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1"/>
          </w:tcPr>
          <w:p>
            <w:pPr>
              <w:spacing w:after="0" w:line="182"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American GP LLC, Plains AAP, L.P., PAA GP LLC and Plains All American Pipeline, L.P.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bottom w:val="single" w:sz="8" w:color="0000FF"/>
            </w:tcBorders>
            <w:gridSpan w:val="2"/>
          </w:tcPr>
          <w:p>
            <w:pPr>
              <w:spacing w:after="0" w:line="169"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2.</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our Current Report on Form 8-K filed July 14, 2016).</w:t>
              </w:r>
            </w:hyperlink>
          </w:p>
        </w:tc>
        <w:tc>
          <w:tcPr>
            <w:tcW w:w="498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2.2*</w:t>
            </w:r>
          </w:p>
        </w:tc>
        <w:tc>
          <w:tcPr>
            <w:tcW w:w="10020" w:type="dxa"/>
            <w:vAlign w:val="bottom"/>
            <w:gridSpan w:val="23"/>
          </w:tcPr>
          <w:p>
            <w:pPr>
              <w:ind w:left="12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5">
              <w:r>
                <w:rPr>
                  <w:rFonts w:ascii="Arial" w:cs="Arial" w:eastAsia="Arial" w:hAnsi="Arial"/>
                  <w:sz w:val="18"/>
                  <w:szCs w:val="18"/>
                  <w:color w:val="0000FF"/>
                  <w:w w:val="98"/>
                </w:rPr>
                <w:t>Agreement and Plan of Merger dated as of July 12, 2021 by and among Plains Pipeline, L.P., Plains Marketing, L.P., Oryx</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1"/>
          </w:tcPr>
          <w:p>
            <w:pPr>
              <w:spacing w:after="0" w:line="156" w:lineRule="exact"/>
              <w:rPr>
                <w:rFonts w:ascii="Arial" w:cs="Arial" w:eastAsia="Arial" w:hAnsi="Arial"/>
                <w:sz w:val="18"/>
                <w:szCs w:val="18"/>
                <w:color w:val="0000FF"/>
                <w:w w:val="95"/>
              </w:rPr>
            </w:pPr>
            <w:hyperlink r:id="rId125">
              <w:r>
                <w:rPr>
                  <w:rFonts w:ascii="Arial" w:cs="Arial" w:eastAsia="Arial" w:hAnsi="Arial"/>
                  <w:sz w:val="18"/>
                  <w:szCs w:val="18"/>
                  <w:color w:val="0000FF"/>
                  <w:w w:val="95"/>
                </w:rPr>
                <w:t>Midstream Holdings LLC, Middle Cadence Holdings LLC, POP HoldCo LLC, Oryx Wink Oil Marketing LLC, Oryx Permian Oil</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19"/>
          </w:tcPr>
          <w:p>
            <w:pPr>
              <w:spacing w:after="0" w:line="169" w:lineRule="exact"/>
              <w:rPr>
                <w:rFonts w:ascii="Arial" w:cs="Arial" w:eastAsia="Arial" w:hAnsi="Arial"/>
                <w:sz w:val="18"/>
                <w:szCs w:val="18"/>
                <w:color w:val="0000FF"/>
                <w:w w:val="95"/>
              </w:rPr>
            </w:pPr>
            <w:hyperlink r:id="rId125">
              <w:r>
                <w:rPr>
                  <w:rFonts w:ascii="Arial" w:cs="Arial" w:eastAsia="Arial" w:hAnsi="Arial"/>
                  <w:sz w:val="18"/>
                  <w:szCs w:val="18"/>
                  <w:color w:val="0000FF"/>
                  <w:w w:val="95"/>
                </w:rPr>
                <w:t>Marketing LLC, Plains Oryx Permian Basin LLC, Plains Oryx Permian Basin Marketing LLC and Plains Oryx Permian Basin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Pipeline LLC (incorporated by reference to Exhibit 2.1 to our Current Report on Form 8-K filed July 13,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10020" w:type="dxa"/>
            <w:vAlign w:val="bottom"/>
            <w:gridSpan w:val="23"/>
          </w:tcPr>
          <w:p>
            <w:pPr>
              <w:ind w:left="12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6">
              <w:r>
                <w:rPr>
                  <w:rFonts w:ascii="Arial" w:cs="Arial" w:eastAsia="Arial" w:hAnsi="Arial"/>
                  <w:sz w:val="18"/>
                  <w:szCs w:val="18"/>
                  <w:color w:val="0000FF"/>
                  <w:w w:val="94"/>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2017 (incorporated by reference to Exhibit 3.1 to our Current Report on Form 8-K filed October 12, 2017).</w:t>
              </w:r>
            </w:hyperlink>
          </w:p>
        </w:tc>
        <w:tc>
          <w:tcPr>
            <w:tcW w:w="154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10020" w:type="dxa"/>
            <w:vAlign w:val="bottom"/>
            <w:gridSpan w:val="23"/>
          </w:tcPr>
          <w:p>
            <w:pPr>
              <w:ind w:left="1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7">
              <w:r>
                <w:rPr>
                  <w:rFonts w:ascii="Arial" w:cs="Arial" w:eastAsia="Arial" w:hAnsi="Arial"/>
                  <w:sz w:val="18"/>
                  <w:szCs w:val="18"/>
                  <w:color w:val="0000FF"/>
                  <w:w w:val="93"/>
                </w:rPr>
                <w:t>Third Amended and Restated Agreement of Limited Partnership of Plains Marketing, L.P. dated as of April 1, 2004 (incorporated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by reference to Exhibit 3.2 to our Quarterly Report on Form 10-Q for the quarter ended March 31, 2004).</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ind w:left="20"/>
              <w:spacing w:after="0"/>
              <w:rPr>
                <w:sz w:val="20"/>
                <w:szCs w:val="20"/>
                <w:color w:val="auto"/>
              </w:rPr>
            </w:pPr>
            <w:r>
              <w:rPr>
                <w:rFonts w:ascii="Arial" w:cs="Arial" w:eastAsia="Arial" w:hAnsi="Arial"/>
                <w:sz w:val="18"/>
                <w:szCs w:val="18"/>
                <w:color w:val="auto"/>
              </w:rPr>
              <w:t>3.3</w:t>
            </w:r>
          </w:p>
        </w:tc>
        <w:tc>
          <w:tcPr>
            <w:tcW w:w="10020" w:type="dxa"/>
            <w:vAlign w:val="bottom"/>
            <w:gridSpan w:val="23"/>
          </w:tcPr>
          <w:p>
            <w:pPr>
              <w:ind w:left="1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8">
              <w:r>
                <w:rPr>
                  <w:rFonts w:ascii="Arial" w:cs="Arial" w:eastAsia="Arial" w:hAnsi="Arial"/>
                  <w:sz w:val="18"/>
                  <w:szCs w:val="18"/>
                  <w:color w:val="0000FF"/>
                  <w:w w:val="96"/>
                </w:rPr>
                <w:t>Amendment No. 1 dated December 31, 2010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1"/>
          </w:tcPr>
          <w:p>
            <w:pPr>
              <w:spacing w:after="0" w:line="156"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Marketing, L.P. (incorporated by reference to Exhibit 3.9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2010).</w:t>
              </w:r>
            </w:hyperlink>
          </w:p>
        </w:tc>
        <w:tc>
          <w:tcPr>
            <w:tcW w:w="3840" w:type="dxa"/>
            <w:vAlign w:val="bottom"/>
            <w:tcBorders>
              <w:top w:val="single" w:sz="8" w:color="0000FF"/>
            </w:tcBorders>
          </w:tcPr>
          <w:p>
            <w:pPr>
              <w:spacing w:after="0"/>
              <w:rPr>
                <w:sz w:val="14"/>
                <w:szCs w:val="14"/>
                <w:color w:val="auto"/>
              </w:rPr>
            </w:pPr>
          </w:p>
        </w:tc>
        <w:tc>
          <w:tcPr>
            <w:tcW w:w="3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3.4</w:t>
            </w:r>
          </w:p>
        </w:tc>
        <w:tc>
          <w:tcPr>
            <w:tcW w:w="10020" w:type="dxa"/>
            <w:vAlign w:val="bottom"/>
            <w:gridSpan w:val="23"/>
          </w:tcPr>
          <w:p>
            <w:pPr>
              <w:ind w:left="12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9">
              <w:r>
                <w:rPr>
                  <w:rFonts w:ascii="Arial" w:cs="Arial" w:eastAsia="Arial" w:hAnsi="Arial"/>
                  <w:sz w:val="18"/>
                  <w:szCs w:val="18"/>
                  <w:color w:val="0000FF"/>
                  <w:w w:val="98"/>
                </w:rPr>
                <w:t>Amendment No. 2 dated January 1,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1"/>
          </w:tcPr>
          <w:p>
            <w:pPr>
              <w:spacing w:after="0" w:line="15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Marketing, L.P. (incorporated by reference to Exhibit 3.10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2010).</w:t>
              </w:r>
            </w:hyperlink>
          </w:p>
        </w:tc>
        <w:tc>
          <w:tcPr>
            <w:tcW w:w="3840" w:type="dxa"/>
            <w:vAlign w:val="bottom"/>
            <w:tcBorders>
              <w:top w:val="single" w:sz="8" w:color="0000FF"/>
            </w:tcBorders>
          </w:tcPr>
          <w:p>
            <w:pPr>
              <w:spacing w:after="0"/>
              <w:rPr>
                <w:sz w:val="14"/>
                <w:szCs w:val="14"/>
                <w:color w:val="auto"/>
              </w:rPr>
            </w:pPr>
          </w:p>
        </w:tc>
        <w:tc>
          <w:tcPr>
            <w:tcW w:w="3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3.5</w:t>
            </w:r>
          </w:p>
        </w:tc>
        <w:tc>
          <w:tcPr>
            <w:tcW w:w="10020" w:type="dxa"/>
            <w:vAlign w:val="bottom"/>
            <w:gridSpan w:val="23"/>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0">
              <w:r>
                <w:rPr>
                  <w:rFonts w:ascii="Arial" w:cs="Arial" w:eastAsia="Arial" w:hAnsi="Arial"/>
                  <w:sz w:val="18"/>
                  <w:szCs w:val="18"/>
                  <w:color w:val="0000FF"/>
                </w:rPr>
                <w:t>Amendment No. 3 dated June 30,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1"/>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Marketing, L.P. (incorporated by reference to Exhibit 3.7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2013).</w:t>
              </w:r>
            </w:hyperlink>
          </w:p>
        </w:tc>
        <w:tc>
          <w:tcPr>
            <w:tcW w:w="3840" w:type="dxa"/>
            <w:vAlign w:val="bottom"/>
            <w:tcBorders>
              <w:top w:val="single" w:sz="8" w:color="0000FF"/>
            </w:tcBorders>
          </w:tcPr>
          <w:p>
            <w:pPr>
              <w:spacing w:after="0"/>
              <w:rPr>
                <w:sz w:val="14"/>
                <w:szCs w:val="14"/>
                <w:color w:val="auto"/>
              </w:rPr>
            </w:pPr>
          </w:p>
        </w:tc>
        <w:tc>
          <w:tcPr>
            <w:tcW w:w="3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3.6</w:t>
            </w:r>
          </w:p>
        </w:tc>
        <w:tc>
          <w:tcPr>
            <w:tcW w:w="10020" w:type="dxa"/>
            <w:vAlign w:val="bottom"/>
            <w:gridSpan w:val="23"/>
          </w:tcPr>
          <w:p>
            <w:pPr>
              <w:ind w:left="12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31">
              <w:r>
                <w:rPr>
                  <w:rFonts w:ascii="Arial" w:cs="Arial" w:eastAsia="Arial" w:hAnsi="Arial"/>
                  <w:sz w:val="18"/>
                  <w:szCs w:val="18"/>
                  <w:color w:val="0000FF"/>
                  <w:w w:val="98"/>
                </w:rPr>
                <w:t>Amendment No. 4 dated January 1, 2013 to the Third Amended and Restated Agreement of Limited Partnership of Plains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Marketing, L.P (incorporated by reference to Exhibit 3.8 to our Annual Report on Form 10-K for the year ended December</w:t>
              </w:r>
            </w:hyperlink>
          </w:p>
        </w:tc>
        <w:tc>
          <w:tcPr>
            <w:tcW w:w="340" w:type="dxa"/>
            <w:vAlign w:val="bottom"/>
            <w:tcBorders>
              <w:bottom w:val="single" w:sz="8" w:color="0000FF"/>
            </w:tcBorders>
            <w:gridSpan w:val="4"/>
          </w:tcPr>
          <w:p>
            <w:pPr>
              <w:jc w:val="right"/>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31,</w:t>
              </w:r>
            </w:hyperlink>
          </w:p>
        </w:tc>
        <w:tc>
          <w:tcPr>
            <w:tcW w:w="2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bottom w:val="single" w:sz="8" w:color="0000FF"/>
            </w:tcBorders>
          </w:tcPr>
          <w:p>
            <w:pPr>
              <w:spacing w:after="0" w:line="169"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2013).</w:t>
              </w:r>
            </w:hyperlink>
          </w:p>
        </w:tc>
        <w:tc>
          <w:tcPr>
            <w:tcW w:w="3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3.7</w:t>
            </w:r>
          </w:p>
        </w:tc>
        <w:tc>
          <w:tcPr>
            <w:tcW w:w="10020" w:type="dxa"/>
            <w:vAlign w:val="bottom"/>
            <w:gridSpan w:val="23"/>
          </w:tcPr>
          <w:p>
            <w:pPr>
              <w:ind w:left="1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32">
              <w:r>
                <w:rPr>
                  <w:rFonts w:ascii="Arial" w:cs="Arial" w:eastAsia="Arial" w:hAnsi="Arial"/>
                  <w:sz w:val="18"/>
                  <w:szCs w:val="18"/>
                  <w:color w:val="0000FF"/>
                  <w:w w:val="97"/>
                </w:rPr>
                <w:t>Amendment No. 5 dated December 1, 2019 to the Third Amended and Restated Agreement of Limited Partnership of Plains</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Marketing, L.P. (incorporated by reference to Exhibit 3.7 to our Annual Report on Form 10-K for the year ended December</w:t>
              </w:r>
            </w:hyperlink>
          </w:p>
        </w:tc>
        <w:tc>
          <w:tcPr>
            <w:tcW w:w="460" w:type="dxa"/>
            <w:vAlign w:val="bottom"/>
            <w:gridSpan w:val="10"/>
          </w:tcPr>
          <w:p>
            <w:pPr>
              <w:jc w:val="right"/>
              <w:ind w:right="260"/>
              <w:spacing w:after="0" w:line="156" w:lineRule="exact"/>
              <w:rPr>
                <w:rFonts w:ascii="Arial" w:cs="Arial" w:eastAsia="Arial" w:hAnsi="Arial"/>
                <w:sz w:val="18"/>
                <w:szCs w:val="18"/>
                <w:color w:val="0000FF"/>
                <w:w w:val="71"/>
              </w:rPr>
            </w:pPr>
            <w:hyperlink r:id="rId132">
              <w:r>
                <w:rPr>
                  <w:rFonts w:ascii="Arial" w:cs="Arial" w:eastAsia="Arial" w:hAnsi="Arial"/>
                  <w:sz w:val="18"/>
                  <w:szCs w:val="18"/>
                  <w:color w:val="0000FF"/>
                  <w:w w:val="71"/>
                </w:rPr>
                <w:t>31,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2019.</w:t>
              </w:r>
              <w:r>
                <w:rPr>
                  <w:rFonts w:ascii="Arial" w:cs="Arial" w:eastAsia="Arial" w:hAnsi="Arial"/>
                  <w:sz w:val="18"/>
                  <w:szCs w:val="18"/>
                  <w:u w:val="single" w:color="auto"/>
                  <w:color w:val="0000FF"/>
                  <w:w w:val="90"/>
                </w:rPr>
                <w:t>)</w:t>
              </w:r>
            </w:hyperlink>
          </w:p>
        </w:tc>
        <w:tc>
          <w:tcPr>
            <w:tcW w:w="3840" w:type="dxa"/>
            <w:vAlign w:val="bottom"/>
            <w:tcBorders>
              <w:top w:val="single" w:sz="8" w:color="0000FF"/>
            </w:tcBorders>
          </w:tcPr>
          <w:p>
            <w:pPr>
              <w:spacing w:after="0"/>
              <w:rPr>
                <w:sz w:val="14"/>
                <w:szCs w:val="14"/>
                <w:color w:val="auto"/>
              </w:rPr>
            </w:pPr>
          </w:p>
        </w:tc>
        <w:tc>
          <w:tcPr>
            <w:tcW w:w="3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3.8</w:t>
            </w:r>
          </w:p>
        </w:tc>
        <w:tc>
          <w:tcPr>
            <w:tcW w:w="10020" w:type="dxa"/>
            <w:vAlign w:val="bottom"/>
            <w:gridSpan w:val="23"/>
          </w:tcPr>
          <w:p>
            <w:pPr>
              <w:ind w:left="1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3">
              <w:r>
                <w:rPr>
                  <w:rFonts w:ascii="Arial" w:cs="Arial" w:eastAsia="Arial" w:hAnsi="Arial"/>
                  <w:sz w:val="18"/>
                  <w:szCs w:val="18"/>
                  <w:color w:val="0000FF"/>
                  <w:w w:val="93"/>
                </w:rPr>
                <w:t>Third Amended and Restated Agreement of Limited Partnership of Plains Pipeline, L.P. dated as of April 1, 2004 (incorporated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reference to Exhibit 3.3 to our Quarterly Report on Form 10-Q for the quarter ended March 31, 2004).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360" w:type="dxa"/>
            <w:vAlign w:val="bottom"/>
            <w:gridSpan w:val="3"/>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ind w:left="20"/>
              <w:spacing w:after="0"/>
              <w:rPr>
                <w:sz w:val="20"/>
                <w:szCs w:val="20"/>
                <w:color w:val="auto"/>
              </w:rPr>
            </w:pPr>
            <w:r>
              <w:rPr>
                <w:rFonts w:ascii="Arial" w:cs="Arial" w:eastAsia="Arial" w:hAnsi="Arial"/>
                <w:sz w:val="18"/>
                <w:szCs w:val="18"/>
                <w:color w:val="auto"/>
              </w:rPr>
              <w:t>3.9</w:t>
            </w:r>
          </w:p>
        </w:tc>
        <w:tc>
          <w:tcPr>
            <w:tcW w:w="10020" w:type="dxa"/>
            <w:vAlign w:val="bottom"/>
            <w:gridSpan w:val="23"/>
          </w:tcPr>
          <w:p>
            <w:pPr>
              <w:ind w:left="12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34">
              <w:r>
                <w:rPr>
                  <w:rFonts w:ascii="Arial" w:cs="Arial" w:eastAsia="Arial" w:hAnsi="Arial"/>
                  <w:sz w:val="18"/>
                  <w:szCs w:val="18"/>
                  <w:color w:val="0000FF"/>
                  <w:w w:val="98"/>
                </w:rPr>
                <w:t>Amendment No. 1 dated January 1, 2013 to the Third Amended and Restated Agreement of Limited Partnership of Plains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Pipeline, L.P. (incorporated by reference to Exhibit 3.10 to our Annual Report on Form 10-K for the year ended December</w:t>
              </w:r>
            </w:hyperlink>
          </w:p>
        </w:tc>
        <w:tc>
          <w:tcPr>
            <w:tcW w:w="640" w:type="dxa"/>
            <w:vAlign w:val="bottom"/>
            <w:gridSpan w:val="12"/>
          </w:tcPr>
          <w:p>
            <w:pPr>
              <w:jc w:val="right"/>
              <w:ind w:right="340"/>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2013).</w:t>
              </w:r>
            </w:hyperlink>
          </w:p>
        </w:tc>
        <w:tc>
          <w:tcPr>
            <w:tcW w:w="3840" w:type="dxa"/>
            <w:vAlign w:val="bottom"/>
            <w:tcBorders>
              <w:top w:val="single" w:sz="8" w:color="0000FF"/>
            </w:tcBorders>
          </w:tcPr>
          <w:p>
            <w:pPr>
              <w:spacing w:after="0"/>
              <w:rPr>
                <w:sz w:val="14"/>
                <w:szCs w:val="14"/>
                <w:color w:val="auto"/>
              </w:rPr>
            </w:pPr>
          </w:p>
        </w:tc>
        <w:tc>
          <w:tcPr>
            <w:tcW w:w="3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3.10</w:t>
            </w:r>
          </w:p>
        </w:tc>
        <w:tc>
          <w:tcPr>
            <w:tcW w:w="10440" w:type="dxa"/>
            <w:vAlign w:val="bottom"/>
            <w:gridSpan w:val="39"/>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36">
              <w:r>
                <w:rPr>
                  <w:rFonts w:ascii="Arial" w:cs="Arial" w:eastAsia="Arial" w:hAnsi="Arial"/>
                  <w:sz w:val="18"/>
                  <w:szCs w:val="18"/>
                  <w:color w:val="0000FF"/>
                  <w:w w:val="98"/>
                </w:rPr>
                <w:t>Seventh Amended and Restated Limited Liability Company Agreement of Plains All American GP LLC dated November 15,</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2016 (incorporated by reference to Exhibit 3.3 to our Current Report on Form 8-K filed November 21, 2016).</w:t>
              </w:r>
            </w:hyperlink>
          </w:p>
        </w:tc>
        <w:tc>
          <w:tcPr>
            <w:tcW w:w="114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39"/>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7">
              <w:r>
                <w:rPr>
                  <w:rFonts w:ascii="Arial" w:cs="Arial" w:eastAsia="Arial" w:hAnsi="Arial"/>
                  <w:sz w:val="18"/>
                  <w:szCs w:val="18"/>
                  <w:color w:val="0000FF"/>
                  <w:w w:val="95"/>
                </w:rPr>
                <w:t>Eighth Amended and Restated Limited Partnership Agreement of Plains AAP, L.P. dated November 15, 2016 (incorporated by</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1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reference to Exhibit 3.4 to our Current Report on Form 8-K filed November 21,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gridSpan w:val="39"/>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8">
              <w:r>
                <w:rPr>
                  <w:rFonts w:ascii="Arial" w:cs="Arial" w:eastAsia="Arial" w:hAnsi="Arial"/>
                  <w:sz w:val="18"/>
                  <w:szCs w:val="18"/>
                  <w:color w:val="0000FF"/>
                  <w:w w:val="92"/>
                </w:rPr>
                <w:t>Amendment No. 1 dated September 26, 2018 to the Eighth Amended and Restated Limited Partnership Agreement of Plains AAP,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L.P. (incorporated by reference to Exhibit 3.1 to our Current Report on Form 8-K filed October 2,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10440" w:type="dxa"/>
            <w:vAlign w:val="bottom"/>
            <w:gridSpan w:val="39"/>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9">
              <w:r>
                <w:rPr>
                  <w:rFonts w:ascii="Arial" w:cs="Arial" w:eastAsia="Arial" w:hAnsi="Arial"/>
                  <w:sz w:val="18"/>
                  <w:szCs w:val="18"/>
                  <w:color w:val="0000FF"/>
                  <w:w w:val="94"/>
                </w:rPr>
                <w:t>Amendment No. 2 dated May 23, 2019 to the Eighth Amended and Restated Limited Partnership Agreement of Plains AAP, L.P.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(incorporated by reference to Exhibit 3.1 to our Current Report on Form 8-K filed May 30, 2019).</w:t>
              </w:r>
            </w:hyperlink>
          </w:p>
        </w:tc>
        <w:tc>
          <w:tcPr>
            <w:tcW w:w="2220" w:type="dxa"/>
            <w:vAlign w:val="bottom"/>
            <w:tcBorders>
              <w:top w:val="single" w:sz="8" w:color="0000FF"/>
            </w:tcBorders>
            <w:gridSpan w:val="2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3.14</w:t>
            </w:r>
          </w:p>
        </w:tc>
        <w:tc>
          <w:tcPr>
            <w:tcW w:w="10440" w:type="dxa"/>
            <w:vAlign w:val="bottom"/>
            <w:gridSpan w:val="39"/>
          </w:tcPr>
          <w:p>
            <w:pPr>
              <w:ind w:left="4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40">
              <w:r>
                <w:rPr>
                  <w:rFonts w:ascii="Arial" w:cs="Arial" w:eastAsia="Arial" w:hAnsi="Arial"/>
                  <w:sz w:val="18"/>
                  <w:szCs w:val="18"/>
                  <w:color w:val="0000FF"/>
                  <w:w w:val="99"/>
                </w:rPr>
                <w:t>Certificate of Incorporation of PAA Finance Corp. (f/k/a Pacific Energy Finance Corporation, successor-by-merger to PAA</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Finance Corp.) (incorporated by reference to Exhibit 3.10 to our Annual Report on Form 10-K for the year ended December</w:t>
              </w:r>
            </w:hyperlink>
          </w:p>
        </w:tc>
        <w:tc>
          <w:tcPr>
            <w:tcW w:w="340" w:type="dxa"/>
            <w:vAlign w:val="bottom"/>
            <w:tcBorders>
              <w:bottom w:val="single" w:sz="8" w:color="0000FF"/>
            </w:tcBorders>
            <w:gridSpan w:val="10"/>
          </w:tcPr>
          <w:p>
            <w:pPr>
              <w:jc w:val="right"/>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31,</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Borders>
              <w:bottom w:val="single" w:sz="8" w:color="0000FF"/>
            </w:tcBorders>
          </w:tcPr>
          <w:p>
            <w:pPr>
              <w:spacing w:after="0" w:line="169"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2006).</w:t>
              </w:r>
            </w:hyperlink>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3.15</w:t>
            </w:r>
          </w:p>
        </w:tc>
        <w:tc>
          <w:tcPr>
            <w:tcW w:w="10440" w:type="dxa"/>
            <w:vAlign w:val="bottom"/>
            <w:gridSpan w:val="39"/>
          </w:tcPr>
          <w:p>
            <w:pPr>
              <w:ind w:left="4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1">
              <w:r>
                <w:rPr>
                  <w:rFonts w:ascii="Arial" w:cs="Arial" w:eastAsia="Arial" w:hAnsi="Arial"/>
                  <w:sz w:val="18"/>
                  <w:szCs w:val="18"/>
                  <w:color w:val="0000FF"/>
                </w:rPr>
                <w:t>Bylaws of PAA Finance Corp. (f/k/a Pacific Energy Finance Corporation, successor-by-merger to PAA Finance Corp.)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(incorporated by reference to Exhibit 3.11 to our Annual Report on Form 10-K for the year ended December 31, 2006)</w:t>
              </w:r>
            </w:hyperlink>
          </w:p>
        </w:tc>
        <w:tc>
          <w:tcPr>
            <w:tcW w:w="60" w:type="dxa"/>
            <w:vAlign w:val="bottom"/>
            <w:tcBorders>
              <w:bottom w:val="single" w:sz="8" w:color="0000FF"/>
            </w:tcBorders>
          </w:tcPr>
          <w:p>
            <w:pPr>
              <w:jc w:val="right"/>
              <w:spacing w:after="0" w:line="156" w:lineRule="exact"/>
              <w:rPr>
                <w:rFonts w:ascii="Arial" w:cs="Arial" w:eastAsia="Arial" w:hAnsi="Arial"/>
                <w:sz w:val="18"/>
                <w:szCs w:val="18"/>
                <w:color w:val="0000FF"/>
                <w:w w:val="78"/>
              </w:rPr>
            </w:pPr>
            <w:hyperlink r:id="rId141">
              <w:r>
                <w:rPr>
                  <w:rFonts w:ascii="Arial" w:cs="Arial" w:eastAsia="Arial" w:hAnsi="Arial"/>
                  <w:sz w:val="18"/>
                  <w:szCs w:val="18"/>
                  <w:color w:val="0000FF"/>
                  <w:w w:val="78"/>
                </w:rPr>
                <w:t>.</w:t>
              </w:r>
            </w:hyperlink>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3.16</w:t>
            </w:r>
          </w:p>
        </w:tc>
        <w:tc>
          <w:tcPr>
            <w:tcW w:w="10440" w:type="dxa"/>
            <w:vAlign w:val="bottom"/>
            <w:gridSpan w:val="39"/>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2">
              <w:r>
                <w:rPr>
                  <w:rFonts w:ascii="Arial" w:cs="Arial" w:eastAsia="Arial" w:hAnsi="Arial"/>
                  <w:sz w:val="18"/>
                  <w:szCs w:val="18"/>
                  <w:color w:val="0000FF"/>
                  <w:w w:val="94"/>
                </w:rPr>
                <w:t>Limited Liability Company Agreement of PAA GP LLC dated December 28, 2007 (incorporated by reference to Exhibit 3.3 to our</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Current Report on Form 8-K filed January 4, 2008).</w:t>
              </w:r>
            </w:hyperlink>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3.17</w:t>
            </w:r>
          </w:p>
        </w:tc>
        <w:tc>
          <w:tcPr>
            <w:tcW w:w="10440" w:type="dxa"/>
            <w:vAlign w:val="bottom"/>
            <w:gridSpan w:val="39"/>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43">
              <w:r>
                <w:rPr>
                  <w:rFonts w:ascii="Arial" w:cs="Arial" w:eastAsia="Arial" w:hAnsi="Arial"/>
                  <w:sz w:val="18"/>
                  <w:szCs w:val="18"/>
                  <w:color w:val="0000FF"/>
                  <w:w w:val="96"/>
                </w:rPr>
                <w:t>Certificate of Limited Partnership of Plains GP Holdings, L.P. (incorporated by reference to Exhibit 3.1 to PAGP’s Registration</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Statement on Form S-1 (333-190227) filed July 29, 2013).</w:t>
              </w:r>
            </w:hyperlink>
          </w:p>
        </w:tc>
        <w:tc>
          <w:tcPr>
            <w:tcW w:w="496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3.18</w:t>
            </w:r>
          </w:p>
        </w:tc>
        <w:tc>
          <w:tcPr>
            <w:tcW w:w="10440" w:type="dxa"/>
            <w:vAlign w:val="bottom"/>
            <w:gridSpan w:val="39"/>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44">
              <w:r>
                <w:rPr>
                  <w:rFonts w:ascii="Arial" w:cs="Arial" w:eastAsia="Arial" w:hAnsi="Arial"/>
                  <w:sz w:val="18"/>
                  <w:szCs w:val="18"/>
                  <w:color w:val="0000FF"/>
                  <w:w w:val="95"/>
                </w:rPr>
                <w:t>Second Amended and Restated Agreement of Limited Partnership of Plains GP Holdings, L.P. dated as of November 15, 2016</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(incorporated by reference to Exhibit 3.2 to PAGP’s Current Report on Form 8-K filed November 21, 2016).</w:t>
              </w:r>
            </w:hyperlink>
          </w:p>
        </w:tc>
        <w:tc>
          <w:tcPr>
            <w:tcW w:w="128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3.19</w:t>
            </w:r>
          </w:p>
        </w:tc>
        <w:tc>
          <w:tcPr>
            <w:tcW w:w="10440" w:type="dxa"/>
            <w:vAlign w:val="bottom"/>
            <w:gridSpan w:val="39"/>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45">
              <w:r>
                <w:rPr>
                  <w:rFonts w:ascii="Arial" w:cs="Arial" w:eastAsia="Arial" w:hAnsi="Arial"/>
                  <w:sz w:val="18"/>
                  <w:szCs w:val="18"/>
                  <w:color w:val="0000FF"/>
                  <w:w w:val="97"/>
                </w:rPr>
                <w:t>Amendment No. 1 dated April 6, 2020 to the Second Amended and Restated Agreement of Limited Partnership of Plains GP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Holdings, L.P. (incorporated by reference to Exhibit 3.1 to PAGP’s Current Report on Form 8-K filed April 9, 2020).</w:t>
              </w:r>
            </w:hyperlink>
          </w:p>
        </w:tc>
        <w:tc>
          <w:tcPr>
            <w:tcW w:w="5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3.20</w:t>
            </w:r>
          </w:p>
        </w:tc>
        <w:tc>
          <w:tcPr>
            <w:tcW w:w="10440" w:type="dxa"/>
            <w:vAlign w:val="bottom"/>
            <w:gridSpan w:val="39"/>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6">
              <w:r>
                <w:rPr>
                  <w:rFonts w:ascii="Arial" w:cs="Arial" w:eastAsia="Arial" w:hAnsi="Arial"/>
                  <w:sz w:val="18"/>
                  <w:szCs w:val="18"/>
                  <w:color w:val="0000FF"/>
                  <w:w w:val="94"/>
                </w:rPr>
                <w:t>Certificate of Formation of PAA GP Holdings LLC (incorporated by reference to Exhibit 3.3 to PAGP’s Registration Statement on</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gridSpan w:val="39"/>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47">
              <w:r>
                <w:rPr>
                  <w:rFonts w:ascii="Arial" w:cs="Arial" w:eastAsia="Arial" w:hAnsi="Arial"/>
                  <w:sz w:val="18"/>
                  <w:szCs w:val="18"/>
                  <w:color w:val="0000FF"/>
                  <w:w w:val="95"/>
                </w:rPr>
                <w:t>Fourth Amended and Restated Limited Liability Company Agreement of PAA GP Holdings LLC dated effective as of August 19,</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2021 (incorporated by reference to Exhibit 3.21 to our Annual Report on Form 10-K for the year ended December 31, 2021).</w:t>
              </w:r>
            </w:hyperlink>
          </w:p>
        </w:tc>
        <w:tc>
          <w:tcPr>
            <w:tcW w:w="3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440" w:type="dxa"/>
            <w:vAlign w:val="bottom"/>
            <w:gridSpan w:val="39"/>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48">
              <w:r>
                <w:rPr>
                  <w:rFonts w:ascii="Arial" w:cs="Arial" w:eastAsia="Arial" w:hAnsi="Arial"/>
                  <w:sz w:val="18"/>
                  <w:szCs w:val="18"/>
                  <w:color w:val="0000FF"/>
                  <w:w w:val="93"/>
                </w:rPr>
                <w:t>Indenture dated September 25, 2002 among Plains All American Pipeline, L.P., PAA Finance Corp. and Wachovia Bank, National</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8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Association, as trustee (incorporated by reference to Exhibit 4.1 to our Quarterly Report on Form 10-Q for the quarter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r:id="rId148">
              <w:r>
                <w:rPr>
                  <w:rFonts w:ascii="Arial" w:cs="Arial" w:eastAsia="Arial" w:hAnsi="Arial"/>
                  <w:sz w:val="18"/>
                  <w:szCs w:val="18"/>
                  <w:color w:val="0000FF"/>
                  <w:w w:val="88"/>
                </w:rPr>
                <w:t>September 30, 2002).</w:t>
              </w:r>
            </w:hyperlink>
          </w:p>
        </w:tc>
        <w:tc>
          <w:tcPr>
            <w:tcW w:w="74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440" w:type="dxa"/>
            <w:vAlign w:val="bottom"/>
            <w:gridSpan w:val="39"/>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49">
              <w:r>
                <w:rPr>
                  <w:rFonts w:ascii="Arial" w:cs="Arial" w:eastAsia="Arial" w:hAnsi="Arial"/>
                  <w:sz w:val="18"/>
                  <w:szCs w:val="18"/>
                  <w:color w:val="0000FF"/>
                  <w:w w:val="98"/>
                </w:rPr>
                <w:t>Sixth Supplemental Indenture (Series A and Series B 6.70% Senior Notes due 2036) dated May 12, 2006 among Plains All</w:t>
              </w:r>
            </w:hyperlink>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Borders>
              <w:right w:val="single" w:sz="8" w:color="0000FF"/>
            </w:tcBorders>
            <w:gridSpan w:val="3"/>
            <w:shd w:val="clear" w:color="auto" w:fill="0000FF"/>
          </w:tcPr>
          <w:p>
            <w:pPr>
              <w:spacing w:after="0" w:line="20" w:lineRule="exact"/>
              <w:rPr>
                <w:sz w:val="1"/>
                <w:szCs w:val="1"/>
                <w:color w:val="auto"/>
              </w:rPr>
            </w:pPr>
          </w:p>
        </w:tc>
        <w:tc>
          <w:tcPr>
            <w:tcW w:w="456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500" w:type="dxa"/>
            <w:vAlign w:val="bottom"/>
            <w:gridSpan w:val="38"/>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American Pipeline, L.P., PAA Finance Corp., the Subsidiary Guarantors named therein and Wachovia Bank, National Association,</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as trustee (incorporated by reference to Exhibit 4.1 to our Current Report on Form 8-K filed May 12, 2006).</w:t>
              </w:r>
            </w:hyperlink>
          </w:p>
        </w:tc>
        <w:tc>
          <w:tcPr>
            <w:tcW w:w="168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0440" w:type="dxa"/>
            <w:vAlign w:val="bottom"/>
            <w:gridSpan w:val="39"/>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0">
              <w:r>
                <w:rPr>
                  <w:rFonts w:ascii="Arial" w:cs="Arial" w:eastAsia="Arial" w:hAnsi="Arial"/>
                  <w:sz w:val="18"/>
                  <w:szCs w:val="18"/>
                  <w:color w:val="0000FF"/>
                  <w:w w:val="94"/>
                </w:rPr>
                <w:t>Tenth Supplemental Indenture (Series A and Series B 6.650% Senior Notes due 2037) dated October 30, 2006 among Plains All</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American Pipeline, L.P., PAA Finance Corp., the Subsidiary Guarantors named therein and U.S. Bank National Association, as</w:t>
              </w:r>
            </w:hyperlink>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trustee (incorporated by reference to Exhibit 4.2 to our Current Report on Form 8-K filed October 30, 2006).</w:t>
              </w:r>
            </w:hyperlink>
          </w:p>
        </w:tc>
        <w:tc>
          <w:tcPr>
            <w:tcW w:w="1320" w:type="dxa"/>
            <w:vAlign w:val="bottom"/>
            <w:tcBorders>
              <w:top w:val="single" w:sz="8" w:color="0000FF"/>
            </w:tcBorders>
            <w:gridSpan w:val="15"/>
          </w:tcPr>
          <w:p>
            <w:pPr>
              <w:spacing w:after="0"/>
              <w:rPr>
                <w:sz w:val="14"/>
                <w:szCs w:val="14"/>
                <w:color w:val="auto"/>
              </w:rPr>
            </w:pPr>
          </w:p>
        </w:tc>
        <w:tc>
          <w:tcPr>
            <w:tcW w:w="10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10440" w:type="dxa"/>
            <w:vAlign w:val="bottom"/>
            <w:gridSpan w:val="39"/>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51">
              <w:r>
                <w:rPr>
                  <w:rFonts w:ascii="Arial" w:cs="Arial" w:eastAsia="Arial" w:hAnsi="Arial"/>
                  <w:sz w:val="18"/>
                  <w:szCs w:val="18"/>
                  <w:color w:val="0000FF"/>
                  <w:w w:val="93"/>
                </w:rPr>
                <w:t>Twenty-First Supplemental Indenture (5.15% Senior Notes due 2042) dated March 22, 2012 among Plains All American Pipeline,</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L.P., PAA Finance Corp. and U.S. Bank National Association, as trustee (incorporated by reference to Exhibit 4.3 to our Current</w:t>
              </w:r>
            </w:hyperlink>
          </w:p>
        </w:tc>
        <w:tc>
          <w:tcPr>
            <w:tcW w:w="100" w:type="dxa"/>
            <w:vAlign w:val="bottom"/>
            <w:gridSpan w:val="5"/>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Report on Form 8-K filed March 26, 2012).</w:t>
              </w:r>
            </w:hyperlink>
          </w:p>
        </w:tc>
        <w:tc>
          <w:tcPr>
            <w:tcW w:w="6040" w:type="dxa"/>
            <w:vAlign w:val="bottom"/>
            <w:tcBorders>
              <w:top w:val="single" w:sz="8" w:color="0000FF"/>
            </w:tcBorders>
            <w:gridSpan w:val="26"/>
          </w:tcPr>
          <w:p>
            <w:pPr>
              <w:spacing w:after="0"/>
              <w:rPr>
                <w:sz w:val="14"/>
                <w:szCs w:val="14"/>
                <w:color w:val="auto"/>
              </w:rPr>
            </w:pPr>
          </w:p>
        </w:tc>
        <w:tc>
          <w:tcPr>
            <w:tcW w:w="240" w:type="dxa"/>
            <w:vAlign w:val="bottom"/>
            <w:gridSpan w:val="9"/>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10440" w:type="dxa"/>
            <w:vAlign w:val="bottom"/>
            <w:gridSpan w:val="39"/>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52">
              <w:r>
                <w:rPr>
                  <w:rFonts w:ascii="Arial" w:cs="Arial" w:eastAsia="Arial" w:hAnsi="Arial"/>
                  <w:sz w:val="18"/>
                  <w:szCs w:val="18"/>
                  <w:color w:val="0000FF"/>
                  <w:w w:val="96"/>
                </w:rPr>
                <w:t>Twenty-Second Supplemental Indenture (2.85% Senior Notes due 2023) dated December 10, 2012, by and among Plains All</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tcBorders>
              <w:top w:val="single" w:sz="8" w:color="0000FF"/>
            </w:tcBorders>
            <w:gridSpan w:val="4"/>
          </w:tcPr>
          <w:p>
            <w:pPr>
              <w:spacing w:after="0"/>
              <w:rPr>
                <w:sz w:val="13"/>
                <w:szCs w:val="13"/>
                <w:color w:val="auto"/>
              </w:rPr>
            </w:pPr>
          </w:p>
        </w:tc>
        <w:tc>
          <w:tcPr>
            <w:tcW w:w="520" w:type="dxa"/>
            <w:vAlign w:val="bottom"/>
            <w:gridSpan w:val="18"/>
          </w:tcPr>
          <w:p>
            <w:pPr>
              <w:spacing w:after="0"/>
              <w:rPr>
                <w:sz w:val="13"/>
                <w:szCs w:val="13"/>
                <w:color w:val="auto"/>
              </w:rPr>
            </w:pPr>
          </w:p>
        </w:tc>
      </w:tr>
    </w:tbl>
    <w:p>
      <w:pPr>
        <w:ind w:left="176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Exhibit 4.1 to our Current Report on Form 8-K filed December 12, 2012).</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6"/>
              </w:rPr>
            </w:pPr>
            <w:hyperlink r:id="rId154">
              <w:r>
                <w:rPr>
                  <w:rFonts w:ascii="Arial" w:cs="Arial" w:eastAsia="Arial" w:hAnsi="Arial"/>
                  <w:sz w:val="18"/>
                  <w:szCs w:val="18"/>
                  <w:color w:val="0000FF"/>
                  <w:w w:val="96"/>
                </w:rPr>
                <w:t>Twenty-Third Supplemental Indenture (4.30% Senior Notes due 2043) dated December 10, 2012, by and among Plains All</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6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American Pipeline, L.P., PAA Finance Corp. and U.S. Bank National Association, as trustee (incorporated by reference to</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Exhibit 4.3 to our Current Report on Form 8-K filed December 12, 2012).</w:t>
              </w:r>
            </w:hyperlink>
          </w:p>
        </w:tc>
        <w:tc>
          <w:tcPr>
            <w:tcW w:w="346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tcBorders>
              <w:bottom w:val="single" w:sz="8" w:color="0000FF"/>
            </w:tcBorders>
            <w:gridSpan w:val="13"/>
          </w:tcPr>
          <w:p>
            <w:pPr>
              <w:spacing w:after="0"/>
              <w:rPr>
                <w:rFonts w:ascii="Arial" w:cs="Arial" w:eastAsia="Arial" w:hAnsi="Arial"/>
                <w:sz w:val="18"/>
                <w:szCs w:val="18"/>
                <w:color w:val="0000FF"/>
                <w:w w:val="90"/>
              </w:rPr>
            </w:pPr>
            <w:hyperlink r:id="rId155">
              <w:r>
                <w:rPr>
                  <w:rFonts w:ascii="Arial" w:cs="Arial" w:eastAsia="Arial" w:hAnsi="Arial"/>
                  <w:sz w:val="18"/>
                  <w:szCs w:val="18"/>
                  <w:color w:val="0000FF"/>
                  <w:w w:val="90"/>
                </w:rPr>
                <w:t>Twenty-Fourth Supplemental Indenture (3.85% Senior Notes due 2023) dated August 15, 2013, by and among Plains All</w:t>
              </w:r>
            </w:hyperlink>
          </w:p>
        </w:tc>
        <w:tc>
          <w:tcPr>
            <w:tcW w:w="680" w:type="dxa"/>
            <w:vAlign w:val="bottom"/>
            <w:gridSpan w:val="15"/>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7"/>
              </w:rPr>
            </w:pPr>
            <w:hyperlink r:id="rId155">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Exhibit 4.1 to our Current Report on Form 8-K filed August 15, 2013).</w:t>
              </w:r>
            </w:hyperlink>
          </w:p>
        </w:tc>
        <w:tc>
          <w:tcPr>
            <w:tcW w:w="368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2"/>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Twenty-Fifth Supplemental Indenture (4.70% Senior Notes due 2044) dated April 23, 2014, by and among Plains All American</w:t>
              </w:r>
            </w:hyperlink>
          </w:p>
        </w:tc>
        <w:tc>
          <w:tcPr>
            <w:tcW w:w="200" w:type="dxa"/>
            <w:vAlign w:val="bottom"/>
            <w:gridSpan w:val="6"/>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Current Report on Form 8-K filed April 29, 2014).</w:t>
              </w:r>
            </w:hyperlink>
          </w:p>
        </w:tc>
        <w:tc>
          <w:tcPr>
            <w:tcW w:w="56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4.9</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6"/>
              </w:rPr>
            </w:pPr>
            <w:hyperlink r:id="rId157">
              <w:r>
                <w:rPr>
                  <w:rFonts w:ascii="Arial" w:cs="Arial" w:eastAsia="Arial" w:hAnsi="Arial"/>
                  <w:sz w:val="18"/>
                  <w:szCs w:val="18"/>
                  <w:color w:val="0000FF"/>
                  <w:w w:val="96"/>
                </w:rPr>
                <w:t>Twenty-Sixth Supplemental Indenture (3.60% Senior Notes due 2024) dated September 9, 2014, by and among Plains All</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8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Exhibit 4.1 to our Current Report on Form 8-K filed September 11, 2014).</w:t>
              </w:r>
            </w:hyperlink>
          </w:p>
        </w:tc>
        <w:tc>
          <w:tcPr>
            <w:tcW w:w="3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4.10</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6"/>
              </w:rPr>
            </w:pPr>
            <w:hyperlink r:id="rId158">
              <w:r>
                <w:rPr>
                  <w:rFonts w:ascii="Arial" w:cs="Arial" w:eastAsia="Arial" w:hAnsi="Arial"/>
                  <w:sz w:val="18"/>
                  <w:szCs w:val="18"/>
                  <w:color w:val="0000FF"/>
                  <w:w w:val="96"/>
                </w:rPr>
                <w:t>Twenty-Eighth Supplemental Indenture (4.90% Senior Notes due 2045) dated December 9, 2014, by and among Plains All</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American Pipeline, L.P., PAA Finance Corp. and U.S. Bank National Association, as trustee (incorporated by reference to</w:t>
              </w:r>
            </w:hyperlink>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58">
              <w:r>
                <w:rPr>
                  <w:rFonts w:ascii="Arial" w:cs="Arial" w:eastAsia="Arial" w:hAnsi="Arial"/>
                  <w:sz w:val="18"/>
                  <w:szCs w:val="18"/>
                  <w:color w:val="0000FF"/>
                </w:rPr>
                <w:t>Exhibit 4.3 to our Current Report on Form 8-K filed December 11, 2014).</w:t>
              </w:r>
            </w:hyperlink>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4.11</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8"/>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Twenty-Ninth Supplemental Indenture (4.65% Senior Notes due 2025) dated August 24, 2015, by and among Plains All American</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Current Report on Form 8-K filed August 26, 2015).</w:t>
              </w:r>
            </w:hyperlink>
          </w:p>
        </w:tc>
        <w:tc>
          <w:tcPr>
            <w:tcW w:w="554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4.12</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Current Report on Form 8-K filed November 29, 2016).</w:t>
              </w:r>
            </w:hyperlink>
          </w:p>
        </w:tc>
        <w:tc>
          <w:tcPr>
            <w:tcW w:w="530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4.13</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7"/>
              </w:rPr>
            </w:pPr>
            <w:hyperlink r:id="rId161">
              <w:r>
                <w:rPr>
                  <w:rFonts w:ascii="Arial" w:cs="Arial" w:eastAsia="Arial" w:hAnsi="Arial"/>
                  <w:sz w:val="18"/>
                  <w:szCs w:val="18"/>
                  <w:color w:val="0000FF"/>
                  <w:w w:val="97"/>
                </w:rPr>
                <w:t>Thirty-First Supplemental Indenture (3.55% Senior Notes due 2029) dated September 16, 2019, by and among Plains All</w:t>
              </w:r>
            </w:hyperlink>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American Pipeline, L.P., PAA Finance Corp. and U.S. Bank National Association, as trustee (incorporated by reference to Exhibit</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36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61">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Current Report on Form 8-K filed September 17, 2019).</w:t>
              </w:r>
            </w:hyperlink>
          </w:p>
        </w:tc>
        <w:tc>
          <w:tcPr>
            <w:tcW w:w="4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4.14</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23"/>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Thirty-Second Supplemental Indenture (3.80% Senior Notes due 2030) dated June 11, 2020, by and among Plains All American</w:t>
              </w:r>
            </w:hyperlink>
          </w:p>
        </w:tc>
        <w:tc>
          <w:tcPr>
            <w:tcW w:w="140" w:type="dxa"/>
            <w:vAlign w:val="bottom"/>
            <w:gridSpan w:val="5"/>
          </w:tcPr>
          <w:p>
            <w:pPr>
              <w:spacing w:after="0"/>
              <w:rPr>
                <w:sz w:val="24"/>
                <w:szCs w:val="24"/>
                <w:color w:val="auto"/>
              </w:rPr>
            </w:pPr>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gridSpan w:val="28"/>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69"/>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Current Report on Form 8-K filed June 11, 2020).</w:t>
              </w:r>
            </w:hyperlink>
          </w:p>
        </w:tc>
        <w:tc>
          <w:tcPr>
            <w:tcW w:w="5740" w:type="dxa"/>
            <w:vAlign w:val="bottom"/>
            <w:tcBorders>
              <w:top w:val="single" w:sz="8" w:color="0000FF"/>
            </w:tcBorders>
            <w:gridSpan w:val="24"/>
          </w:tcPr>
          <w:p>
            <w:pPr>
              <w:spacing w:after="0"/>
              <w:rPr>
                <w:sz w:val="14"/>
                <w:szCs w:val="14"/>
                <w:color w:val="auto"/>
              </w:rPr>
            </w:pPr>
          </w:p>
        </w:tc>
        <w:tc>
          <w:tcPr>
            <w:tcW w:w="60" w:type="dxa"/>
            <w:vAlign w:val="bottom"/>
            <w:gridSpan w:val="2"/>
          </w:tcPr>
          <w:p>
            <w:pPr>
              <w:spacing w:after="0"/>
              <w:rPr>
                <w:sz w:val="14"/>
                <w:szCs w:val="1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4.15</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4"/>
              </w:rPr>
            </w:pPr>
            <w:hyperlink r:id="rId163">
              <w:r>
                <w:rPr>
                  <w:rFonts w:ascii="Arial" w:cs="Arial" w:eastAsia="Arial" w:hAnsi="Arial"/>
                  <w:sz w:val="18"/>
                  <w:szCs w:val="18"/>
                  <w:color w:val="0000FF"/>
                  <w:w w:val="94"/>
                </w:rPr>
                <w:t>Registration Rights Agreement dated September 3, 2009 by and between Plains All American Pipeline, L.P. and Vulcan Gas</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Storage LLC (incorporated by reference to Exhibit 4.1 to our Registration Statement on Form S-3, File No. 333-162477).</w:t>
              </w:r>
            </w:hyperlink>
          </w:p>
        </w:tc>
        <w:tc>
          <w:tcPr>
            <w:tcW w:w="22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4.16</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Registration Rights Agreement dated as of January 28, 2016 among Plains All American Pipeline, L.P. and the Purchasers named</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4.17</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9"/>
              </w:rPr>
            </w:pPr>
            <w:hyperlink r:id="rId165">
              <w:r>
                <w:rPr>
                  <w:rFonts w:ascii="Arial" w:cs="Arial" w:eastAsia="Arial" w:hAnsi="Arial"/>
                  <w:sz w:val="18"/>
                  <w:szCs w:val="18"/>
                  <w:color w:val="0000FF"/>
                  <w:w w:val="99"/>
                </w:rPr>
                <w:t>Registration Rights Agreement by and among Plains All American Pipeline, L.P. and the Holders defined therein, dated</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November 15, 2016 (incorporated by reference to Exhibit 10.4 to our Current Report on Form 8-K filed November 21,</w:t>
              </w:r>
            </w:hyperlink>
          </w:p>
        </w:tc>
        <w:tc>
          <w:tcPr>
            <w:tcW w:w="440" w:type="dxa"/>
            <w:vAlign w:val="bottom"/>
            <w:tcBorders>
              <w:bottom w:val="single" w:sz="8" w:color="0000FF"/>
            </w:tcBorders>
            <w:gridSpan w:val="8"/>
          </w:tcPr>
          <w:p>
            <w:pPr>
              <w:jc w:val="right"/>
              <w:spacing w:after="0" w:line="156" w:lineRule="exact"/>
              <w:rPr>
                <w:rFonts w:ascii="Arial" w:cs="Arial" w:eastAsia="Arial" w:hAnsi="Arial"/>
                <w:sz w:val="18"/>
                <w:szCs w:val="18"/>
                <w:color w:val="0000FF"/>
                <w:w w:val="82"/>
              </w:rPr>
            </w:pPr>
            <w:hyperlink r:id="rId165">
              <w:r>
                <w:rPr>
                  <w:rFonts w:ascii="Arial" w:cs="Arial" w:eastAsia="Arial" w:hAnsi="Arial"/>
                  <w:sz w:val="18"/>
                  <w:szCs w:val="18"/>
                  <w:color w:val="0000FF"/>
                  <w:w w:val="82"/>
                </w:rPr>
                <w:t>2016).</w:t>
              </w:r>
            </w:hyperlink>
          </w:p>
        </w:tc>
        <w:tc>
          <w:tcPr>
            <w:tcW w:w="1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4.18 †</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sz w:val="20"/>
                <w:szCs w:val="20"/>
                <w:color w:val="auto"/>
              </w:rPr>
            </w:pPr>
            <w:r>
              <w:rPr>
                <w:rFonts w:ascii="Arial" w:cs="Arial" w:eastAsia="Arial" w:hAnsi="Arial"/>
                <w:sz w:val="18"/>
                <w:szCs w:val="18"/>
                <w:color w:val="0000FF"/>
              </w:rPr>
              <w:t>Description of Our Securities.</w:t>
            </w: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00" w:type="dxa"/>
            <w:vAlign w:val="bottom"/>
            <w:gridSpan w:val="28"/>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Credit Agreement dated as of August 20, 2021, among Plains All American Pipeline, L.P. and Plains Midstream Canada ULC, as</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Borrowers; certain subsidiaries of Plains All American Pipeline, L.P. from time to time party thereto, as Designated Borrowers;</w:t>
              </w:r>
            </w:hyperlink>
          </w:p>
        </w:tc>
        <w:tc>
          <w:tcPr>
            <w:tcW w:w="120" w:type="dxa"/>
            <w:vAlign w:val="bottom"/>
            <w:tcBorders>
              <w:top w:val="single" w:sz="8" w:color="0000FF"/>
            </w:tcBorders>
            <w:gridSpan w:val="3"/>
          </w:tcPr>
          <w:p>
            <w:pPr>
              <w:spacing w:after="0"/>
              <w:rPr>
                <w:sz w:val="13"/>
                <w:szCs w:val="13"/>
                <w:color w:val="auto"/>
              </w:rPr>
            </w:pPr>
          </w:p>
        </w:tc>
        <w:tc>
          <w:tcPr>
            <w:tcW w:w="100" w:type="dxa"/>
            <w:vAlign w:val="bottom"/>
            <w:gridSpan w:val="4"/>
          </w:tcPr>
          <w:p>
            <w:pPr>
              <w:spacing w:after="0"/>
              <w:rPr>
                <w:sz w:val="13"/>
                <w:szCs w:val="13"/>
                <w:color w:val="auto"/>
              </w:rPr>
            </w:pPr>
          </w:p>
        </w:tc>
      </w:tr>
    </w:tbl>
    <w:p>
      <w:pPr>
        <w:ind w:left="1760" w:right="100"/>
        <w:spacing w:after="0" w:line="219"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Bank of America, N.A., as Administrative Agent and Swing Line Lender; Bank of America, N.A., Citibank, N.A., JPMorgan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Chase Bank, N.A. and Wells Fargo Bank, National Association, as L/C Issuers; and the other Lenders party thereto (incorporated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by reference to Exhibit 10.1 to our Current Report on Form 8-K filed August 26,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6"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10280" w:type="dxa"/>
            <w:vAlign w:val="bottom"/>
            <w:gridSpan w:val="39"/>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8">
              <w:r>
                <w:rPr>
                  <w:rFonts w:ascii="Arial" w:cs="Arial" w:eastAsia="Arial" w:hAnsi="Arial"/>
                  <w:sz w:val="18"/>
                  <w:szCs w:val="18"/>
                  <w:color w:val="0000FF"/>
                </w:rPr>
                <w:t>First Amendment to Credit Agreement dated as of August 22, 2022, among Plains All American Pipeline, L.P. and Plains</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74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Midstream Canada ULC, as Borrowers; certain subsidiaries of Plains All American Pipeline, L.P. from time to time party</w:t>
              </w:r>
            </w:hyperlink>
          </w:p>
        </w:tc>
        <w:tc>
          <w:tcPr>
            <w:tcW w:w="740" w:type="dxa"/>
            <w:vAlign w:val="bottom"/>
            <w:gridSpan w:val="20"/>
          </w:tcPr>
          <w:p>
            <w:pPr>
              <w:ind w:left="40"/>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thereto,</w:t>
              </w:r>
            </w:hyperlink>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as Designated Borrowers; Bank of America, N.A., as Administrative Agent and Swing Line Lender; Bank of America, N.A.,</w:t>
              </w:r>
            </w:hyperlink>
          </w:p>
        </w:tc>
        <w:tc>
          <w:tcPr>
            <w:tcW w:w="36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80" w:type="dxa"/>
            <w:vAlign w:val="bottom"/>
            <w:gridSpan w:val="38"/>
          </w:tcPr>
          <w:p>
            <w:pPr>
              <w:spacing w:after="0" w:line="156"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Citibank, N.A., JPMorgan Chase Bank, N.A. and Wells Fargo Bank, National Association, as L/C Issuers; and the other Lenders</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party thereto (incorporated by reference to Exhibit 10.1 to our Current Report on Form 8-K filed August 25, 2022).</w:t>
              </w:r>
            </w:hyperlink>
          </w:p>
        </w:tc>
        <w:tc>
          <w:tcPr>
            <w:tcW w:w="10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280" w:type="dxa"/>
            <w:vAlign w:val="bottom"/>
            <w:gridSpan w:val="39"/>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9">
              <w:r>
                <w:rPr>
                  <w:rFonts w:ascii="Arial" w:cs="Arial" w:eastAsia="Arial" w:hAnsi="Arial"/>
                  <w:sz w:val="18"/>
                  <w:szCs w:val="18"/>
                  <w:color w:val="0000FF"/>
                </w:rPr>
                <w:t>Fourth Amended and Restated Credit Agreement dated as of August 20, 2021, among Plains Marketing, L.P. and Plains</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2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Midstream Canada ULC, as Borrowers; Plains All American Pipeline, L.P., as guarantor; Bank of America, N.A., as</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Administrative Agent and Swing Line Lender; Bank of America, N.A., Citibank, N.A., JPMorgan Chase Bank, N.A.</w:t>
              </w:r>
            </w:hyperlink>
          </w:p>
        </w:tc>
        <w:tc>
          <w:tcPr>
            <w:tcW w:w="60" w:type="dxa"/>
            <w:vAlign w:val="bottom"/>
            <w:tcBorders>
              <w:bottom w:val="single" w:sz="8" w:color="0000FF"/>
            </w:tcBorders>
          </w:tcPr>
          <w:p>
            <w:pPr>
              <w:spacing w:after="0"/>
              <w:rPr>
                <w:sz w:val="14"/>
                <w:szCs w:val="14"/>
                <w:color w:val="auto"/>
              </w:rPr>
            </w:pPr>
          </w:p>
        </w:tc>
        <w:tc>
          <w:tcPr>
            <w:tcW w:w="740" w:type="dxa"/>
            <w:vAlign w:val="bottom"/>
            <w:tcBorders>
              <w:bottom w:val="single" w:sz="8" w:color="0000FF"/>
            </w:tcBorders>
            <w:gridSpan w:val="9"/>
          </w:tcPr>
          <w:p>
            <w:pPr>
              <w:ind w:left="20"/>
              <w:spacing w:after="0" w:line="169"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and Wells</w:t>
              </w:r>
            </w:hyperlink>
          </w:p>
        </w:tc>
        <w:tc>
          <w:tcPr>
            <w:tcW w:w="300" w:type="dxa"/>
            <w:vAlign w:val="bottom"/>
            <w:gridSpan w:val="15"/>
          </w:tcPr>
          <w:p>
            <w:pPr>
              <w:spacing w:after="0"/>
              <w:rPr>
                <w:sz w:val="14"/>
                <w:szCs w:val="14"/>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80" w:type="dxa"/>
            <w:vAlign w:val="bottom"/>
            <w:gridSpan w:val="38"/>
          </w:tcPr>
          <w:p>
            <w:pPr>
              <w:spacing w:after="0" w:line="15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Fargo Bank, National Association, as L/C Issuers; and the other Lenders party thereto (incorporated by reference to Exhibit 10.2</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to our Current Report on Form 8-K filed August 26,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280" w:type="dxa"/>
            <w:vAlign w:val="bottom"/>
            <w:gridSpan w:val="39"/>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0">
              <w:r>
                <w:rPr>
                  <w:rFonts w:ascii="Arial" w:cs="Arial" w:eastAsia="Arial" w:hAnsi="Arial"/>
                  <w:sz w:val="18"/>
                  <w:szCs w:val="18"/>
                  <w:color w:val="0000FF"/>
                  <w:w w:val="93"/>
                </w:rPr>
                <w:t>First Amendment to Fourth Amended and Restated Credit Agreement dated as of August 22, 2022, among Plains Marketing, L.P.</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8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and Plains Midstream Canada ULC, as Borrowers; Plains All American Pipeline, L.P., as guarantor; Bank of America,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Administrative Agent and Swing Line Lender; Bank of America, N.A., Citibank, N.A., JPMorgan Chase Bank, N.A. and Wells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80" w:type="dxa"/>
            <w:vAlign w:val="bottom"/>
            <w:gridSpan w:val="38"/>
          </w:tcPr>
          <w:p>
            <w:pPr>
              <w:spacing w:after="0" w:line="15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Fargo Bank, National Association, as L/C Issuers; and the other Lenders party thereto (incorporated by reference to Exhibit 10.2</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to our Current Report on Form 8-K filed August 25, 2022).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280" w:type="dxa"/>
            <w:vAlign w:val="bottom"/>
            <w:gridSpan w:val="39"/>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1">
              <w:r>
                <w:rPr>
                  <w:rFonts w:ascii="Arial" w:cs="Arial" w:eastAsia="Arial" w:hAnsi="Arial"/>
                  <w:sz w:val="18"/>
                  <w:szCs w:val="18"/>
                  <w:color w:val="0000FF"/>
                </w:rPr>
                <w:t>Contribution and Assumption Agreement dated December 28, 2007, by and between Plains AAP, L.P. and PAA GP LLC</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(incorporated by reference to Exhibit 10.2 to our Current Report on Form 8-K filed January 4, 2008).</w:t>
              </w:r>
            </w:hyperlink>
          </w:p>
        </w:tc>
        <w:tc>
          <w:tcPr>
            <w:tcW w:w="18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280" w:type="dxa"/>
            <w:vAlign w:val="bottom"/>
            <w:gridSpan w:val="39"/>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2">
              <w:r>
                <w:rPr>
                  <w:rFonts w:ascii="Arial" w:cs="Arial" w:eastAsia="Arial" w:hAnsi="Arial"/>
                  <w:sz w:val="18"/>
                  <w:szCs w:val="18"/>
                  <w:color w:val="0000FF"/>
                  <w:w w:val="94"/>
                </w:rPr>
                <w:t>Omnibus Agreement by and among PAA GP Holdings LLC, Plains GP Holdings, L.P., Plains All American GP LLC, Plains AAP,</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60" w:type="dxa"/>
            <w:vAlign w:val="bottom"/>
            <w:tcBorders>
              <w:top w:val="single" w:sz="8" w:color="0000FF"/>
            </w:tcBorders>
            <w:gridSpan w:val="37"/>
          </w:tcPr>
          <w:p>
            <w:pPr>
              <w:spacing w:after="0" w:line="156"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L.P., PAA GP LLC, and Plains All American Pipeline, L.P., dated November 15, 2016 (incorporated by reference to Exhibit 10.1</w:t>
              </w:r>
            </w:hyperlink>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34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to our Current Report on Form 8-K filed November 21, 2016).</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280" w:type="dxa"/>
            <w:vAlign w:val="bottom"/>
            <w:gridSpan w:val="39"/>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3">
              <w:r>
                <w:rPr>
                  <w:rFonts w:ascii="Arial" w:cs="Arial" w:eastAsia="Arial" w:hAnsi="Arial"/>
                  <w:sz w:val="18"/>
                  <w:szCs w:val="18"/>
                  <w:color w:val="0000FF"/>
                  <w:w w:val="96"/>
                </w:rPr>
                <w:t>Amended and Restated Administrative Agreement by and among PAA GP Holdings LLC, Plains GP Holdings, L.P., Plains All</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American GP LLC, Plains AAP, L.P., PAA GP LLC, and Plains All American Pipeline, L.P., dated November 15,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(incorporated by reference to Exhibit 10.2 to our Current Report on Form 8-K filed November 21, 2016).</w:t>
              </w:r>
            </w:hyperlink>
          </w:p>
        </w:tc>
        <w:tc>
          <w:tcPr>
            <w:tcW w:w="1000" w:type="dxa"/>
            <w:vAlign w:val="bottom"/>
            <w:tcBorders>
              <w:top w:val="single" w:sz="8" w:color="0000FF"/>
            </w:tcBorders>
            <w:gridSpan w:val="7"/>
          </w:tcPr>
          <w:p>
            <w:pPr>
              <w:spacing w:after="0"/>
              <w:rPr>
                <w:sz w:val="14"/>
                <w:szCs w:val="14"/>
                <w:color w:val="auto"/>
              </w:rPr>
            </w:pPr>
          </w:p>
        </w:tc>
        <w:tc>
          <w:tcPr>
            <w:tcW w:w="280" w:type="dxa"/>
            <w:vAlign w:val="bottom"/>
            <w:gridSpan w:val="4"/>
          </w:tcPr>
          <w:p>
            <w:pPr>
              <w:spacing w:after="0"/>
              <w:rPr>
                <w:sz w:val="14"/>
                <w:szCs w:val="14"/>
                <w:color w:val="auto"/>
              </w:rPr>
            </w:pPr>
          </w:p>
        </w:tc>
        <w:tc>
          <w:tcPr>
            <w:tcW w:w="2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280" w:type="dxa"/>
            <w:vAlign w:val="bottom"/>
            <w:gridSpan w:val="39"/>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74">
              <w:r>
                <w:rPr>
                  <w:rFonts w:ascii="Arial" w:cs="Arial" w:eastAsia="Arial" w:hAnsi="Arial"/>
                  <w:sz w:val="18"/>
                  <w:szCs w:val="18"/>
                  <w:color w:val="0000FF"/>
                  <w:w w:val="98"/>
                </w:rPr>
                <w:t>Amended and Restated Employment Agreement between Plains All American GP LLC and Greg L. Armstrong dated as of</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6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74">
              <w:r>
                <w:rPr>
                  <w:rFonts w:ascii="Arial" w:cs="Arial" w:eastAsia="Arial" w:hAnsi="Arial"/>
                  <w:sz w:val="18"/>
                  <w:szCs w:val="18"/>
                  <w:color w:val="0000FF"/>
                  <w:w w:val="95"/>
                </w:rPr>
                <w:t>June 30, 2001 (incorporated by reference to Exhibit 10.1 to our Quarterly Report on Form 10-Q for the quarter ended</w:t>
              </w:r>
            </w:hyperlink>
          </w:p>
        </w:tc>
        <w:tc>
          <w:tcPr>
            <w:tcW w:w="2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September 30, 2001).</w:t>
              </w:r>
            </w:hyperlink>
          </w:p>
        </w:tc>
        <w:tc>
          <w:tcPr>
            <w:tcW w:w="6880" w:type="dxa"/>
            <w:vAlign w:val="bottom"/>
            <w:tcBorders>
              <w:top w:val="single" w:sz="8" w:color="0000FF"/>
            </w:tcBorders>
            <w:gridSpan w:val="12"/>
          </w:tcPr>
          <w:p>
            <w:pPr>
              <w:spacing w:after="0"/>
              <w:rPr>
                <w:sz w:val="14"/>
                <w:szCs w:val="14"/>
                <w:color w:val="auto"/>
              </w:rPr>
            </w:pPr>
          </w:p>
        </w:tc>
        <w:tc>
          <w:tcPr>
            <w:tcW w:w="70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280" w:type="dxa"/>
            <w:vAlign w:val="bottom"/>
            <w:gridSpan w:val="39"/>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5">
              <w:r>
                <w:rPr>
                  <w:rFonts w:ascii="Arial" w:cs="Arial" w:eastAsia="Arial" w:hAnsi="Arial"/>
                  <w:sz w:val="18"/>
                  <w:szCs w:val="18"/>
                  <w:color w:val="0000FF"/>
                </w:rPr>
                <w:t>First Amendment to Amended and Restated Employment Agreement dated December 4, 2008 between Plains All</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American GP LLC and Greg L. Armstrong (incorporated by reference to Exhibit 10.49 to our Annual Report on</w:t>
              </w:r>
            </w:hyperlink>
          </w:p>
        </w:tc>
        <w:tc>
          <w:tcPr>
            <w:tcW w:w="1280" w:type="dxa"/>
            <w:vAlign w:val="bottom"/>
            <w:gridSpan w:val="28"/>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Form 10-K for</w:t>
              </w:r>
            </w:hyperlink>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the year ended December 31, 2008).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280" w:type="dxa"/>
            <w:vAlign w:val="bottom"/>
            <w:gridSpan w:val="39"/>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76">
              <w:r>
                <w:rPr>
                  <w:rFonts w:ascii="Arial" w:cs="Arial" w:eastAsia="Arial" w:hAnsi="Arial"/>
                  <w:sz w:val="18"/>
                  <w:szCs w:val="18"/>
                  <w:color w:val="0000FF"/>
                  <w:w w:val="95"/>
                </w:rPr>
                <w:t>Waiver Agreement dated as of December 23, 2010 between Plains All American GP LLC and Greg L. Armstrong (incorporated</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by reference to Exhibit 10.31 to our Annual Report on Form 10-K for the year ended December 31, 2010).</w:t>
              </w:r>
            </w:hyperlink>
          </w:p>
        </w:tc>
        <w:tc>
          <w:tcPr>
            <w:tcW w:w="160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280" w:type="dxa"/>
            <w:vAlign w:val="bottom"/>
            <w:gridSpan w:val="39"/>
          </w:tcPr>
          <w:p>
            <w:pPr>
              <w:ind w:left="3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77">
              <w:r>
                <w:rPr>
                  <w:rFonts w:ascii="Arial" w:cs="Arial" w:eastAsia="Arial" w:hAnsi="Arial"/>
                  <w:sz w:val="18"/>
                  <w:szCs w:val="18"/>
                  <w:color w:val="0000FF"/>
                  <w:w w:val="92"/>
                </w:rPr>
                <w:t>Waiver Agreement dated October 21, 2013 to the Amended and Restated Employment Agreement dated June 30, 2001 of Greg L.</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Armstrong (incorporated by reference to Exhibit 10.2 to our Current Report on Form 8-K filed October 25,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280" w:type="dxa"/>
            <w:vAlign w:val="bottom"/>
            <w:gridSpan w:val="39"/>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8">
              <w:r>
                <w:rPr>
                  <w:rFonts w:ascii="Arial" w:cs="Arial" w:eastAsia="Arial" w:hAnsi="Arial"/>
                  <w:sz w:val="18"/>
                  <w:szCs w:val="18"/>
                  <w:color w:val="0000FF"/>
                  <w:w w:val="94"/>
                </w:rPr>
                <w:t>Second Amended and Restated Employment Agreement dated effective October 1, 2018 between Plains All American GP LLC</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and Greg L. Armstrong (incorporated by reference to Exhibit 10.6 to our Quarterly Report on Form 10-Q for the quarter ended</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r:id="rId178">
              <w:r>
                <w:rPr>
                  <w:rFonts w:ascii="Arial" w:cs="Arial" w:eastAsia="Arial" w:hAnsi="Arial"/>
                  <w:sz w:val="18"/>
                  <w:szCs w:val="18"/>
                  <w:color w:val="0000FF"/>
                  <w:w w:val="88"/>
                </w:rPr>
                <w:t>September 30, 2018).</w:t>
              </w:r>
            </w:hyperlink>
          </w:p>
        </w:tc>
        <w:tc>
          <w:tcPr>
            <w:tcW w:w="758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280" w:type="dxa"/>
            <w:vAlign w:val="bottom"/>
            <w:gridSpan w:val="39"/>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9">
              <w:r>
                <w:rPr>
                  <w:rFonts w:ascii="Arial" w:cs="Arial" w:eastAsia="Arial" w:hAnsi="Arial"/>
                  <w:sz w:val="18"/>
                  <w:szCs w:val="18"/>
                  <w:color w:val="0000FF"/>
                  <w:w w:val="93"/>
                </w:rPr>
                <w:t>Third Amended and Restated Employment Agreement dated effective January 1, 2020 between Plains All American GP LLC and</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Greg L. Armstrong (incorporated by reference to Exhibit 10.31 to our Annual Report on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Borders>
              <w:bottom w:val="single" w:sz="8" w:color="0000FF"/>
            </w:tcBorders>
          </w:tcPr>
          <w:p>
            <w:pPr>
              <w:spacing w:after="0" w:line="169" w:lineRule="exact"/>
              <w:rPr>
                <w:rFonts w:ascii="Arial" w:cs="Arial" w:eastAsia="Arial" w:hAnsi="Arial"/>
                <w:sz w:val="18"/>
                <w:szCs w:val="18"/>
                <w:color w:val="0000FF"/>
                <w:w w:val="87"/>
              </w:rPr>
            </w:pPr>
            <w:hyperlink r:id="rId179">
              <w:r>
                <w:rPr>
                  <w:rFonts w:ascii="Arial" w:cs="Arial" w:eastAsia="Arial" w:hAnsi="Arial"/>
                  <w:sz w:val="18"/>
                  <w:szCs w:val="18"/>
                  <w:color w:val="0000FF"/>
                  <w:w w:val="87"/>
                </w:rPr>
                <w:t>31, 2019.</w:t>
              </w:r>
            </w:hyperlink>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280" w:type="dxa"/>
            <w:vAlign w:val="bottom"/>
            <w:gridSpan w:val="39"/>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0">
              <w:r>
                <w:rPr>
                  <w:rFonts w:ascii="Arial" w:cs="Arial" w:eastAsia="Arial" w:hAnsi="Arial"/>
                  <w:sz w:val="18"/>
                  <w:szCs w:val="18"/>
                  <w:color w:val="0000FF"/>
                  <w:w w:val="94"/>
                </w:rPr>
                <w:t>Amendment No. 1 to Third Amended and Restated Employment Agreement dated effective December 31, 2021 between Plains</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All American GP LLC and Greg L. Armstrong (incorporated by reference to Exhibit 10.12 to our Annual Report on Form 10-K</w:t>
              </w:r>
            </w:hyperlink>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tcBorders>
              <w:bottom w:val="single" w:sz="8" w:color="0000FF"/>
            </w:tcBorders>
            <w:gridSpan w:val="4"/>
          </w:tcPr>
          <w:p>
            <w:pPr>
              <w:spacing w:after="0" w:line="169"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for the year ended December 31, 2021).</w:t>
              </w:r>
            </w:hyperlink>
          </w:p>
        </w:tc>
        <w:tc>
          <w:tcPr>
            <w:tcW w:w="6360" w:type="dxa"/>
            <w:vAlign w:val="bottom"/>
            <w:gridSpan w:val="22"/>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280" w:type="dxa"/>
            <w:vAlign w:val="bottom"/>
            <w:gridSpan w:val="39"/>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81">
              <w:r>
                <w:rPr>
                  <w:rFonts w:ascii="Arial" w:cs="Arial" w:eastAsia="Arial" w:hAnsi="Arial"/>
                  <w:sz w:val="18"/>
                  <w:szCs w:val="18"/>
                  <w:color w:val="0000FF"/>
                  <w:w w:val="93"/>
                </w:rPr>
                <w:t>Amended and Restated Employment Agreement between Plains All American GP LLC and Harry N. Pefanis dated as of June 30,</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2001 (incorporated by reference to Exhibit 10.2 to our Quarterly Report on Form 10-Q for the quarter ended September 30, 2001)</w:t>
              </w:r>
            </w:hyperlink>
          </w:p>
        </w:tc>
        <w:tc>
          <w:tcPr>
            <w:tcW w:w="80" w:type="dxa"/>
            <w:vAlign w:val="bottom"/>
            <w:tcBorders>
              <w:bottom w:val="single" w:sz="8" w:color="0000FF"/>
            </w:tcBorders>
            <w:gridSpan w:val="4"/>
          </w:tcPr>
          <w:p>
            <w:pPr>
              <w:jc w:val="right"/>
              <w:ind w:right="80"/>
              <w:spacing w:after="0"/>
              <w:rPr>
                <w:rFonts w:ascii="Arial" w:cs="Arial" w:eastAsia="Arial" w:hAnsi="Arial"/>
                <w:sz w:val="10"/>
                <w:szCs w:val="10"/>
                <w:color w:val="0000FF"/>
                <w:w w:val="70"/>
              </w:rPr>
            </w:pPr>
            <w:hyperlink r:id="rId181">
              <w:r>
                <w:rPr>
                  <w:rFonts w:ascii="Arial" w:cs="Arial" w:eastAsia="Arial" w:hAnsi="Arial"/>
                  <w:sz w:val="10"/>
                  <w:szCs w:val="10"/>
                  <w:color w:val="0000FF"/>
                  <w:w w:val="70"/>
                </w:rPr>
                <w:t>.</w:t>
              </w:r>
            </w:hyperlink>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10.16**</w:t>
            </w:r>
          </w:p>
        </w:tc>
        <w:tc>
          <w:tcPr>
            <w:tcW w:w="10280" w:type="dxa"/>
            <w:vAlign w:val="bottom"/>
            <w:gridSpan w:val="40"/>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3">
              <w:r>
                <w:rPr>
                  <w:rFonts w:ascii="Arial" w:cs="Arial" w:eastAsia="Arial" w:hAnsi="Arial"/>
                  <w:sz w:val="18"/>
                  <w:szCs w:val="18"/>
                  <w:color w:val="0000FF"/>
                </w:rPr>
                <w:t>First Amendment to Amended and Restated Employment Agreement dated December 4, 2008 between Plains All</w:t>
              </w:r>
            </w:hyperlink>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80" w:type="dxa"/>
            <w:vAlign w:val="bottom"/>
            <w:gridSpan w:val="39"/>
          </w:tcPr>
          <w:p>
            <w:pPr>
              <w:spacing w:after="0" w:line="15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American GP LLC and Harry N. Pefanis (incorporated by reference to Exhibit 10.50 to our Annual Report on Form 10-K for the</w:t>
              </w:r>
            </w:hyperlink>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year ended December 31, 2008).</w:t>
              </w:r>
            </w:hyperlink>
          </w:p>
        </w:tc>
        <w:tc>
          <w:tcPr>
            <w:tcW w:w="6920" w:type="dxa"/>
            <w:vAlign w:val="bottom"/>
            <w:tcBorders>
              <w:top w:val="single" w:sz="8" w:color="0000FF"/>
            </w:tcBorders>
            <w:gridSpan w:val="2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10.17**</w:t>
            </w:r>
          </w:p>
        </w:tc>
        <w:tc>
          <w:tcPr>
            <w:tcW w:w="10280" w:type="dxa"/>
            <w:vAlign w:val="bottom"/>
            <w:gridSpan w:val="40"/>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84">
              <w:r>
                <w:rPr>
                  <w:rFonts w:ascii="Arial" w:cs="Arial" w:eastAsia="Arial" w:hAnsi="Arial"/>
                  <w:sz w:val="18"/>
                  <w:szCs w:val="18"/>
                  <w:color w:val="0000FF"/>
                  <w:w w:val="96"/>
                </w:rPr>
                <w:t>Amendment No. 2 dated August 15, 2019 to Harry Pefanis Amended and Restated Employment Agreement (incorporated by</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reference to Exhibit 10.1 to our Quarterly Report on Form 10-Q for the quarter ended September 30, 2019).</w:t>
              </w:r>
            </w:hyperlink>
          </w:p>
        </w:tc>
        <w:tc>
          <w:tcPr>
            <w:tcW w:w="12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10.18**</w:t>
            </w:r>
          </w:p>
        </w:tc>
        <w:tc>
          <w:tcPr>
            <w:tcW w:w="10280" w:type="dxa"/>
            <w:vAlign w:val="bottom"/>
            <w:gridSpan w:val="40"/>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5">
              <w:r>
                <w:rPr>
                  <w:rFonts w:ascii="Arial" w:cs="Arial" w:eastAsia="Arial" w:hAnsi="Arial"/>
                  <w:sz w:val="18"/>
                  <w:szCs w:val="18"/>
                  <w:color w:val="0000FF"/>
                  <w:w w:val="94"/>
                </w:rPr>
                <w:t>Waiver Agreement dated as of December 23, 2010 between Plains All American GP LLC and Harry N. Pefanis (incorporated by</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reference to Exhibit 10.32 to our Annual Report on Form 10-K for the year ended December 31, 2010).</w:t>
              </w:r>
            </w:hyperlink>
          </w:p>
        </w:tc>
        <w:tc>
          <w:tcPr>
            <w:tcW w:w="1800" w:type="dxa"/>
            <w:vAlign w:val="bottom"/>
            <w:tcBorders>
              <w:top w:val="single" w:sz="8" w:color="0000FF"/>
            </w:tcBorders>
            <w:gridSpan w:val="1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10.19**</w:t>
            </w:r>
          </w:p>
        </w:tc>
        <w:tc>
          <w:tcPr>
            <w:tcW w:w="10280" w:type="dxa"/>
            <w:vAlign w:val="bottom"/>
            <w:gridSpan w:val="40"/>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86">
              <w:r>
                <w:rPr>
                  <w:rFonts w:ascii="Arial" w:cs="Arial" w:eastAsia="Arial" w:hAnsi="Arial"/>
                  <w:sz w:val="18"/>
                  <w:szCs w:val="18"/>
                  <w:color w:val="0000FF"/>
                  <w:w w:val="93"/>
                </w:rPr>
                <w:t>Waiver Agreement dated October 21, 2013 to the Amended and Restated Employment Agreement dated June 30, 2001 of Harry</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N. Pefanis (incorporated by reference to Exhibit 10.3 to our Current Report on Form 8-K filed October 25, 2013).</w:t>
              </w:r>
            </w:hyperlink>
          </w:p>
        </w:tc>
        <w:tc>
          <w:tcPr>
            <w:tcW w:w="1020" w:type="dxa"/>
            <w:vAlign w:val="bottom"/>
            <w:tcBorders>
              <w:top w:val="single" w:sz="8" w:color="0000FF"/>
            </w:tcBorders>
            <w:gridSpan w:val="1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10.20**</w:t>
            </w:r>
          </w:p>
        </w:tc>
        <w:tc>
          <w:tcPr>
            <w:tcW w:w="10280" w:type="dxa"/>
            <w:vAlign w:val="bottom"/>
            <w:gridSpan w:val="40"/>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7">
              <w:r>
                <w:rPr>
                  <w:rFonts w:ascii="Arial" w:cs="Arial" w:eastAsia="Arial" w:hAnsi="Arial"/>
                  <w:sz w:val="18"/>
                  <w:szCs w:val="18"/>
                  <w:color w:val="0000FF"/>
                  <w:w w:val="94"/>
                </w:rPr>
                <w:t>Employment Agreement between Plains All American GP LLC and Willie Chiang dated July 10, 2015 (incorporated by reference</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to Exhibit 10.53 to our Annual Report on Form 10-K for the year ended December 31, 2015).</w:t>
              </w:r>
            </w:hyperlink>
          </w:p>
        </w:tc>
        <w:tc>
          <w:tcPr>
            <w:tcW w:w="26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10.21**</w:t>
            </w:r>
          </w:p>
        </w:tc>
        <w:tc>
          <w:tcPr>
            <w:tcW w:w="10280" w:type="dxa"/>
            <w:vAlign w:val="bottom"/>
            <w:gridSpan w:val="40"/>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88">
              <w:r>
                <w:rPr>
                  <w:rFonts w:ascii="Arial" w:cs="Arial" w:eastAsia="Arial" w:hAnsi="Arial"/>
                  <w:sz w:val="18"/>
                  <w:szCs w:val="18"/>
                  <w:color w:val="0000FF"/>
                  <w:w w:val="93"/>
                </w:rPr>
                <w:t>Amended and Restated Employment Agreement dated effective October 1, 2018 between Plains All American GP LLC and Willie</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60" w:type="dxa"/>
            <w:vAlign w:val="bottom"/>
            <w:tcBorders>
              <w:top w:val="single" w:sz="8" w:color="0000FF"/>
            </w:tcBorders>
            <w:gridSpan w:val="38"/>
          </w:tcPr>
          <w:p>
            <w:pPr>
              <w:spacing w:after="0" w:line="156"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Chiang (incorporated by reference to Exhibit 10.7 to our Quarterly Report on Form 10-Q for the quarter ended September 30,</w:t>
              </w:r>
            </w:hyperlink>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2018).</w:t>
              </w:r>
            </w:hyperlink>
          </w:p>
        </w:tc>
        <w:tc>
          <w:tcPr>
            <w:tcW w:w="1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10.22**</w:t>
            </w:r>
          </w:p>
        </w:tc>
        <w:tc>
          <w:tcPr>
            <w:tcW w:w="10280" w:type="dxa"/>
            <w:vAlign w:val="bottom"/>
            <w:gridSpan w:val="40"/>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89">
              <w:r>
                <w:rPr>
                  <w:rFonts w:ascii="Arial" w:cs="Arial" w:eastAsia="Arial" w:hAnsi="Arial"/>
                  <w:sz w:val="18"/>
                  <w:szCs w:val="18"/>
                  <w:color w:val="0000FF"/>
                  <w:w w:val="95"/>
                </w:rPr>
                <w:t>First Amendment to Plains AAP, L.P. Class B Restricted Units Agreement dated August 25, 2016 (Willie Chiang) (incorporated</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by reference to Exhibit 10.8 to our Quarterly Report on Form 10-Q for the quarter ended September 30, 2016).</w:t>
              </w:r>
            </w:hyperlink>
          </w:p>
        </w:tc>
        <w:tc>
          <w:tcPr>
            <w:tcW w:w="1240" w:type="dxa"/>
            <w:vAlign w:val="bottom"/>
            <w:tcBorders>
              <w:top w:val="single" w:sz="8" w:color="0000FF"/>
            </w:tcBorders>
            <w:gridSpan w:val="1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10.23**</w:t>
            </w:r>
          </w:p>
        </w:tc>
        <w:tc>
          <w:tcPr>
            <w:tcW w:w="10280" w:type="dxa"/>
            <w:vAlign w:val="bottom"/>
            <w:gridSpan w:val="40"/>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90">
              <w:r>
                <w:rPr>
                  <w:rFonts w:ascii="Arial" w:cs="Arial" w:eastAsia="Arial" w:hAnsi="Arial"/>
                  <w:sz w:val="18"/>
                  <w:szCs w:val="18"/>
                  <w:color w:val="0000FF"/>
                  <w:w w:val="93"/>
                </w:rPr>
                <w:t>Second Amendment dated March 22, 2018 to Plains AAP, L.P. Class B Restricted Units Agreement (Willie Chiang) (incorporated</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by reference to Exhibit 10.1 to our Quarterly Report on Form 10-Q for the quarter ended March 31, 2018).</w:t>
              </w:r>
            </w:hyperlink>
          </w:p>
        </w:tc>
        <w:tc>
          <w:tcPr>
            <w:tcW w:w="168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10.24**</w:t>
            </w:r>
          </w:p>
        </w:tc>
        <w:tc>
          <w:tcPr>
            <w:tcW w:w="10280" w:type="dxa"/>
            <w:vAlign w:val="bottom"/>
            <w:gridSpan w:val="40"/>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91">
              <w:r>
                <w:rPr>
                  <w:rFonts w:ascii="Arial" w:cs="Arial" w:eastAsia="Arial" w:hAnsi="Arial"/>
                  <w:sz w:val="18"/>
                  <w:szCs w:val="18"/>
                  <w:color w:val="0000FF"/>
                  <w:w w:val="96"/>
                </w:rPr>
                <w:t>LTIP Grant Letter dated August 16, 2018 (Willie Chiang) incorporated by reference to Exhibit 10.8 to our Quarterly Report 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91">
              <w:r>
                <w:rPr>
                  <w:rFonts w:ascii="Arial" w:cs="Arial" w:eastAsia="Arial" w:hAnsi="Arial"/>
                  <w:sz w:val="18"/>
                  <w:szCs w:val="18"/>
                  <w:color w:val="0000FF"/>
                  <w:w w:val="89"/>
                </w:rPr>
                <w:t>Form 10-Q for the quarter ended September 30, 2018).</w:t>
              </w:r>
            </w:hyperlink>
          </w:p>
        </w:tc>
        <w:tc>
          <w:tcPr>
            <w:tcW w:w="516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10.25**</w:t>
            </w:r>
          </w:p>
        </w:tc>
        <w:tc>
          <w:tcPr>
            <w:tcW w:w="10280" w:type="dxa"/>
            <w:vAlign w:val="bottom"/>
            <w:gridSpan w:val="40"/>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92">
              <w:r>
                <w:rPr>
                  <w:rFonts w:ascii="Arial" w:cs="Arial" w:eastAsia="Arial" w:hAnsi="Arial"/>
                  <w:sz w:val="18"/>
                  <w:szCs w:val="18"/>
                  <w:color w:val="0000FF"/>
                  <w:w w:val="96"/>
                </w:rPr>
                <w:t>Plains All American 2021 Long-Term Incentive Plan (incorporated by reference to Exhibit A to our Definitive Proxy Statement</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filed on April 12, 2021).</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10.26**</w:t>
            </w:r>
          </w:p>
        </w:tc>
        <w:tc>
          <w:tcPr>
            <w:tcW w:w="10280" w:type="dxa"/>
            <w:vAlign w:val="bottom"/>
            <w:gridSpan w:val="40"/>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93">
              <w:r>
                <w:rPr>
                  <w:rFonts w:ascii="Arial" w:cs="Arial" w:eastAsia="Arial" w:hAnsi="Arial"/>
                  <w:sz w:val="18"/>
                  <w:szCs w:val="18"/>
                  <w:color w:val="0000FF"/>
                  <w:w w:val="96"/>
                </w:rPr>
                <w:t>Plains All American 2013 Long-Term Incentive Plan (incorporated by reference to Exhibit A to our Definitive Proxy Statement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filed on October 3, 2013).</w:t>
              </w:r>
            </w:hyperlink>
          </w:p>
        </w:tc>
        <w:tc>
          <w:tcPr>
            <w:tcW w:w="7300" w:type="dxa"/>
            <w:vAlign w:val="bottom"/>
            <w:tcBorders>
              <w:top w:val="single" w:sz="8" w:color="0000FF"/>
            </w:tcBorders>
            <w:gridSpan w:val="2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10.27**</w:t>
            </w:r>
          </w:p>
        </w:tc>
        <w:tc>
          <w:tcPr>
            <w:tcW w:w="10280" w:type="dxa"/>
            <w:vAlign w:val="bottom"/>
            <w:gridSpan w:val="40"/>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94">
              <w:r>
                <w:rPr>
                  <w:rFonts w:ascii="Arial" w:cs="Arial" w:eastAsia="Arial" w:hAnsi="Arial"/>
                  <w:sz w:val="18"/>
                  <w:szCs w:val="18"/>
                  <w:color w:val="0000FF"/>
                  <w:w w:val="98"/>
                </w:rPr>
                <w:t>Plains All American PNG Successor Long-Term Incentive Plan (incorporated by reference to Exhibit 4.4 to our Registration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94">
              <w:r>
                <w:rPr>
                  <w:rFonts w:ascii="Arial" w:cs="Arial" w:eastAsia="Arial" w:hAnsi="Arial"/>
                  <w:sz w:val="18"/>
                  <w:szCs w:val="18"/>
                  <w:color w:val="0000FF"/>
                  <w:w w:val="90"/>
                </w:rPr>
                <w:t>Statement on Form S-8 (333-193139) filed December 31, 2013).</w:t>
              </w:r>
            </w:hyperlink>
          </w:p>
        </w:tc>
        <w:tc>
          <w:tcPr>
            <w:tcW w:w="4320" w:type="dxa"/>
            <w:vAlign w:val="bottom"/>
            <w:tcBorders>
              <w:top w:val="single" w:sz="8" w:color="0000FF"/>
            </w:tcBorders>
            <w:gridSpan w:val="12"/>
          </w:tcPr>
          <w:p>
            <w:pPr>
              <w:spacing w:after="0"/>
              <w:rPr>
                <w:sz w:val="13"/>
                <w:szCs w:val="13"/>
                <w:color w:val="auto"/>
              </w:rPr>
            </w:pPr>
          </w:p>
        </w:tc>
        <w:tc>
          <w:tcPr>
            <w:tcW w:w="3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10.28**</w:t>
            </w:r>
          </w:p>
        </w:tc>
        <w:tc>
          <w:tcPr>
            <w:tcW w:w="10280" w:type="dxa"/>
            <w:vAlign w:val="bottom"/>
            <w:gridSpan w:val="40"/>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95">
              <w:r>
                <w:rPr>
                  <w:rFonts w:ascii="Arial" w:cs="Arial" w:eastAsia="Arial" w:hAnsi="Arial"/>
                  <w:sz w:val="18"/>
                  <w:szCs w:val="18"/>
                  <w:color w:val="0000FF"/>
                  <w:w w:val="97"/>
                </w:rPr>
                <w:t>PAA Natural Gas Storage, L.P. 2010 Long-Term Incentive Plan (incorporated by reference to Exhibit 10.2 to PNG’s Current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Report on Form 8-K filed May 11, 2010).</w:t>
              </w:r>
            </w:hyperlink>
          </w:p>
        </w:tc>
        <w:tc>
          <w:tcPr>
            <w:tcW w:w="3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10.29**</w:t>
            </w:r>
          </w:p>
        </w:tc>
        <w:tc>
          <w:tcPr>
            <w:tcW w:w="10280" w:type="dxa"/>
            <w:vAlign w:val="bottom"/>
            <w:gridSpan w:val="40"/>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96">
              <w:r>
                <w:rPr>
                  <w:rFonts w:ascii="Arial" w:cs="Arial" w:eastAsia="Arial" w:hAnsi="Arial"/>
                  <w:sz w:val="18"/>
                  <w:szCs w:val="18"/>
                  <w:color w:val="0000FF"/>
                  <w:w w:val="97"/>
                </w:rPr>
                <w:t>Plains GP Holdings, L.P. Long Term Incentive Plan (incorporated by reference to Exhibit 10.3 to PAGP’s Current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Form 8-K filed October 25, 2013).</w:t>
              </w:r>
            </w:hyperlink>
          </w:p>
        </w:tc>
        <w:tc>
          <w:tcPr>
            <w:tcW w:w="3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10.30**</w:t>
            </w:r>
          </w:p>
        </w:tc>
        <w:tc>
          <w:tcPr>
            <w:tcW w:w="10280" w:type="dxa"/>
            <w:vAlign w:val="bottom"/>
            <w:gridSpan w:val="40"/>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97">
              <w:r>
                <w:rPr>
                  <w:rFonts w:ascii="Arial" w:cs="Arial" w:eastAsia="Arial" w:hAnsi="Arial"/>
                  <w:sz w:val="18"/>
                  <w:szCs w:val="18"/>
                  <w:color w:val="0000FF"/>
                  <w:w w:val="93"/>
                </w:rPr>
                <w:t>Form of Plains AAP, L.P. Class B Restricted Units Agreement (incorporated by reference to Exhibit 10.1 to our Current Report 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Form 8-K filed January 4, 2008).</w:t>
              </w:r>
            </w:hyperlink>
          </w:p>
        </w:tc>
        <w:tc>
          <w:tcPr>
            <w:tcW w:w="700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10.31**</w:t>
            </w:r>
          </w:p>
        </w:tc>
        <w:tc>
          <w:tcPr>
            <w:tcW w:w="10280" w:type="dxa"/>
            <w:vAlign w:val="bottom"/>
            <w:gridSpan w:val="40"/>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98">
              <w:r>
                <w:rPr>
                  <w:rFonts w:ascii="Arial" w:cs="Arial" w:eastAsia="Arial" w:hAnsi="Arial"/>
                  <w:sz w:val="18"/>
                  <w:szCs w:val="18"/>
                  <w:color w:val="0000FF"/>
                  <w:w w:val="98"/>
                </w:rPr>
                <w:t>Form of Amendment to the Plains AAP, L.P. Class B Restricted Units Agreement dated October 18, 2013 (incorporated by</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reference to Exhibit 10.4 to our Current Report on Form 8-K filed October 25, 2013).</w:t>
              </w:r>
            </w:hyperlink>
          </w:p>
        </w:tc>
        <w:tc>
          <w:tcPr>
            <w:tcW w:w="2680" w:type="dxa"/>
            <w:vAlign w:val="bottom"/>
            <w:tcBorders>
              <w:top w:val="single" w:sz="8" w:color="0000FF"/>
            </w:tcBorders>
            <w:gridSpan w:val="8"/>
          </w:tcPr>
          <w:p>
            <w:pPr>
              <w:spacing w:after="0"/>
              <w:rPr>
                <w:sz w:val="13"/>
                <w:szCs w:val="13"/>
                <w:color w:val="auto"/>
              </w:rPr>
            </w:pPr>
          </w:p>
        </w:tc>
        <w:tc>
          <w:tcPr>
            <w:tcW w:w="48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10.32**</w:t>
            </w:r>
          </w:p>
        </w:tc>
        <w:tc>
          <w:tcPr>
            <w:tcW w:w="10280" w:type="dxa"/>
            <w:vAlign w:val="bottom"/>
            <w:gridSpan w:val="40"/>
          </w:tcPr>
          <w:p>
            <w:pPr>
              <w:ind w:left="3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99">
              <w:r>
                <w:rPr>
                  <w:rFonts w:ascii="Arial" w:cs="Arial" w:eastAsia="Arial" w:hAnsi="Arial"/>
                  <w:sz w:val="18"/>
                  <w:szCs w:val="18"/>
                  <w:color w:val="0000FF"/>
                  <w:w w:val="92"/>
                </w:rPr>
                <w:t>Form of Amendment to Plains AAP, L.P. Class B Restricted Units Agreement dated August 25, 2016 (incorporated by reference to</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Exhibit 10.6 to our Quarterly Report on Form 10-Q for the quarter ended September 30, 2016 filed November 8, 2016).</w:t>
              </w:r>
            </w:hyperlink>
          </w:p>
        </w:tc>
        <w:tc>
          <w:tcPr>
            <w:tcW w:w="8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10.33**</w:t>
            </w:r>
          </w:p>
        </w:tc>
        <w:tc>
          <w:tcPr>
            <w:tcW w:w="10280" w:type="dxa"/>
            <w:vAlign w:val="bottom"/>
            <w:gridSpan w:val="40"/>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00">
              <w:r>
                <w:rPr>
                  <w:rFonts w:ascii="Arial" w:cs="Arial" w:eastAsia="Arial" w:hAnsi="Arial"/>
                  <w:sz w:val="18"/>
                  <w:szCs w:val="18"/>
                  <w:color w:val="0000FF"/>
                  <w:w w:val="93"/>
                </w:rPr>
                <w:t>Form of First Amendment dated March 22, 2018 to Amended and Restated Plains AAP, L.P. Class B Restricted Units Agreement</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1"/>
              </w:rPr>
            </w:pPr>
            <w:hyperlink r:id="rId200">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200">
              <w:r>
                <w:rPr>
                  <w:rFonts w:ascii="Arial" w:cs="Arial" w:eastAsia="Arial" w:hAnsi="Arial"/>
                  <w:sz w:val="18"/>
                  <w:szCs w:val="18"/>
                  <w:color w:val="0000FF"/>
                  <w:w w:val="89"/>
                </w:rPr>
                <w:t>ended March 31, 2018).</w:t>
              </w:r>
            </w:hyperlink>
          </w:p>
        </w:tc>
        <w:tc>
          <w:tcPr>
            <w:tcW w:w="7580" w:type="dxa"/>
            <w:vAlign w:val="bottom"/>
            <w:gridSpan w:val="30"/>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10.34**</w:t>
            </w:r>
          </w:p>
        </w:tc>
        <w:tc>
          <w:tcPr>
            <w:tcW w:w="10280" w:type="dxa"/>
            <w:vAlign w:val="bottom"/>
            <w:gridSpan w:val="40"/>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01">
              <w:r>
                <w:rPr>
                  <w:rFonts w:ascii="Arial" w:cs="Arial" w:eastAsia="Arial" w:hAnsi="Arial"/>
                  <w:sz w:val="18"/>
                  <w:szCs w:val="18"/>
                  <w:color w:val="0000FF"/>
                  <w:w w:val="94"/>
                </w:rPr>
                <w:t>Form of LTIP Grant Letter dated August 15, 2019 (Officers) (incorporated by reference to Exhibit 10.2 to our Quarterly Report 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Form 10-Q for the quarter ended September 30, 2019).</w:t>
              </w:r>
            </w:hyperlink>
          </w:p>
        </w:tc>
        <w:tc>
          <w:tcPr>
            <w:tcW w:w="546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03">
              <w:r>
                <w:rPr>
                  <w:rFonts w:ascii="Arial" w:cs="Arial" w:eastAsia="Arial" w:hAnsi="Arial"/>
                  <w:sz w:val="18"/>
                  <w:szCs w:val="18"/>
                  <w:color w:val="0000FF"/>
                  <w:w w:val="95"/>
                </w:rPr>
                <w:t>Form of LTIP Grant Letter dated August 15, 2019 (Directors) (incorporated by reference to Exhibit 10.3 to our Quarterly Report</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on Form 10-Q for the quarter ended September 30, 2019).</w:t>
              </w:r>
            </w:hyperlink>
          </w:p>
        </w:tc>
        <w:tc>
          <w:tcPr>
            <w:tcW w:w="50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160" w:type="dxa"/>
            <w:vAlign w:val="bottom"/>
            <w:gridSpan w:val="20"/>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04">
              <w:r>
                <w:rPr>
                  <w:rFonts w:ascii="Arial" w:cs="Arial" w:eastAsia="Arial" w:hAnsi="Arial"/>
                  <w:sz w:val="18"/>
                  <w:szCs w:val="18"/>
                  <w:color w:val="0000FF"/>
                  <w:w w:val="93"/>
                </w:rPr>
                <w:t>Director LTIP Grant Letter (January 2020) (incorporated by reference to Exhibit 10.72 to our Annual Report on Form 10-K for the</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204">
              <w:r>
                <w:rPr>
                  <w:rFonts w:ascii="Arial" w:cs="Arial" w:eastAsia="Arial" w:hAnsi="Arial"/>
                  <w:sz w:val="18"/>
                  <w:szCs w:val="18"/>
                  <w:color w:val="0000FF"/>
                  <w:w w:val="88"/>
                </w:rPr>
                <w:t>year ended December 31, 2019).</w:t>
              </w:r>
            </w:hyperlink>
          </w:p>
        </w:tc>
        <w:tc>
          <w:tcPr>
            <w:tcW w:w="70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10.37**</w:t>
            </w:r>
          </w:p>
        </w:tc>
        <w:tc>
          <w:tcPr>
            <w:tcW w:w="10160" w:type="dxa"/>
            <w:vAlign w:val="bottom"/>
            <w:gridSpan w:val="20"/>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05">
              <w:r>
                <w:rPr>
                  <w:rFonts w:ascii="Arial" w:cs="Arial" w:eastAsia="Arial" w:hAnsi="Arial"/>
                  <w:sz w:val="18"/>
                  <w:szCs w:val="18"/>
                  <w:color w:val="0000FF"/>
                  <w:w w:val="93"/>
                </w:rPr>
                <w:t>Form of LTIP Grant Letter dated August 13, 2020 (Officers) (incorporated by reference to Exhibit 10.1 to our Quarterly Report on</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05">
              <w:r>
                <w:rPr>
                  <w:rFonts w:ascii="Arial" w:cs="Arial" w:eastAsia="Arial" w:hAnsi="Arial"/>
                  <w:sz w:val="18"/>
                  <w:szCs w:val="18"/>
                  <w:color w:val="0000FF"/>
                  <w:w w:val="89"/>
                </w:rPr>
                <w:t>Form 10-Q for the quarter ended September 30, 2020).</w:t>
              </w:r>
            </w:hyperlink>
          </w:p>
        </w:tc>
        <w:tc>
          <w:tcPr>
            <w:tcW w:w="54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06">
              <w:r>
                <w:rPr>
                  <w:rFonts w:ascii="Arial" w:cs="Arial" w:eastAsia="Arial" w:hAnsi="Arial"/>
                  <w:sz w:val="18"/>
                  <w:szCs w:val="18"/>
                  <w:color w:val="0000FF"/>
                  <w:w w:val="95"/>
                </w:rPr>
                <w:t>Form of LTIP Grant Letter dated August 13, 2020 (Directors) (incorporated by reference to Exhibit 10.1 to our Quarterly Report</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on Form 10-Q for the quarter ended September 30, 2020).</w:t>
              </w:r>
            </w:hyperlink>
          </w:p>
        </w:tc>
        <w:tc>
          <w:tcPr>
            <w:tcW w:w="506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160" w:type="dxa"/>
            <w:vAlign w:val="bottom"/>
            <w:gridSpan w:val="20"/>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07">
              <w:r>
                <w:rPr>
                  <w:rFonts w:ascii="Arial" w:cs="Arial" w:eastAsia="Arial" w:hAnsi="Arial"/>
                  <w:sz w:val="18"/>
                  <w:szCs w:val="18"/>
                  <w:color w:val="0000FF"/>
                  <w:w w:val="93"/>
                </w:rPr>
                <w:t>Form of Special Retention LTIP Grant Letter dated November 20, 2019 (incorporated by reference to Exhibit 10.53 to our Annual</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Report on Form 10-K for the year ended December 31, 2020).</w:t>
              </w:r>
            </w:hyperlink>
          </w:p>
        </w:tc>
        <w:tc>
          <w:tcPr>
            <w:tcW w:w="80" w:type="dxa"/>
            <w:vAlign w:val="bottom"/>
            <w:gridSpan w:val="3"/>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08">
              <w:r>
                <w:rPr>
                  <w:rFonts w:ascii="Arial" w:cs="Arial" w:eastAsia="Arial" w:hAnsi="Arial"/>
                  <w:sz w:val="18"/>
                  <w:szCs w:val="18"/>
                  <w:color w:val="0000FF"/>
                  <w:w w:val="95"/>
                </w:rPr>
                <w:t>Form of LTIP Grant Letter dated August 19, 2021 (Named Executive Officers) (incorporated by reference to Exhibit 10.3 to our</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Quarterly Report on Form 10-Q for the quarter ended September 30, 2021).</w:t>
              </w:r>
            </w:hyperlink>
          </w:p>
        </w:tc>
        <w:tc>
          <w:tcPr>
            <w:tcW w:w="220" w:type="dxa"/>
            <w:vAlign w:val="bottom"/>
            <w:gridSpan w:val="6"/>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09">
              <w:r>
                <w:rPr>
                  <w:rFonts w:ascii="Arial" w:cs="Arial" w:eastAsia="Arial" w:hAnsi="Arial"/>
                  <w:sz w:val="18"/>
                  <w:szCs w:val="18"/>
                  <w:color w:val="0000FF"/>
                  <w:w w:val="95"/>
                </w:rPr>
                <w:t>Form of LTIP Grant Letter dated August 19, 2021 (Directors) (incorporated by reference to Exhibit 10.4 to our Quarterly Report</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on Form 10-Q for the quarter ended September 30, 2021).</w:t>
              </w:r>
            </w:hyperlink>
          </w:p>
        </w:tc>
        <w:tc>
          <w:tcPr>
            <w:tcW w:w="5060" w:type="dxa"/>
            <w:vAlign w:val="bottom"/>
            <w:tcBorders>
              <w:top w:val="single" w:sz="8" w:color="0000FF"/>
            </w:tcBorders>
            <w:gridSpan w:val="9"/>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10.42**</w:t>
            </w:r>
          </w:p>
        </w:tc>
        <w:tc>
          <w:tcPr>
            <w:tcW w:w="10160" w:type="dxa"/>
            <w:vAlign w:val="bottom"/>
            <w:gridSpan w:val="20"/>
          </w:tcPr>
          <w:p>
            <w:pPr>
              <w:ind w:left="2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10">
              <w:r>
                <w:rPr>
                  <w:rFonts w:ascii="Arial" w:cs="Arial" w:eastAsia="Arial" w:hAnsi="Arial"/>
                  <w:sz w:val="18"/>
                  <w:szCs w:val="18"/>
                  <w:color w:val="0000FF"/>
                  <w:w w:val="96"/>
                </w:rPr>
                <w:t>Form of Amended and Restated Special Retention LTIP Grant Letter Dated February 24, 2022 (incorporated by reference to</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Exhibit 10.1 to our Quarterly Report on Form 10-Q for the quarter ended March 31, 2022).</w:t>
              </w:r>
            </w:hyperlink>
          </w:p>
        </w:tc>
        <w:tc>
          <w:tcPr>
            <w:tcW w:w="2380" w:type="dxa"/>
            <w:vAlign w:val="bottom"/>
            <w:tcBorders>
              <w:top w:val="single" w:sz="8" w:color="0000FF"/>
            </w:tcBorders>
            <w:gridSpan w:val="2"/>
          </w:tcPr>
          <w:p>
            <w:pPr>
              <w:spacing w:after="0"/>
              <w:rPr>
                <w:sz w:val="13"/>
                <w:szCs w:val="13"/>
                <w:color w:val="auto"/>
              </w:rPr>
            </w:pPr>
          </w:p>
        </w:tc>
        <w:tc>
          <w:tcPr>
            <w:tcW w:w="500" w:type="dxa"/>
            <w:vAlign w:val="bottom"/>
            <w:gridSpan w:val="7"/>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11">
              <w:r>
                <w:rPr>
                  <w:rFonts w:ascii="Arial" w:cs="Arial" w:eastAsia="Arial" w:hAnsi="Arial"/>
                  <w:sz w:val="18"/>
                  <w:szCs w:val="18"/>
                  <w:color w:val="0000FF"/>
                  <w:w w:val="95"/>
                </w:rPr>
                <w:t>Form of LTIP Grant Letter dated August 18, 2022 (Named Executive Officers) (incorporated by reference to Exhibit 10.4 to our</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Quarterly Report on Form 10-Q for the quarter ended September 30, 2022).</w:t>
              </w:r>
            </w:hyperlink>
          </w:p>
        </w:tc>
        <w:tc>
          <w:tcPr>
            <w:tcW w:w="220" w:type="dxa"/>
            <w:vAlign w:val="bottom"/>
            <w:gridSpan w:val="6"/>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160" w:type="dxa"/>
            <w:vAlign w:val="bottom"/>
            <w:gridSpan w:val="20"/>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12">
              <w:r>
                <w:rPr>
                  <w:rFonts w:ascii="Arial" w:cs="Arial" w:eastAsia="Arial" w:hAnsi="Arial"/>
                  <w:sz w:val="18"/>
                  <w:szCs w:val="18"/>
                  <w:color w:val="0000FF"/>
                  <w:w w:val="95"/>
                </w:rPr>
                <w:t>Form of LTIP Grant Letter dated August 18, 2022 (Directors) (incorporated by reference to Exhibit 10.5 to our Quarterly Report</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212">
              <w:r>
                <w:rPr>
                  <w:rFonts w:ascii="Arial" w:cs="Arial" w:eastAsia="Arial" w:hAnsi="Arial"/>
                  <w:sz w:val="18"/>
                  <w:szCs w:val="18"/>
                  <w:color w:val="0000FF"/>
                  <w:w w:val="89"/>
                </w:rPr>
                <w:t>on Form 10-Q for the quarter ended September 30, 2022).</w:t>
              </w:r>
            </w:hyperlink>
          </w:p>
        </w:tc>
        <w:tc>
          <w:tcPr>
            <w:tcW w:w="5080" w:type="dxa"/>
            <w:vAlign w:val="bottom"/>
            <w:tcBorders>
              <w:top w:val="single" w:sz="8" w:color="0000FF"/>
            </w:tcBorders>
            <w:gridSpan w:val="10"/>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331"/>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List of Subsidiaries of Plains All American Pipeline, L.P.</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w w:val="96"/>
              </w:rPr>
              <w:t>23.1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Consent of PricewaterhouseCoopers LLP.</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w w:val="96"/>
              </w:rPr>
              <w:t>31.1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Exchange Act Rules 13a-14(a) and 15d-14(a).</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tcBorders>
              <w:left w:val="single" w:sz="8" w:color="0000FF"/>
            </w:tcBorders>
            <w:gridSpan w:val="8"/>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w w:val="96"/>
              </w:rPr>
              <w:t>31.2</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Exchange Act Rules 13a-14(a) and 15d-14(a).</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w w:val="96"/>
              </w:rPr>
              <w:t>32.1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18 U.S.C. 1350.</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4300" w:type="dxa"/>
            <w:vAlign w:val="bottom"/>
            <w:tcBorders>
              <w:left w:val="single" w:sz="8" w:color="0000FF"/>
            </w:tcBorders>
            <w:gridSpan w:val="11"/>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w w:val="96"/>
              </w:rPr>
              <w:t>32.2</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18 U.S.C. 1350.</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r>
      <w:tr>
        <w:trPr>
          <w:trHeight w:val="304"/>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660" w:type="dxa"/>
            <w:vAlign w:val="bottom"/>
          </w:tcPr>
          <w:p>
            <w:pPr>
              <w:spacing w:after="0"/>
              <w:rPr>
                <w:sz w:val="20"/>
                <w:szCs w:val="20"/>
                <w:color w:val="auto"/>
              </w:rPr>
            </w:pPr>
            <w:r>
              <w:rPr>
                <w:rFonts w:ascii="Arial" w:cs="Arial" w:eastAsia="Arial" w:hAnsi="Arial"/>
                <w:sz w:val="18"/>
                <w:szCs w:val="18"/>
                <w:color w:val="auto"/>
              </w:rPr>
              <w:t>INS†</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0"/>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84"/>
              </w:rPr>
              <w:t>104†</w:t>
            </w:r>
          </w:p>
        </w:tc>
        <w:tc>
          <w:tcPr>
            <w:tcW w:w="660" w:type="dxa"/>
            <w:vAlign w:val="bottom"/>
          </w:tcPr>
          <w:p>
            <w:pPr>
              <w:spacing w:after="0"/>
              <w:rPr>
                <w:sz w:val="24"/>
                <w:szCs w:val="24"/>
                <w:color w:val="auto"/>
              </w:rPr>
            </w:pPr>
          </w:p>
        </w:tc>
        <w:tc>
          <w:tcPr>
            <w:tcW w:w="10160" w:type="dxa"/>
            <w:vAlign w:val="bottom"/>
            <w:gridSpan w:val="20"/>
          </w:tcPr>
          <w:p>
            <w:pPr>
              <w:ind w:left="26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4"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line="277" w:lineRule="auto"/>
        <w:tabs>
          <w:tab w:leader="none" w:pos="2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PLAINS ALL AMERICAN PIPELINE, L.P.</w:t>
      </w:r>
    </w:p>
    <w:p>
      <w:pPr>
        <w:spacing w:after="0" w:line="243"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general partner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sole member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general partner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Willie Chiang,</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Al Swanson,</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American GP LLC</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Chris Herbold,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b w:val="1"/>
          <w:bCs w:val="1"/>
          <w:i w:val="1"/>
          <w:iCs w:val="1"/>
          <w:color w:val="auto"/>
        </w:rPr>
        <w:t>Senior Vice President, Finance and Chief Accounting Officer of</w:t>
      </w:r>
    </w:p>
    <w:p>
      <w:pPr>
        <w:ind w:left="604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9" w:lineRule="exact"/>
        <w:rPr>
          <w:sz w:val="20"/>
          <w:szCs w:val="20"/>
          <w:color w:val="auto"/>
        </w:rPr>
      </w:pPr>
    </w:p>
    <w:p>
      <w:pPr>
        <w:ind w:left="40"/>
        <w:spacing w:after="0"/>
        <w:tabs>
          <w:tab w:leader="none" w:pos="6000" w:val="left"/>
          <w:tab w:leader="none" w:pos="101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106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p>
      <w:pPr>
        <w:spacing w:after="0" w:line="34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Willie Chiang</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Harry N. Pefanis</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Al Swanson</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Chris Herbold</w:t>
      </w:r>
    </w:p>
    <w:p>
      <w:pPr>
        <w:spacing w:after="0" w:line="26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Greg L. Armstrong</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Victor Burk</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Ellen R. DeSanctis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7">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Ellen R. DeSanctis</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Kevin McCarthy</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9">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Gary R. Petersen</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Alexandra D. Pruner</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T. Raymond</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7913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2">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Bobby S. Shackouls</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1791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Christopher M. Temple</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1791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4">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Chairman of the Board of PAA GP Holdings LLC and Chief Executive Officer of Plains February 28, 2023 All American GP LLC (Principal Executive Officer)</w:t>
      </w:r>
    </w:p>
    <w:p>
      <w:pPr>
        <w:spacing w:after="0" w:line="351"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 and President of Plains All American GP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34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Executive Vice President and Chief Financial Officer of Plains All American GP LLC February 28, 2023 (Principal Financial Officer)</w:t>
      </w:r>
    </w:p>
    <w:p>
      <w:pPr>
        <w:spacing w:after="0" w:line="335"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Senior Vice President, Finance and Chief Accounting Officer of Plains All</w:t>
      </w:r>
      <w:r>
        <w:rPr>
          <w:sz w:val="20"/>
          <w:szCs w:val="20"/>
          <w:color w:val="auto"/>
        </w:rPr>
        <w:tab/>
      </w:r>
      <w:r>
        <w:rPr>
          <w:rFonts w:ascii="Arial" w:cs="Arial" w:eastAsia="Arial" w:hAnsi="Arial"/>
          <w:sz w:val="16"/>
          <w:szCs w:val="16"/>
          <w:color w:val="auto"/>
        </w:rPr>
        <w:t>February 28, 2023</w:t>
      </w:r>
    </w:p>
    <w:p>
      <w:pPr>
        <w:spacing w:after="0"/>
        <w:rPr>
          <w:sz w:val="20"/>
          <w:szCs w:val="20"/>
          <w:color w:val="auto"/>
        </w:rPr>
      </w:pPr>
      <w:r>
        <w:rPr>
          <w:rFonts w:ascii="Arial" w:cs="Arial" w:eastAsia="Arial" w:hAnsi="Arial"/>
          <w:sz w:val="18"/>
          <w:szCs w:val="18"/>
          <w:color w:val="auto"/>
        </w:rPr>
        <w:t>American GP LLC (Principal Accounting Officer)</w:t>
      </w:r>
    </w:p>
    <w:p>
      <w:pPr>
        <w:spacing w:after="0" w:line="358"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336"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Director of PAA GP Holdings LLC</w:t>
      </w:r>
      <w:r>
        <w:rPr>
          <w:sz w:val="20"/>
          <w:szCs w:val="20"/>
          <w:color w:val="auto"/>
        </w:rPr>
        <w:tab/>
      </w:r>
      <w:r>
        <w:rPr>
          <w:rFonts w:ascii="Arial" w:cs="Arial" w:eastAsia="Arial" w:hAnsi="Arial"/>
          <w:sz w:val="16"/>
          <w:szCs w:val="16"/>
          <w:color w:val="auto"/>
        </w:rPr>
        <w:t>February 28, 2023</w:t>
      </w:r>
    </w:p>
    <w:p>
      <w:pPr>
        <w:spacing w:after="0" w:line="442" w:lineRule="exact"/>
        <w:rPr>
          <w:sz w:val="20"/>
          <w:szCs w:val="20"/>
          <w:color w:val="auto"/>
        </w:rPr>
      </w:pPr>
    </w:p>
    <w:p>
      <w:pPr>
        <w:sectPr>
          <w:pgSz w:w="11900" w:h="16838" w:orient="portrait"/>
          <w:cols w:equalWidth="0" w:num="2">
            <w:col w:w="2380" w:space="600"/>
            <w:col w:w="8120"/>
          </w:cols>
          <w:pgMar w:left="320" w:top="13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240" w:type="dxa"/>
            <w:vAlign w:val="bottom"/>
            <w:gridSpan w:val="31"/>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40" w:type="dxa"/>
            <w:vAlign w:val="bottom"/>
            <w:gridSpan w:val="31"/>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240" w:type="dxa"/>
            <w:vAlign w:val="bottom"/>
            <w:gridSpan w:val="31"/>
          </w:tcPr>
          <w:p>
            <w:pPr>
              <w:spacing w:after="0" w:line="190" w:lineRule="exact"/>
              <w:rPr>
                <w:sz w:val="20"/>
                <w:szCs w:val="20"/>
                <w:color w:val="auto"/>
              </w:rPr>
            </w:pPr>
            <w:r>
              <w:rPr>
                <w:rFonts w:ascii="Arial" w:cs="Arial" w:eastAsia="Arial" w:hAnsi="Arial"/>
                <w:sz w:val="18"/>
                <w:szCs w:val="18"/>
                <w:color w:val="0000FF"/>
              </w:rPr>
              <w:t>Management’s Report on Internal Control Over Financial Reporting</w:t>
            </w:r>
          </w:p>
        </w:tc>
        <w:tc>
          <w:tcPr>
            <w:tcW w:w="580" w:type="dxa"/>
            <w:vAlign w:val="bottom"/>
          </w:tcPr>
          <w:p>
            <w:pPr>
              <w:spacing w:after="0"/>
              <w:rPr>
                <w:sz w:val="16"/>
                <w:szCs w:val="16"/>
                <w:color w:val="auto"/>
              </w:rPr>
            </w:pPr>
          </w:p>
        </w:tc>
        <w:tc>
          <w:tcPr>
            <w:tcW w:w="36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rPr>
              <w:t>F-2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31"/>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E32E1"/>
              </w:rPr>
              <w:t>238</w:t>
            </w:r>
            <w:r>
              <w:rPr>
                <w:rFonts w:ascii="Arial" w:cs="Arial" w:eastAsia="Arial" w:hAnsi="Arial"/>
                <w:sz w:val="18"/>
                <w:szCs w:val="18"/>
                <w:u w:val="single" w:color="auto"/>
                <w:color w:val="0000FF"/>
              </w:rPr>
              <w: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6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72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F-5</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7"/>
          </w:tcPr>
          <w:p>
            <w:pPr>
              <w:spacing w:after="0"/>
              <w:rPr>
                <w:sz w:val="20"/>
                <w:szCs w:val="20"/>
                <w:color w:val="auto"/>
              </w:rPr>
            </w:pPr>
            <w:r>
              <w:rPr>
                <w:rFonts w:ascii="Arial" w:cs="Arial" w:eastAsia="Arial" w:hAnsi="Arial"/>
                <w:sz w:val="18"/>
                <w:szCs w:val="18"/>
                <w:color w:val="0000FF"/>
                <w:w w:val="88"/>
              </w:rPr>
              <w:t>Consolidated Statements of Operations for the years ended December 31, 2022, 2021 and 2020</w:t>
            </w:r>
          </w:p>
        </w:tc>
        <w:tc>
          <w:tcPr>
            <w:tcW w:w="33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29"/>
          </w:tcPr>
          <w:p>
            <w:pPr>
              <w:spacing w:after="0"/>
              <w:rPr>
                <w:sz w:val="20"/>
                <w:szCs w:val="20"/>
                <w:color w:val="auto"/>
              </w:rPr>
            </w:pPr>
            <w:r>
              <w:rPr>
                <w:rFonts w:ascii="Arial" w:cs="Arial" w:eastAsia="Arial" w:hAnsi="Arial"/>
                <w:sz w:val="18"/>
                <w:szCs w:val="18"/>
                <w:color w:val="0000FF"/>
                <w:w w:val="89"/>
              </w:rPr>
              <w:t>Consolidated Statements of Comprehensive Income/(Loss) for the years ended December 31, 2022, 2021 and 2020</w:t>
            </w:r>
          </w:p>
        </w:tc>
        <w:tc>
          <w:tcPr>
            <w:tcW w:w="19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31"/>
          </w:tcPr>
          <w:p>
            <w:pPr>
              <w:spacing w:after="0"/>
              <w:rPr>
                <w:sz w:val="20"/>
                <w:szCs w:val="20"/>
                <w:color w:val="auto"/>
              </w:rPr>
            </w:pPr>
            <w:r>
              <w:rPr>
                <w:rFonts w:ascii="Arial" w:cs="Arial" w:eastAsia="Arial" w:hAnsi="Arial"/>
                <w:sz w:val="18"/>
                <w:szCs w:val="18"/>
                <w:color w:val="0000FF"/>
                <w:w w:val="90"/>
              </w:rPr>
              <w:t>Consolidated Statements of Changes in Accumulated Other Comprehensive Income/(Loss) for the years ended December 31, 2022, 2021 and</w:t>
            </w:r>
          </w:p>
        </w:tc>
        <w:tc>
          <w:tcPr>
            <w:tcW w:w="580" w:type="dxa"/>
            <w:vAlign w:val="bottom"/>
          </w:tcPr>
          <w:p>
            <w:pPr>
              <w:spacing w:after="0"/>
              <w:rPr>
                <w:sz w:val="18"/>
                <w:szCs w:val="18"/>
                <w:color w:val="auto"/>
              </w:rPr>
            </w:pP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rPr>
              <w:t>F-7</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FF"/>
            </w:tcBorders>
            <w:gridSpan w:val="4"/>
          </w:tcPr>
          <w:p>
            <w:pPr>
              <w:ind w:left="160"/>
              <w:spacing w:after="0" w:line="142" w:lineRule="exact"/>
              <w:rPr>
                <w:sz w:val="20"/>
                <w:szCs w:val="20"/>
                <w:color w:val="auto"/>
              </w:rPr>
            </w:pPr>
            <w:r>
              <w:rPr>
                <w:rFonts w:ascii="Arial" w:cs="Arial" w:eastAsia="Arial" w:hAnsi="Arial"/>
                <w:sz w:val="16"/>
                <w:szCs w:val="16"/>
                <w:color w:val="0000FF"/>
                <w:w w:val="95"/>
              </w:rPr>
              <w:t>2020</w:t>
            </w: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80" w:type="dxa"/>
            <w:vAlign w:val="bottom"/>
            <w:gridSpan w:val="4"/>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28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7"/>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33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8"/>
          </w:tcPr>
          <w:p>
            <w:pPr>
              <w:spacing w:after="0"/>
              <w:rPr>
                <w:sz w:val="20"/>
                <w:szCs w:val="20"/>
                <w:color w:val="auto"/>
              </w:rPr>
            </w:pPr>
            <w:r>
              <w:rPr>
                <w:rFonts w:ascii="Arial" w:cs="Arial" w:eastAsia="Arial" w:hAnsi="Arial"/>
                <w:sz w:val="18"/>
                <w:szCs w:val="18"/>
                <w:color w:val="0000FF"/>
                <w:w w:val="89"/>
              </w:rPr>
              <w:t>Consolidated Statements of Changes in Partners’ Capital for the years ended December 31, 2022, 2021 and 2020</w:t>
            </w:r>
          </w:p>
        </w:tc>
        <w:tc>
          <w:tcPr>
            <w:tcW w:w="21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rPr>
              <w:t>F-9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8"/>
          </w:tcPr>
          <w:p>
            <w:pPr>
              <w:spacing w:after="0"/>
              <w:rPr>
                <w:sz w:val="20"/>
                <w:szCs w:val="20"/>
                <w:color w:val="auto"/>
              </w:rPr>
            </w:pPr>
            <w:r>
              <w:rPr>
                <w:rFonts w:ascii="Arial" w:cs="Arial" w:eastAsia="Arial" w:hAnsi="Arial"/>
                <w:sz w:val="18"/>
                <w:szCs w:val="18"/>
                <w:color w:val="0000FF"/>
              </w:rPr>
              <w:t>Notes to the Consolidated Financial Statements:</w:t>
            </w:r>
          </w:p>
        </w:tc>
        <w:tc>
          <w:tcPr>
            <w:tcW w:w="21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F-10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1.</w:t>
            </w:r>
          </w:p>
        </w:tc>
        <w:tc>
          <w:tcPr>
            <w:tcW w:w="4200" w:type="dxa"/>
            <w:vAlign w:val="bottom"/>
            <w:gridSpan w:val="20"/>
          </w:tcPr>
          <w:p>
            <w:pPr>
              <w:ind w:left="20"/>
              <w:spacing w:after="0"/>
              <w:rPr>
                <w:sz w:val="20"/>
                <w:szCs w:val="20"/>
                <w:color w:val="auto"/>
              </w:rPr>
            </w:pPr>
            <w:r>
              <w:rPr>
                <w:rFonts w:ascii="Arial" w:cs="Arial" w:eastAsia="Arial" w:hAnsi="Arial"/>
                <w:sz w:val="18"/>
                <w:szCs w:val="18"/>
                <w:color w:val="0000FF"/>
                <w:w w:val="90"/>
              </w:rPr>
              <w:t>Organization and Basis of Consolidation and Presentation</w:t>
            </w:r>
          </w:p>
        </w:tc>
        <w:tc>
          <w:tcPr>
            <w:tcW w:w="57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F-10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2.</w:t>
            </w:r>
          </w:p>
        </w:tc>
        <w:tc>
          <w:tcPr>
            <w:tcW w:w="3260" w:type="dxa"/>
            <w:vAlign w:val="bottom"/>
            <w:gridSpan w:val="16"/>
          </w:tcPr>
          <w:p>
            <w:pPr>
              <w:ind w:left="20"/>
              <w:spacing w:after="0"/>
              <w:rPr>
                <w:sz w:val="20"/>
                <w:szCs w:val="20"/>
                <w:color w:val="auto"/>
              </w:rPr>
            </w:pPr>
            <w:r>
              <w:rPr>
                <w:rFonts w:ascii="Arial" w:cs="Arial" w:eastAsia="Arial" w:hAnsi="Arial"/>
                <w:sz w:val="18"/>
                <w:szCs w:val="18"/>
                <w:color w:val="0000FF"/>
                <w:w w:val="93"/>
              </w:rPr>
              <w:t>Summary of Significant Accounting Policies</w:t>
            </w:r>
          </w:p>
        </w:tc>
        <w:tc>
          <w:tcPr>
            <w:tcW w:w="940" w:type="dxa"/>
            <w:vAlign w:val="bottom"/>
            <w:gridSpan w:val="4"/>
          </w:tcPr>
          <w:p>
            <w:pPr>
              <w:spacing w:after="0"/>
              <w:rPr>
                <w:sz w:val="18"/>
                <w:szCs w:val="18"/>
                <w:color w:val="auto"/>
              </w:rPr>
            </w:pPr>
          </w:p>
        </w:tc>
        <w:tc>
          <w:tcPr>
            <w:tcW w:w="57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F-12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3.</w:t>
            </w:r>
          </w:p>
        </w:tc>
        <w:tc>
          <w:tcPr>
            <w:tcW w:w="3260" w:type="dxa"/>
            <w:vAlign w:val="bottom"/>
            <w:gridSpan w:val="16"/>
          </w:tcPr>
          <w:p>
            <w:pPr>
              <w:ind w:left="20"/>
              <w:spacing w:after="0"/>
              <w:rPr>
                <w:sz w:val="20"/>
                <w:szCs w:val="20"/>
                <w:color w:val="auto"/>
              </w:rPr>
            </w:pPr>
            <w:r>
              <w:rPr>
                <w:rFonts w:ascii="Arial" w:cs="Arial" w:eastAsia="Arial" w:hAnsi="Arial"/>
                <w:sz w:val="18"/>
                <w:szCs w:val="18"/>
                <w:color w:val="0000FF"/>
              </w:rPr>
              <w:t>Revenues and Accounts Receivable</w:t>
            </w:r>
          </w:p>
        </w:tc>
        <w:tc>
          <w:tcPr>
            <w:tcW w:w="67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F-14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4.</w:t>
            </w:r>
          </w:p>
        </w:tc>
        <w:tc>
          <w:tcPr>
            <w:tcW w:w="9960" w:type="dxa"/>
            <w:vAlign w:val="bottom"/>
            <w:gridSpan w:val="29"/>
          </w:tcPr>
          <w:p>
            <w:pPr>
              <w:ind w:left="20"/>
              <w:spacing w:after="0"/>
              <w:rPr>
                <w:sz w:val="20"/>
                <w:szCs w:val="20"/>
                <w:color w:val="auto"/>
              </w:rPr>
            </w:pPr>
            <w:r>
              <w:rPr>
                <w:rFonts w:ascii="Arial" w:cs="Arial" w:eastAsia="Arial" w:hAnsi="Arial"/>
                <w:sz w:val="18"/>
                <w:szCs w:val="18"/>
                <w:color w:val="0000FF"/>
              </w:rPr>
              <w:t>Net Income/(Loss) Per Common Unit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F-19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5.</w:t>
            </w:r>
          </w:p>
        </w:tc>
        <w:tc>
          <w:tcPr>
            <w:tcW w:w="9960" w:type="dxa"/>
            <w:vAlign w:val="bottom"/>
            <w:gridSpan w:val="29"/>
          </w:tcPr>
          <w:p>
            <w:pPr>
              <w:ind w:left="20"/>
              <w:spacing w:after="0"/>
              <w:rPr>
                <w:sz w:val="20"/>
                <w:szCs w:val="20"/>
                <w:color w:val="auto"/>
              </w:rPr>
            </w:pPr>
            <w:r>
              <w:rPr>
                <w:rFonts w:ascii="Arial" w:cs="Arial" w:eastAsia="Arial" w:hAnsi="Arial"/>
                <w:sz w:val="18"/>
                <w:szCs w:val="18"/>
                <w:color w:val="0000FF"/>
              </w:rPr>
              <w:t>Inventory, Linefill and Long-term Inventory</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F-20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6.</w:t>
            </w:r>
          </w:p>
        </w:tc>
        <w:tc>
          <w:tcPr>
            <w:tcW w:w="3180" w:type="dxa"/>
            <w:vAlign w:val="bottom"/>
            <w:gridSpan w:val="15"/>
          </w:tcPr>
          <w:p>
            <w:pPr>
              <w:ind w:left="20"/>
              <w:spacing w:after="0"/>
              <w:rPr>
                <w:sz w:val="20"/>
                <w:szCs w:val="20"/>
                <w:color w:val="auto"/>
              </w:rPr>
            </w:pPr>
            <w:r>
              <w:rPr>
                <w:rFonts w:ascii="Arial" w:cs="Arial" w:eastAsia="Arial" w:hAnsi="Arial"/>
                <w:sz w:val="18"/>
                <w:szCs w:val="18"/>
                <w:color w:val="0000FF"/>
              </w:rPr>
              <w:t>Property and Equipment</w:t>
            </w:r>
          </w:p>
        </w:tc>
        <w:tc>
          <w:tcPr>
            <w:tcW w:w="678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F-21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7.</w:t>
            </w:r>
          </w:p>
        </w:tc>
        <w:tc>
          <w:tcPr>
            <w:tcW w:w="3620" w:type="dxa"/>
            <w:vAlign w:val="bottom"/>
            <w:gridSpan w:val="18"/>
          </w:tcPr>
          <w:p>
            <w:pPr>
              <w:ind w:left="20"/>
              <w:spacing w:after="0"/>
              <w:rPr>
                <w:sz w:val="20"/>
                <w:szCs w:val="20"/>
                <w:color w:val="auto"/>
              </w:rPr>
            </w:pPr>
            <w:r>
              <w:rPr>
                <w:rFonts w:ascii="Arial" w:cs="Arial" w:eastAsia="Arial" w:hAnsi="Arial"/>
                <w:sz w:val="18"/>
                <w:szCs w:val="18"/>
                <w:color w:val="0000FF"/>
                <w:w w:val="91"/>
              </w:rPr>
              <w:t>Acquisitions, Divestitures and Other Transactions</w:t>
            </w:r>
          </w:p>
        </w:tc>
        <w:tc>
          <w:tcPr>
            <w:tcW w:w="63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F-24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8.</w:t>
            </w:r>
          </w:p>
        </w:tc>
        <w:tc>
          <w:tcPr>
            <w:tcW w:w="3620" w:type="dxa"/>
            <w:vAlign w:val="bottom"/>
            <w:gridSpan w:val="18"/>
          </w:tcPr>
          <w:p>
            <w:pPr>
              <w:ind w:left="20"/>
              <w:spacing w:after="0"/>
              <w:rPr>
                <w:sz w:val="20"/>
                <w:szCs w:val="20"/>
                <w:color w:val="auto"/>
              </w:rPr>
            </w:pPr>
            <w:r>
              <w:rPr>
                <w:rFonts w:ascii="Arial" w:cs="Arial" w:eastAsia="Arial" w:hAnsi="Arial"/>
                <w:sz w:val="18"/>
                <w:szCs w:val="18"/>
                <w:color w:val="0000FF"/>
              </w:rPr>
              <w:t>Goodwill</w:t>
            </w:r>
          </w:p>
        </w:tc>
        <w:tc>
          <w:tcPr>
            <w:tcW w:w="63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F-29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0000FF"/>
                <w:w w:val="70"/>
              </w:rPr>
              <w:t>9.</w:t>
            </w:r>
          </w:p>
        </w:tc>
        <w:tc>
          <w:tcPr>
            <w:tcW w:w="2860" w:type="dxa"/>
            <w:vAlign w:val="bottom"/>
            <w:gridSpan w:val="14"/>
          </w:tcPr>
          <w:p>
            <w:pPr>
              <w:ind w:left="20"/>
              <w:spacing w:after="0"/>
              <w:rPr>
                <w:sz w:val="20"/>
                <w:szCs w:val="20"/>
                <w:color w:val="auto"/>
              </w:rPr>
            </w:pPr>
            <w:r>
              <w:rPr>
                <w:rFonts w:ascii="Arial" w:cs="Arial" w:eastAsia="Arial" w:hAnsi="Arial"/>
                <w:sz w:val="18"/>
                <w:szCs w:val="18"/>
                <w:color w:val="0000FF"/>
                <w:w w:val="91"/>
              </w:rPr>
              <w:t>Investments in Unconsolidated Entities</w:t>
            </w:r>
          </w:p>
        </w:tc>
        <w:tc>
          <w:tcPr>
            <w:tcW w:w="710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F-29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10.</w:t>
            </w:r>
          </w:p>
        </w:tc>
        <w:tc>
          <w:tcPr>
            <w:tcW w:w="1560" w:type="dxa"/>
            <w:vAlign w:val="bottom"/>
            <w:gridSpan w:val="6"/>
          </w:tcPr>
          <w:p>
            <w:pPr>
              <w:ind w:left="20"/>
              <w:spacing w:after="0"/>
              <w:rPr>
                <w:sz w:val="20"/>
                <w:szCs w:val="20"/>
                <w:color w:val="auto"/>
              </w:rPr>
            </w:pPr>
            <w:r>
              <w:rPr>
                <w:rFonts w:ascii="Arial" w:cs="Arial" w:eastAsia="Arial" w:hAnsi="Arial"/>
                <w:sz w:val="18"/>
                <w:szCs w:val="18"/>
                <w:color w:val="0000FF"/>
                <w:w w:val="85"/>
              </w:rPr>
              <w:t>Intangible Assets, Net</w:t>
            </w:r>
          </w:p>
        </w:tc>
        <w:tc>
          <w:tcPr>
            <w:tcW w:w="1200" w:type="dxa"/>
            <w:vAlign w:val="bottom"/>
            <w:gridSpan w:val="7"/>
          </w:tcPr>
          <w:p>
            <w:pPr>
              <w:spacing w:after="0"/>
              <w:rPr>
                <w:sz w:val="18"/>
                <w:szCs w:val="18"/>
                <w:color w:val="auto"/>
              </w:rPr>
            </w:pPr>
          </w:p>
        </w:tc>
        <w:tc>
          <w:tcPr>
            <w:tcW w:w="710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F-32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Arial" w:cs="Arial" w:eastAsia="Arial" w:hAnsi="Arial"/>
                <w:sz w:val="18"/>
                <w:szCs w:val="18"/>
                <w:color w:val="0000FF"/>
              </w:rPr>
              <w:t>11. Debt</w:t>
            </w:r>
          </w:p>
        </w:tc>
        <w:tc>
          <w:tcPr>
            <w:tcW w:w="8300" w:type="dxa"/>
            <w:vAlign w:val="bottom"/>
            <w:gridSpan w:val="2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F-33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12.</w:t>
            </w:r>
          </w:p>
        </w:tc>
        <w:tc>
          <w:tcPr>
            <w:tcW w:w="9860" w:type="dxa"/>
            <w:vAlign w:val="bottom"/>
            <w:gridSpan w:val="28"/>
          </w:tcPr>
          <w:p>
            <w:pPr>
              <w:ind w:left="20"/>
              <w:spacing w:after="0"/>
              <w:rPr>
                <w:sz w:val="20"/>
                <w:szCs w:val="20"/>
                <w:color w:val="auto"/>
              </w:rPr>
            </w:pPr>
            <w:r>
              <w:rPr>
                <w:rFonts w:ascii="Arial" w:cs="Arial" w:eastAsia="Arial" w:hAnsi="Arial"/>
                <w:sz w:val="18"/>
                <w:szCs w:val="18"/>
                <w:color w:val="0000FF"/>
              </w:rPr>
              <w:t>Partners’ Capital and Distributions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F-36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13.</w:t>
            </w:r>
          </w:p>
        </w:tc>
        <w:tc>
          <w:tcPr>
            <w:tcW w:w="3260" w:type="dxa"/>
            <w:vAlign w:val="bottom"/>
            <w:gridSpan w:val="16"/>
          </w:tcPr>
          <w:p>
            <w:pPr>
              <w:ind w:left="20"/>
              <w:spacing w:after="0"/>
              <w:rPr>
                <w:sz w:val="20"/>
                <w:szCs w:val="20"/>
                <w:color w:val="auto"/>
              </w:rPr>
            </w:pPr>
            <w:r>
              <w:rPr>
                <w:rFonts w:ascii="Arial" w:cs="Arial" w:eastAsia="Arial" w:hAnsi="Arial"/>
                <w:sz w:val="18"/>
                <w:szCs w:val="18"/>
                <w:color w:val="0000FF"/>
                <w:w w:val="91"/>
              </w:rPr>
              <w:t>Derivatives and Risk Management Activities</w:t>
            </w:r>
          </w:p>
        </w:tc>
        <w:tc>
          <w:tcPr>
            <w:tcW w:w="660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F-40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14.</w:t>
            </w:r>
          </w:p>
        </w:tc>
        <w:tc>
          <w:tcPr>
            <w:tcW w:w="3260" w:type="dxa"/>
            <w:vAlign w:val="bottom"/>
            <w:gridSpan w:val="16"/>
          </w:tcPr>
          <w:p>
            <w:pPr>
              <w:ind w:left="20"/>
              <w:spacing w:after="0"/>
              <w:rPr>
                <w:sz w:val="20"/>
                <w:szCs w:val="20"/>
                <w:color w:val="auto"/>
              </w:rPr>
            </w:pPr>
            <w:r>
              <w:rPr>
                <w:rFonts w:ascii="Arial" w:cs="Arial" w:eastAsia="Arial" w:hAnsi="Arial"/>
                <w:sz w:val="18"/>
                <w:szCs w:val="18"/>
                <w:color w:val="0000FF"/>
              </w:rPr>
              <w:t>Leases</w:t>
            </w:r>
          </w:p>
        </w:tc>
        <w:tc>
          <w:tcPr>
            <w:tcW w:w="660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F-45</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15.</w:t>
            </w:r>
          </w:p>
        </w:tc>
        <w:tc>
          <w:tcPr>
            <w:tcW w:w="1020" w:type="dxa"/>
            <w:vAlign w:val="bottom"/>
            <w:gridSpan w:val="5"/>
          </w:tcPr>
          <w:p>
            <w:pPr>
              <w:ind w:left="20"/>
              <w:spacing w:after="0"/>
              <w:rPr>
                <w:sz w:val="20"/>
                <w:szCs w:val="20"/>
                <w:color w:val="auto"/>
              </w:rPr>
            </w:pPr>
            <w:r>
              <w:rPr>
                <w:rFonts w:ascii="Arial" w:cs="Arial" w:eastAsia="Arial" w:hAnsi="Arial"/>
                <w:sz w:val="18"/>
                <w:szCs w:val="18"/>
                <w:color w:val="0000FF"/>
                <w:w w:val="86"/>
              </w:rPr>
              <w:t>Income Taxes</w:t>
            </w:r>
          </w:p>
        </w:tc>
        <w:tc>
          <w:tcPr>
            <w:tcW w:w="8840" w:type="dxa"/>
            <w:vAlign w:val="bottom"/>
            <w:gridSpan w:val="2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F-48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16.</w:t>
            </w:r>
          </w:p>
        </w:tc>
        <w:tc>
          <w:tcPr>
            <w:tcW w:w="9860" w:type="dxa"/>
            <w:vAlign w:val="bottom"/>
            <w:gridSpan w:val="28"/>
          </w:tcPr>
          <w:p>
            <w:pPr>
              <w:ind w:left="20"/>
              <w:spacing w:after="0"/>
              <w:rPr>
                <w:sz w:val="20"/>
                <w:szCs w:val="20"/>
                <w:color w:val="auto"/>
              </w:rPr>
            </w:pPr>
            <w:r>
              <w:rPr>
                <w:rFonts w:ascii="Arial" w:cs="Arial" w:eastAsia="Arial" w:hAnsi="Arial"/>
                <w:sz w:val="18"/>
                <w:szCs w:val="18"/>
                <w:color w:val="0000FF"/>
              </w:rPr>
              <w:t>Major Customers and Concentration of Credit Risk</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F-50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17.</w:t>
            </w:r>
          </w:p>
        </w:tc>
        <w:tc>
          <w:tcPr>
            <w:tcW w:w="3700" w:type="dxa"/>
            <w:vAlign w:val="bottom"/>
            <w:gridSpan w:val="18"/>
          </w:tcPr>
          <w:p>
            <w:pPr>
              <w:ind w:left="20"/>
              <w:spacing w:after="0"/>
              <w:rPr>
                <w:sz w:val="20"/>
                <w:szCs w:val="20"/>
                <w:color w:val="auto"/>
              </w:rPr>
            </w:pPr>
            <w:r>
              <w:rPr>
                <w:rFonts w:ascii="Arial" w:cs="Arial" w:eastAsia="Arial" w:hAnsi="Arial"/>
                <w:sz w:val="18"/>
                <w:szCs w:val="18"/>
                <w:color w:val="0000FF"/>
              </w:rPr>
              <w:t>Related Party Transactions</w:t>
            </w:r>
          </w:p>
        </w:tc>
        <w:tc>
          <w:tcPr>
            <w:tcW w:w="61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F-51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22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18.</w:t>
            </w:r>
          </w:p>
        </w:tc>
        <w:tc>
          <w:tcPr>
            <w:tcW w:w="2640" w:type="dxa"/>
            <w:vAlign w:val="bottom"/>
            <w:gridSpan w:val="12"/>
          </w:tcPr>
          <w:p>
            <w:pPr>
              <w:ind w:left="20"/>
              <w:spacing w:after="0"/>
              <w:rPr>
                <w:sz w:val="20"/>
                <w:szCs w:val="20"/>
                <w:color w:val="auto"/>
              </w:rPr>
            </w:pPr>
            <w:r>
              <w:rPr>
                <w:rFonts w:ascii="Arial" w:cs="Arial" w:eastAsia="Arial" w:hAnsi="Arial"/>
                <w:sz w:val="18"/>
                <w:szCs w:val="18"/>
                <w:color w:val="0000FF"/>
                <w:w w:val="88"/>
              </w:rPr>
              <w:t>Equity-Indexed Compensation Plans</w:t>
            </w:r>
          </w:p>
        </w:tc>
        <w:tc>
          <w:tcPr>
            <w:tcW w:w="722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F-52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19.</w:t>
            </w:r>
          </w:p>
        </w:tc>
        <w:tc>
          <w:tcPr>
            <w:tcW w:w="2420" w:type="dxa"/>
            <w:vAlign w:val="bottom"/>
            <w:gridSpan w:val="9"/>
          </w:tcPr>
          <w:p>
            <w:pPr>
              <w:ind w:left="20"/>
              <w:spacing w:after="0"/>
              <w:rPr>
                <w:sz w:val="20"/>
                <w:szCs w:val="20"/>
                <w:color w:val="auto"/>
              </w:rPr>
            </w:pPr>
            <w:r>
              <w:rPr>
                <w:rFonts w:ascii="Arial" w:cs="Arial" w:eastAsia="Arial" w:hAnsi="Arial"/>
                <w:sz w:val="18"/>
                <w:szCs w:val="18"/>
                <w:color w:val="0000FF"/>
                <w:w w:val="89"/>
              </w:rPr>
              <w:t>Commitments and Contingencies</w:t>
            </w:r>
          </w:p>
        </w:tc>
        <w:tc>
          <w:tcPr>
            <w:tcW w:w="220" w:type="dxa"/>
            <w:vAlign w:val="bottom"/>
            <w:gridSpan w:val="3"/>
          </w:tcPr>
          <w:p>
            <w:pPr>
              <w:spacing w:after="0"/>
              <w:rPr>
                <w:sz w:val="18"/>
                <w:szCs w:val="18"/>
                <w:color w:val="auto"/>
              </w:rPr>
            </w:pPr>
          </w:p>
        </w:tc>
        <w:tc>
          <w:tcPr>
            <w:tcW w:w="722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F-53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0000FF"/>
                <w:w w:val="79"/>
              </w:rPr>
              <w:t>20.</w:t>
            </w:r>
          </w:p>
        </w:tc>
        <w:tc>
          <w:tcPr>
            <w:tcW w:w="1560" w:type="dxa"/>
            <w:vAlign w:val="bottom"/>
            <w:gridSpan w:val="6"/>
          </w:tcPr>
          <w:p>
            <w:pPr>
              <w:ind w:left="20"/>
              <w:spacing w:after="0"/>
              <w:rPr>
                <w:sz w:val="20"/>
                <w:szCs w:val="20"/>
                <w:color w:val="auto"/>
              </w:rPr>
            </w:pPr>
            <w:r>
              <w:rPr>
                <w:rFonts w:ascii="Arial" w:cs="Arial" w:eastAsia="Arial" w:hAnsi="Arial"/>
                <w:sz w:val="18"/>
                <w:szCs w:val="18"/>
                <w:color w:val="0000FF"/>
                <w:w w:val="89"/>
              </w:rPr>
              <w:t>Segment Information</w:t>
            </w:r>
          </w:p>
        </w:tc>
        <w:tc>
          <w:tcPr>
            <w:tcW w:w="860" w:type="dxa"/>
            <w:vAlign w:val="bottom"/>
            <w:gridSpan w:val="3"/>
          </w:tcPr>
          <w:p>
            <w:pPr>
              <w:spacing w:after="0"/>
              <w:rPr>
                <w:sz w:val="18"/>
                <w:szCs w:val="18"/>
                <w:color w:val="auto"/>
              </w:rPr>
            </w:pPr>
          </w:p>
        </w:tc>
        <w:tc>
          <w:tcPr>
            <w:tcW w:w="7440" w:type="dxa"/>
            <w:vAlign w:val="bottom"/>
            <w:gridSpan w:val="1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0000FF"/>
                <w:w w:val="86"/>
              </w:rPr>
              <w:t>F-60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2022.</w:t>
      </w:r>
    </w:p>
    <w:p>
      <w:pPr>
        <w:spacing w:after="0" w:line="214" w:lineRule="exact"/>
        <w:rPr>
          <w:sz w:val="20"/>
          <w:szCs w:val="20"/>
          <w:color w:val="auto"/>
        </w:rPr>
      </w:pPr>
    </w:p>
    <w:p>
      <w:pPr>
        <w:jc w:val="both"/>
        <w:ind w:right="166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2022 has been audited by PricewaterhouseCoopers LLP, an independent registered public accounting firm, as stated in their report which appears on Page F-3.</w:t>
      </w:r>
    </w:p>
    <w:p>
      <w:pPr>
        <w:spacing w:after="0" w:line="16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63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Executive Officer of Plains All American GP LLC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Executive Officer)</w:t>
      </w:r>
    </w:p>
    <w:p>
      <w:pPr>
        <w:spacing w:after="0" w:line="2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63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Al Swanson</w:t>
      </w:r>
    </w:p>
    <w:p>
      <w:pPr>
        <w:spacing w:after="0" w:line="7"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ind w:left="5800"/>
        <w:spacing w:after="0"/>
        <w:rPr>
          <w:sz w:val="20"/>
          <w:szCs w:val="20"/>
          <w:color w:val="auto"/>
        </w:rPr>
      </w:pPr>
      <w:r>
        <w:rPr>
          <w:rFonts w:ascii="Arial" w:cs="Arial" w:eastAsia="Arial" w:hAnsi="Arial"/>
          <w:sz w:val="18"/>
          <w:szCs w:val="18"/>
          <w:i w:val="1"/>
          <w:iCs w:val="1"/>
          <w:color w:val="auto"/>
        </w:rPr>
        <w:t>American GP LLC</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PAA GP Holdings LLC and Unitholders of Plains All American Pipeline,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Plains All American Pipeline, L.P. and its subsidiaries (the “Partnership”) as of December 31, 2022 and 2021, and the related consolidated statements of operations, of comprehensive income (loss), of changes in accumulated other comprehensive income (loss), of changes in partners' capital and of cash flows for each of the three years in the period ended December 31, 2022, including the related notes (collectively referred to as the “consolidated financial statements”). We also have audited the Partnership's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 Also in our opinion, the Partnership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the Preferred Distribution Rate Reset Option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described in Note 13 to the consolidated financial statements, the Preferred Distribution Rate Reset Option of the Partnership’s Series A preferred units is an embedded derivative that is bifurcated from the related host contract and recorded at fair value. The fair value, as of December 31, 2022, was $189 million, and is recorded in other long-term liabilities and deferred credits. Management determines the fair value based on a Monte Carlo valuation model that estimates the fair value of the Series A preferred units with and without the Preferred Distribution Rate Reset Option. This model relies on assumptions for forecasts for the ten-year U.S. Treasury rate, the Partnership’s common unit price, and default probabilities which impact timing estimates as to when the option will be exercised.</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spacing w:after="0" w:line="2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 (i) 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8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and other receivables,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r>
      <w:tr>
        <w:trPr>
          <w:trHeight w:val="142"/>
        </w:trPr>
        <w:tc>
          <w:tcPr>
            <w:tcW w:w="8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19,257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14,903</w:t>
            </w:r>
          </w:p>
        </w:tc>
      </w:tr>
      <w:tr>
        <w:trPr>
          <w:trHeight w:val="142"/>
        </w:trPr>
        <w:tc>
          <w:tcPr>
            <w:tcW w:w="8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62"/>
        </w:trPr>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4,810</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r>
      <w:tr>
        <w:trPr>
          <w:trHeight w:val="142"/>
        </w:trPr>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8,329</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r>
      <w:tr>
        <w:trPr>
          <w:trHeight w:val="142"/>
        </w:trPr>
        <w:tc>
          <w:tcPr>
            <w:tcW w:w="8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62"/>
        </w:trPr>
        <w:tc>
          <w:tcPr>
            <w:tcW w:w="8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unitholders (71,090,468 and 71,090,468 units outstanding, respectively)</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unitholders (698,354,498 and 704,991,540 units outstanding,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r>
      <w:tr>
        <w:trPr>
          <w:trHeight w:val="223"/>
        </w:trPr>
        <w:tc>
          <w:tcPr>
            <w:tcW w:w="8720" w:type="dxa"/>
            <w:vAlign w:val="bottom"/>
          </w:tcPr>
          <w:p>
            <w:pPr>
              <w:ind w:left="140"/>
              <w:spacing w:after="0"/>
              <w:rPr>
                <w:sz w:val="20"/>
                <w:szCs w:val="20"/>
                <w:color w:val="auto"/>
              </w:rPr>
            </w:pPr>
            <w:r>
              <w:rPr>
                <w:rFonts w:ascii="Arial" w:cs="Arial" w:eastAsia="Arial" w:hAnsi="Arial"/>
                <w:sz w:val="18"/>
                <w:szCs w:val="18"/>
                <w:color w:val="auto"/>
              </w:rPr>
              <w:t>Total partners’ capital excluding noncontrolling interests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9,972</w:t>
            </w:r>
          </w:p>
        </w:tc>
      </w:tr>
      <w:tr>
        <w:trPr>
          <w:trHeight w:val="230"/>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unit data)</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26"/>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55,948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40,883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22,058</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23,290</w:t>
            </w:r>
          </w:p>
        </w:tc>
      </w:tr>
      <w:tr>
        <w:trPr>
          <w:trHeight w:val="216"/>
        </w:trPr>
        <w:tc>
          <w:tcPr>
            <w:tcW w:w="7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 (Note 6, Note 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Goodwill impairment loss (Note 8)</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7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25,665</w:t>
            </w:r>
          </w:p>
        </w:tc>
      </w:tr>
      <w:tr>
        <w:trPr>
          <w:trHeight w:val="256"/>
        </w:trPr>
        <w:tc>
          <w:tcPr>
            <w:tcW w:w="7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16"/>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Gains (losses) on/(impairment of) investments in unconsolidated entities, net (Note 7, Note 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$5, $18 and $24, respectively)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6"/>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(2,790)</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left="340" w:right="256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COMPREHENSIVE INCOME/(LOSS) (in millions)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26"/>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left="340" w:right="2780"/>
        <w:spacing w:after="0" w:line="261"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ACCUMULATED OTHER COMPREHENSIVE INCOME/(LOSS) (in millions)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5"/>
              </w:rPr>
              <w:t>(674)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2020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5"/>
              </w:rPr>
              <w:t>(657)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2021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5"/>
              </w:rPr>
              <w:t>(642)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5"/>
              </w:rPr>
              <w:t>(204)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2022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5"/>
              </w:rPr>
              <w:t>(204)</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5"/>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62"/>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Net income/(loss)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(2,580)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net income/(loss) to net cash provided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(Gains)/losses on asset sales and asset impairments, net (Note 6, Note 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Goodwill impairment loss (Note 8)</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2,515</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Equity-indexed compensation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Inventory valuation adjustments (Note 5)</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24"/>
        </w:trPr>
        <w:tc>
          <w:tcPr>
            <w:tcW w:w="7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 expense/(benefit)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(Gains)/losses on sales of linefill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(Gain)/loss on foreign currency revaluation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Settlement of terminated interest rate hedging instruments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Preferred Distribution Rate Reset Option (Note 13)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Equity earnings in unconsolidated entities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on earnings from unconsolidated entities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(Gains) losses on/impairment of investments in unconsolidated entities, net (Note 7, Note 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Changes in assets and liabilities, net of acquisitions: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4"/>
        </w:trPr>
        <w:tc>
          <w:tcPr>
            <w:tcW w:w="7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accounts receivable and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accounts payable and 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r>
      <w:tr>
        <w:trPr>
          <w:trHeight w:val="201"/>
        </w:trPr>
        <w:tc>
          <w:tcPr>
            <w:tcW w:w="7660" w:type="dxa"/>
            <w:vAlign w:val="bottom"/>
          </w:tcPr>
          <w:p>
            <w:pPr>
              <w:ind w:left="340"/>
              <w:spacing w:after="0" w:line="179" w:lineRule="exact"/>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1,514</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entities (Note 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Additions to property, equipment and other</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assets (Note 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Cash received from sales of linefill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purchases of linefill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by/(used in)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borrowings/(repayments) under commercial paper program (Note 11)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Net borrowings/(repayments) under senior secured hedged inventory facility (Note 11)</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GO Zone term loans (Note 11)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the issuance of senior notes (Note 11)</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senior notes (Note 11)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Repurchase of common units (Note 12)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Series A preferred unitholders (Note 12)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Distributions paid to Series B preferred unitholders (Note 12)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common unitholders (Note 12)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 (Note 12)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 (Note 12)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Effect of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7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8"/>
        </w:trPr>
        <w:tc>
          <w:tcPr>
            <w:tcW w:w="7660" w:type="dxa"/>
            <w:vAlign w:val="bottom"/>
          </w:tcPr>
          <w:p>
            <w:pPr>
              <w:ind w:left="140"/>
              <w:spacing w:after="0"/>
              <w:rPr>
                <w:sz w:val="20"/>
                <w:szCs w:val="20"/>
                <w:color w:val="auto"/>
              </w:rPr>
            </w:pPr>
            <w:r>
              <w:rPr>
                <w:rFonts w:ascii="Arial" w:cs="Arial" w:eastAsia="Arial" w:hAnsi="Arial"/>
                <w:sz w:val="16"/>
                <w:szCs w:val="16"/>
                <w:color w:val="auto"/>
              </w:rPr>
              <w:t>Interest, net of amounts capitalized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net of amounts refunded</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374" w:lineRule="exact"/>
        <w:rPr>
          <w:sz w:val="20"/>
          <w:szCs w:val="20"/>
          <w:color w:val="auto"/>
        </w:rPr>
      </w:pPr>
    </w:p>
    <w:p>
      <w:pPr>
        <w:jc w:val="center"/>
        <w:ind w:left="340" w:right="258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Partners’ Capital</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35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Excluding</w:t>
            </w: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restart"/>
          </w:tcPr>
          <w:p>
            <w:pPr>
              <w:jc w:val="center"/>
              <w:ind w:right="92"/>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1"/>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1"/>
                <w:szCs w:val="11"/>
                <w:color w:val="auto"/>
              </w:rPr>
            </w:pPr>
          </w:p>
        </w:tc>
        <w:tc>
          <w:tcPr>
            <w:tcW w:w="94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Series A</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Series B</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Unitholders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7"/>
                <w:szCs w:val="17"/>
                <w:color w:val="auto"/>
              </w:rPr>
            </w:pPr>
          </w:p>
        </w:tc>
        <w:tc>
          <w:tcPr>
            <w:tcW w:w="94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5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Distributions (Note 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common units (Note 12)</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(Note 12)</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(Note 12)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Repurchase of common units (Note 12)</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12)</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w w:val="98"/>
              </w:rPr>
              <w:t>Plains Oryx Permian Basin LLC joint venture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formation (Note 7)</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(Note 12)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Repurchase of common units (Note 12)</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12)</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w w:val="98"/>
              </w:rPr>
              <w:t>Plains Oryx Permian Basin LLC joint venture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formation (Note 7)</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Cactus II Pipeline LLC transaction (Note 7)</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20 for further discussion of our operating segments.</w:t>
      </w:r>
    </w:p>
    <w:p>
      <w:pPr>
        <w:spacing w:after="0" w:line="21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December 31, 2022, AAP also owned a limited partner interest in us through its ownership of approximately 241.0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2022, owned an approximate 81% limited partner interest in AAP. PAA GP Holdings LLC (“PAGP GP”) is the general partner of PAGP.</w:t>
      </w:r>
    </w:p>
    <w:p>
      <w:pPr>
        <w:spacing w:after="0" w:line="20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AOCI</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Accumulated other comprehensive income/(loss)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ASC</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ASU</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Bcf</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Btu</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British thermal unit</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CAD</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CODM</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Chief Operating Decision Maker</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DERs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EBITDA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3"/>
              </w:rPr>
              <w:t>=   Earnings before interest, taxes, depreciation and amortization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EPA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United States Environmental Protection Agency</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FASB</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Financial Accounting Standards Board</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GAAP</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3"/>
              </w:rPr>
              <w:t>=   Generally accepted accounting principles in the United States</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ICE</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ISDA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International Swaps and Derivatives Association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LIBOR</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London Interbank Offered Rate</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LTIP</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Mcf</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MMbls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Million barrels</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MLP</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Master limited partnership</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NGL</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8"/>
              </w:rPr>
              <w:t>=   Natural gas liquids, including ethane, propane and butane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NYMEX</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New York Mercantile Exchange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United States Securities and Exchange Commission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TWh</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Terawatt hour</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United States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USD</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WTI</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jc w:val="both"/>
        <w:ind w:right="260" w:firstLine="648"/>
        <w:spacing w:after="0" w:line="301"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2022 and 2021, and the consolidated results of our operations, cash flows, changes in partners’ capital, comprehensive income and changes in accumulated other comprehensive income/(loss) for the years ended December 31, 2022, 2021 and 2020. All significant intercompany balances and transactions have been eliminated in consolidation, and certain reclassifications have been made to information from previous years to conform to the current presentation.</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2022, 2021 and 2020, the revaluation of foreign currency transactions and monetary assets and liabilities resulted in the recognition of a net loss of $41 million, a net gain of $7 million and a net gain of $16 million, respectively, in our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1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2022 and 2021, trade accounts payable included $25 million and $19 million, respectively, of outstanding checks that were reclassified from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22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2022, 2021 and 2020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Liabilities incurred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Liabilities settled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Revisions in estimated cash flows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4" w:lineRule="exact"/>
        <w:rPr>
          <w:sz w:val="20"/>
          <w:szCs w:val="20"/>
          <w:color w:val="auto"/>
        </w:rPr>
      </w:pPr>
    </w:p>
    <w:p>
      <w:pPr>
        <w:ind w:left="580" w:right="240" w:hanging="572"/>
        <w:spacing w:after="0" w:line="227" w:lineRule="auto"/>
        <w:tabs>
          <w:tab w:leader="none" w:pos="568"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The 2022 amount primarily relates to the transfer of liabilities to the third party purchaser associated with the sale of Line 901 and the Sisquoc to Pentland portion of Line 903 pipeline. See Notes 7 and 19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respective footnotes for our accounting policies regarding (i) revenues and accounts receivable, (ii) net income/(loss) per common unit,</w:t>
      </w:r>
    </w:p>
    <w:p>
      <w:pPr>
        <w:spacing w:after="0" w:line="46"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inventory, linefill and long-term inventory, (iv) property and equipment, (v) acquisitions, (vi) goodwill, (vii) investments in unconsolidated entities,</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intangible assets, (ix) income allocation for partners’ capital presentation purposes, (x) derivatives and risk management activities, (xi) leases,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income taxes, (xiii) equity-indexed compensation and (xiv) legal and environmental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This guidance requires that an acquirer recognize and measure contract assets and contract liabilities acquired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do not anticipate that our adoption will have a material impact on our financial position, results of operations or cash flows.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Lessors - Certain Leases with Variable Lease Payments (Topic 842) w</w:t>
      </w:r>
      <w:r>
        <w:rPr>
          <w:rFonts w:ascii="Arial" w:cs="Arial" w:eastAsia="Arial" w:hAnsi="Arial"/>
          <w:sz w:val="18"/>
          <w:szCs w:val="18"/>
          <w:color w:val="auto"/>
        </w:rPr>
        <w:t>hich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p>
    <w:p>
      <w:pPr>
        <w:spacing w:after="0" w:line="22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which simplifies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GAAP to contracts, hedging relationships and other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reference LIBOR or another reference rate expected to be discontinued because of reference rate reform. This guidance was effective prospectively upon issuance through December 31, 2022. In December 2022, the FASB issued ASU 2022-06, </w:t>
      </w:r>
      <w:r>
        <w:rPr>
          <w:rFonts w:ascii="Arial" w:cs="Arial" w:eastAsia="Arial" w:hAnsi="Arial"/>
          <w:sz w:val="17"/>
          <w:szCs w:val="17"/>
          <w:i w:val="1"/>
          <w:iCs w:val="1"/>
          <w:color w:val="auto"/>
        </w:rPr>
        <w:t>Reference Rate Reform (Topic 848): Deferral of the Sunset Date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Topic 848, </w:t>
      </w:r>
      <w:r>
        <w:rPr>
          <w:rFonts w:ascii="Arial" w:cs="Arial" w:eastAsia="Arial" w:hAnsi="Arial"/>
          <w:sz w:val="17"/>
          <w:szCs w:val="17"/>
          <w:color w:val="auto"/>
        </w:rPr>
        <w:t>which defers the sunset date of Topic 848 from December 31, 2022 to December 31, 2024. We will continue to apply applicable expedients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exceptions to contract modifications through December 31, 2024, as applicable.</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adopted this guidance effective January 1, 2021, and our adoption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disaggregate our revenues by segment and type of activity. These categories depict how the nature, amount, timing and uncertainty of revenues and cash flows are affected by economic factors.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7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tcPr>
          <w:p>
            <w:pPr>
              <w:ind w:left="120"/>
              <w:spacing w:after="0"/>
              <w:rPr>
                <w:sz w:val="20"/>
                <w:szCs w:val="20"/>
                <w:color w:val="auto"/>
              </w:rPr>
            </w:pPr>
            <w:r>
              <w:rPr>
                <w:rFonts w:ascii="Arial" w:cs="Arial" w:eastAsia="Arial" w:hAnsi="Arial"/>
                <w:sz w:val="18"/>
                <w:szCs w:val="18"/>
                <w:color w:val="auto"/>
              </w:rPr>
              <w:t>Sales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53,822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39,635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21,250</w:t>
            </w:r>
          </w:p>
        </w:tc>
      </w:tr>
      <w:tr>
        <w:trPr>
          <w:trHeight w:val="229"/>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48"/>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Crude Oil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54,929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
        </w:trPr>
        <w:tc>
          <w:tcPr>
            <w:tcW w:w="6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40" w:type="dxa"/>
            <w:vAlign w:val="bottom"/>
          </w:tcPr>
          <w:p>
            <w:pPr>
              <w:ind w:left="120"/>
              <w:spacing w:after="0"/>
              <w:rPr>
                <w:sz w:val="20"/>
                <w:szCs w:val="20"/>
                <w:color w:val="auto"/>
              </w:rPr>
            </w:pPr>
            <w:r>
              <w:rPr>
                <w:rFonts w:ascii="Arial" w:cs="Arial" w:eastAsia="Arial" w:hAnsi="Arial"/>
                <w:sz w:val="18"/>
                <w:szCs w:val="18"/>
                <w:color w:val="auto"/>
              </w:rPr>
              <w:t>Sales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2,414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30"/>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NGL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i w:val="1"/>
          <w:iCs w:val="1"/>
          <w:color w:val="auto"/>
        </w:rPr>
        <w:t xml:space="preserve">Sales Revenues. </w:t>
      </w:r>
      <w:r>
        <w:rPr>
          <w:rFonts w:ascii="Arial" w:cs="Arial" w:eastAsia="Arial" w:hAnsi="Arial"/>
          <w:sz w:val="16"/>
          <w:szCs w:val="16"/>
          <w:color w:val="auto"/>
        </w:rPr>
        <w:t>Revenues from sales of crude oil and NGL are recognized at the time title to the product sold transfers to the purchaser,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Transportation Revenues. </w:t>
      </w:r>
      <w:r>
        <w:rPr>
          <w:rFonts w:ascii="Arial" w:cs="Arial" w:eastAsia="Arial" w:hAnsi="Arial"/>
          <w:sz w:val="18"/>
          <w:szCs w:val="18"/>
          <w:color w:val="auto"/>
        </w:rPr>
        <w:t>Transportation revenues include revenues from transporting crude oil and NGL on pipelines and trucks.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Terminalling, Storage and Other Revenues. </w:t>
      </w:r>
      <w:r>
        <w:rPr>
          <w:rFonts w:ascii="Arial" w:cs="Arial" w:eastAsia="Arial" w:hAnsi="Arial"/>
          <w:sz w:val="17"/>
          <w:szCs w:val="17"/>
          <w:color w:val="auto"/>
        </w:rPr>
        <w:t>Revenues in this category include (i) fees that are generated when we receive liquids from one</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57,473</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57,841</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42,438</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w:t>
            </w: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7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23,802</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transport or throughput a minimum volume over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gridSpan w:val="3"/>
            <w:vMerge w:val="continue"/>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3"/>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60" w:hanging="652"/>
        <w:spacing w:after="0" w:line="227" w:lineRule="auto"/>
        <w:tabs>
          <w:tab w:leader="none" w:pos="648"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changes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29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9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14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9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9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9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recognized as revenue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91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9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Balance at December 31, 2022</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220" w:hanging="11"/>
        <w:spacing w:after="0" w:line="277" w:lineRule="auto"/>
        <w:rPr>
          <w:sz w:val="20"/>
          <w:szCs w:val="20"/>
          <w:color w:val="auto"/>
        </w:rPr>
      </w:pPr>
      <w:r>
        <w:rPr>
          <w:rFonts w:ascii="Arial" w:cs="Arial" w:eastAsia="Arial" w:hAnsi="Arial"/>
          <w:sz w:val="18"/>
          <w:szCs w:val="18"/>
          <w:color w:val="auto"/>
        </w:rPr>
        <w:t>Includes approximately $361 million associated with crude oil sales agreements that were entered into in conjunction with storage arrangements and future inventory exchanges. Such amount was recognized as revenue in the first quarter of 2021.</w:t>
      </w:r>
    </w:p>
    <w:p>
      <w:pPr>
        <w:spacing w:after="0" w:line="8" w:lineRule="exact"/>
        <w:rPr>
          <w:sz w:val="20"/>
          <w:szCs w:val="20"/>
          <w:color w:val="auto"/>
        </w:rPr>
      </w:pPr>
    </w:p>
    <w:p>
      <w:pPr>
        <w:ind w:right="160" w:hanging="11"/>
        <w:spacing w:after="0" w:line="263" w:lineRule="auto"/>
        <w:rPr>
          <w:sz w:val="20"/>
          <w:szCs w:val="20"/>
          <w:color w:val="auto"/>
        </w:rPr>
      </w:pPr>
      <w:r>
        <w:rPr>
          <w:rFonts w:ascii="Arial" w:cs="Arial" w:eastAsia="Arial" w:hAnsi="Arial"/>
          <w:sz w:val="18"/>
          <w:szCs w:val="18"/>
          <w:color w:val="auto"/>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spacing w:after="0" w:line="184"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2028 and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3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0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Terminalling, storage and other agreement revenues</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60" w:right="3640" w:hanging="5452"/>
        <w:spacing w:after="0" w:line="852" w:lineRule="auto"/>
        <w:tabs>
          <w:tab w:leader="none" w:pos="65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21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2022 and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8"/>
              </w:rPr>
              <w:t>4,031</w:t>
            </w: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7,216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314"/>
              <w:spacing w:after="0"/>
              <w:rPr>
                <w:sz w:val="20"/>
                <w:szCs w:val="20"/>
                <w:color w:val="auto"/>
              </w:rPr>
            </w:pPr>
            <w:r>
              <w:rPr>
                <w:rFonts w:ascii="Arial" w:cs="Arial" w:eastAsia="Arial" w:hAnsi="Arial"/>
                <w:sz w:val="18"/>
                <w:szCs w:val="18"/>
                <w:color w:val="auto"/>
                <w:w w:val="88"/>
              </w:rPr>
              <w:t>5,126</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(7,450)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4"/>
              </w:rPr>
              <w:t>(4,452)</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3,907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8"/>
              </w:rPr>
              <w:t>4,705</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52"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After consideration of distributions to preferred unitholders, basic and diluted net income/(loss)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w:t>
      </w:r>
    </w:p>
    <w:p>
      <w:pPr>
        <w:spacing w:after="0" w:line="21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years ended December 31, 2022, 2021 and 2020 as the effect was antidilutive for all periods. Our equity-indexed compensation plan awards that contemplate the issuance of common units are considered potentially dilutive unless (i) they become vested only upon the satisfaction of a performance condition and</w:t>
      </w:r>
    </w:p>
    <w:p>
      <w:pPr>
        <w:spacing w:after="0" w:line="2" w:lineRule="exact"/>
        <w:rPr>
          <w:sz w:val="20"/>
          <w:szCs w:val="20"/>
          <w:color w:val="auto"/>
        </w:rPr>
      </w:pPr>
    </w:p>
    <w:p>
      <w:pPr>
        <w:ind w:right="20" w:firstLine="8"/>
        <w:spacing w:after="0" w:line="292" w:lineRule="auto"/>
        <w:tabs>
          <w:tab w:leader="none" w:pos="26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performance condition has yet to be satisfied. Equity-indexed compensation plan awards that were deemed to be dilutive during the year were reduced by a hypothetical common unit repurchase based on the remaining unamortized fair value, as prescribed by the treasury stock method in guidance issued by the FASB. For the years ended December 31, 2022, 2021 and 2020, approximately 2.0 million, 0.5 million and 0.3 million equity-indexed compensation plan awards, respectively, on a weighted-average basis, were excluded from the computation of diluted net income/(loss) per common unit as the effect did not change the presentation of diluted net income/(loss) per common unit or the effect was antidilutive.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the computation of basic and diluted net income/(loss) per common unit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PAA</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1,037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(2,590)</w:t>
            </w: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Distributions to Series A preferred unitholders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Distributions to Series B preferred unitholders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allocated to participating securities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70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7"/>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75" w:lineRule="exact"/>
        <w:rPr>
          <w:sz w:val="20"/>
          <w:szCs w:val="20"/>
          <w:color w:val="auto"/>
        </w:rPr>
      </w:pPr>
    </w:p>
    <w:p>
      <w:pPr>
        <w:ind w:left="660" w:right="180" w:hanging="652"/>
        <w:spacing w:after="0" w:line="238" w:lineRule="auto"/>
        <w:tabs>
          <w:tab w:leader="none" w:pos="648"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2022 or 2021. During the year ended December 31, 2020, we recorded charges of $233 million (of which $40 million was associated with our long-term inventory)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“Product sales revenues” in our accompanying Consolidated Statements of Operations. See Note 13 for discussion of our derivative and risk management activities.</w:t>
      </w:r>
    </w:p>
    <w:p>
      <w:pPr>
        <w:spacing w:after="0" w:line="20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2022, 2021 and 2020, we did not recognize any material impairments of linefill.</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40" w:type="dxa"/>
            <w:vAlign w:val="bottom"/>
            <w:tcBorders>
              <w:top w:val="single" w:sz="8" w:color="auto"/>
            </w:tcBorders>
            <w:gridSpan w:val="3"/>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tcBorders>
              <w:top w:val="single" w:sz="8" w:color="auto"/>
            </w:tcBorders>
            <w:gridSpan w:val="2"/>
          </w:tcPr>
          <w:p>
            <w:pPr>
              <w:ind w:left="260"/>
              <w:spacing w:after="0" w:line="130" w:lineRule="exact"/>
              <w:rPr>
                <w:sz w:val="20"/>
                <w:szCs w:val="20"/>
                <w:color w:val="auto"/>
              </w:rPr>
            </w:pPr>
            <w:r>
              <w:rPr>
                <w:rFonts w:ascii="Arial" w:cs="Arial" w:eastAsia="Arial" w:hAnsi="Arial"/>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3"/>
              <w:spacing w:after="0" w:line="130"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tcBorders>
              <w:top w:val="single" w:sz="8" w:color="auto"/>
            </w:tcBorders>
            <w:gridSpan w:val="2"/>
          </w:tcPr>
          <w:p>
            <w:pPr>
              <w:ind w:left="240"/>
              <w:spacing w:after="0" w:line="130" w:lineRule="exact"/>
              <w:rPr>
                <w:sz w:val="20"/>
                <w:szCs w:val="20"/>
                <w:color w:val="auto"/>
              </w:rPr>
            </w:pPr>
            <w:r>
              <w:rPr>
                <w:rFonts w:ascii="Arial" w:cs="Arial" w:eastAsia="Arial" w:hAnsi="Arial"/>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3"/>
              <w:spacing w:after="0" w:line="130"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30"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7"/>
                <w:szCs w:val="17"/>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1"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6,713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gridSpan w:val="3"/>
          </w:tcPr>
          <w:p>
            <w:pPr>
              <w:ind w:left="600"/>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Linefill</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15,480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58.53</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Linefill subtotal</w:t>
            </w: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right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inventory subtotal</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340" w:hanging="652"/>
        <w:spacing w:after="0" w:line="227" w:lineRule="auto"/>
        <w:tabs>
          <w:tab w:leader="none" w:pos="648"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Useful</w:t>
            </w: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tcBorders>
              <w:top w:val="single" w:sz="8" w:color="CCEEFF"/>
            </w:tcBorders>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10 - 50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Storage, terminal and rail facilities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10 - 50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Trucking equipment and other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property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Land and other</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gross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7"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Depreciation expense for the years ended December 31, 2022, 2021 and 2020 was $707 million, $652 million and $563 million, respectively.</w:t>
      </w:r>
    </w:p>
    <w:p>
      <w:pPr>
        <w:spacing w:after="0" w:line="17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2022, 2021 and 2020, we incurred liabilities of $46 million, $48 million and $51 million, respectively, for construction in progress that had not been 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(Held and Used)</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9"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57"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19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20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9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Of our 2020 impairment losses, approximately $415 million was associated with certain pipeline assets in our Crude Oil segment located in the Mid-Continent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1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remaining 2020 impairment losses were associated with idled or underutilized assets, primarily in our Crude Oil segment, including certain pipelines located in the Western region and other long-lived assets, for which it has been determined that it is unlikely that opportunities will exist in the future to recover our investment in these assets. We wrote off substantially all of the carrying value of these assets.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Cactus II</w:t>
      </w:r>
    </w:p>
    <w:p>
      <w:pPr>
        <w:spacing w:after="0" w:line="25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pacing w:after="0" w:line="21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13.8%,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 (losses) on/(impairment of) investments in unconsolidated entities, net” on our Consolidated Statement of Operations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21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 Useful Lives</w:t>
            </w:r>
          </w:p>
        </w:tc>
        <w:tc>
          <w:tcPr>
            <w:tcW w:w="300" w:type="dxa"/>
            <w:vAlign w:val="bottom"/>
          </w:tcPr>
          <w:p>
            <w:pPr>
              <w:spacing w:after="0"/>
              <w:rPr>
                <w:sz w:val="14"/>
                <w:szCs w:val="14"/>
                <w:color w:val="auto"/>
              </w:rPr>
            </w:pPr>
          </w:p>
        </w:tc>
        <w:tc>
          <w:tcPr>
            <w:tcW w:w="19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Recognized Amount</w:t>
            </w:r>
          </w:p>
        </w:tc>
        <w:tc>
          <w:tcPr>
            <w:tcW w:w="0" w:type="dxa"/>
            <w:vAlign w:val="bottom"/>
          </w:tcPr>
          <w:p>
            <w:pPr>
              <w:spacing w:after="0"/>
              <w:rPr>
                <w:sz w:val="1"/>
                <w:szCs w:val="1"/>
                <w:color w:val="auto"/>
              </w:rPr>
            </w:pPr>
          </w:p>
        </w:tc>
      </w:tr>
      <w:tr>
        <w:trPr>
          <w:trHeight w:val="192"/>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2220" w:type="dxa"/>
            <w:vAlign w:val="bottom"/>
          </w:tcPr>
          <w:p>
            <w:pPr>
              <w:jc w:val="right"/>
              <w:ind w:right="9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$13 million during the year ended December 31, 2022, and the future amortization expense through 2027 is estimated as follows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shd w:val="clear" w:color="auto" w:fill="CCEEFF"/>
          </w:tcPr>
          <w:p>
            <w:pPr>
              <w:jc w:val="right"/>
              <w:ind w:right="4190"/>
              <w:spacing w:after="0"/>
              <w:rPr>
                <w:sz w:val="20"/>
                <w:szCs w:val="20"/>
                <w:color w:val="auto"/>
              </w:rPr>
            </w:pPr>
            <w:r>
              <w:rPr>
                <w:rFonts w:ascii="Arial" w:cs="Arial" w:eastAsia="Arial" w:hAnsi="Arial"/>
                <w:sz w:val="18"/>
                <w:szCs w:val="18"/>
                <w:color w:val="auto"/>
                <w:w w:val="89"/>
              </w:rPr>
              <w:t>2023</w:t>
            </w:r>
          </w:p>
        </w:tc>
        <w:tc>
          <w:tcPr>
            <w:tcW w:w="53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660" w:type="dxa"/>
            <w:vAlign w:val="bottom"/>
          </w:tcPr>
          <w:p>
            <w:pPr>
              <w:jc w:val="right"/>
              <w:ind w:right="4190"/>
              <w:spacing w:after="0"/>
              <w:rPr>
                <w:sz w:val="20"/>
                <w:szCs w:val="20"/>
                <w:color w:val="auto"/>
              </w:rPr>
            </w:pPr>
            <w:r>
              <w:rPr>
                <w:rFonts w:ascii="Arial" w:cs="Arial" w:eastAsia="Arial" w:hAnsi="Arial"/>
                <w:sz w:val="18"/>
                <w:szCs w:val="18"/>
                <w:color w:val="auto"/>
                <w:w w:val="89"/>
              </w:rPr>
              <w:t>2024</w:t>
            </w:r>
          </w:p>
        </w:tc>
        <w:tc>
          <w:tcPr>
            <w:tcW w:w="532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660" w:type="dxa"/>
            <w:vAlign w:val="bottom"/>
            <w:shd w:val="clear" w:color="auto" w:fill="CCEEFF"/>
          </w:tcPr>
          <w:p>
            <w:pPr>
              <w:jc w:val="right"/>
              <w:ind w:right="4190"/>
              <w:spacing w:after="0"/>
              <w:rPr>
                <w:sz w:val="20"/>
                <w:szCs w:val="20"/>
                <w:color w:val="auto"/>
              </w:rPr>
            </w:pPr>
            <w:r>
              <w:rPr>
                <w:rFonts w:ascii="Arial" w:cs="Arial" w:eastAsia="Arial" w:hAnsi="Arial"/>
                <w:sz w:val="18"/>
                <w:szCs w:val="18"/>
                <w:color w:val="auto"/>
                <w:w w:val="89"/>
              </w:rPr>
              <w:t>2025</w:t>
            </w:r>
          </w:p>
        </w:tc>
        <w:tc>
          <w:tcPr>
            <w:tcW w:w="53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660" w:type="dxa"/>
            <w:vAlign w:val="bottom"/>
          </w:tcPr>
          <w:p>
            <w:pPr>
              <w:jc w:val="right"/>
              <w:ind w:right="4190"/>
              <w:spacing w:after="0"/>
              <w:rPr>
                <w:sz w:val="20"/>
                <w:szCs w:val="20"/>
                <w:color w:val="auto"/>
              </w:rPr>
            </w:pPr>
            <w:r>
              <w:rPr>
                <w:rFonts w:ascii="Arial" w:cs="Arial" w:eastAsia="Arial" w:hAnsi="Arial"/>
                <w:sz w:val="18"/>
                <w:szCs w:val="18"/>
                <w:color w:val="auto"/>
                <w:w w:val="89"/>
              </w:rPr>
              <w:t>2026</w:t>
            </w:r>
          </w:p>
        </w:tc>
        <w:tc>
          <w:tcPr>
            <w:tcW w:w="532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660" w:type="dxa"/>
            <w:vAlign w:val="bottom"/>
            <w:shd w:val="clear" w:color="auto" w:fill="CCEEFF"/>
          </w:tcPr>
          <w:p>
            <w:pPr>
              <w:jc w:val="right"/>
              <w:ind w:right="4190"/>
              <w:spacing w:after="0"/>
              <w:rPr>
                <w:sz w:val="20"/>
                <w:szCs w:val="20"/>
                <w:color w:val="auto"/>
              </w:rPr>
            </w:pPr>
            <w:r>
              <w:rPr>
                <w:rFonts w:ascii="Arial" w:cs="Arial" w:eastAsia="Arial" w:hAnsi="Arial"/>
                <w:sz w:val="18"/>
                <w:szCs w:val="18"/>
                <w:color w:val="auto"/>
                <w:w w:val="89"/>
              </w:rPr>
              <w:t>2027</w:t>
            </w:r>
          </w:p>
        </w:tc>
        <w:tc>
          <w:tcPr>
            <w:tcW w:w="53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32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2022, we also completed the following acquisitions:</w:t>
      </w:r>
    </w:p>
    <w:p>
      <w:pPr>
        <w:spacing w:after="0" w:line="252" w:lineRule="exact"/>
        <w:rPr>
          <w:sz w:val="20"/>
          <w:szCs w:val="20"/>
          <w:color w:val="auto"/>
        </w:rPr>
      </w:pPr>
    </w:p>
    <w:p>
      <w:pPr>
        <w:ind w:left="660" w:right="240" w:hanging="328"/>
        <w:spacing w:after="0" w:line="263"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acquisition in July 2022 of the remaining 50% interest in Advantage Pipeline Holdings LLC (“Advantage”) for $74 million, including cash paid for working capital. As a result of this transaction, we now own 100% of Advantage and its subsidiaries and such entities are reflected as consolidated subsidiaries in our Consolidated Financial Statements.</w:t>
      </w:r>
    </w:p>
    <w:p>
      <w:pPr>
        <w:spacing w:after="0" w:line="210"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Crude Oil segment.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with a fair value of $115 million and intangible assets with a fair value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the noncontrolling interest recognized and the fair value of Oryx Midstream’s assets acquired and liabilities assumed was recorded as an increase to our partners’ capital excluding noncontrolling interests.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recognized in partners’ capital associated with this transaction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ind w:right="415"/>
              <w:spacing w:after="0"/>
              <w:rPr>
                <w:sz w:val="20"/>
                <w:szCs w:val="20"/>
                <w:color w:val="auto"/>
              </w:rPr>
            </w:pPr>
            <w:r>
              <w:rPr>
                <w:rFonts w:ascii="Arial" w:cs="Arial" w:eastAsia="Arial" w:hAnsi="Arial"/>
                <w:sz w:val="14"/>
                <w:szCs w:val="14"/>
                <w:b w:val="1"/>
                <w:bCs w:val="1"/>
                <w:color w:val="auto"/>
              </w:rPr>
              <w:t>Recognized Amount</w:t>
            </w:r>
          </w:p>
        </w:tc>
      </w:tr>
      <w:tr>
        <w:trPr>
          <w:trHeight w:val="26"/>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90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11.75%,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193"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Estimated Useful Lives</w:t>
            </w:r>
          </w:p>
        </w:tc>
        <w:tc>
          <w:tcPr>
            <w:tcW w:w="300" w:type="dxa"/>
            <w:vAlign w:val="bottom"/>
          </w:tcPr>
          <w:p>
            <w:pPr>
              <w:spacing w:after="0"/>
              <w:rPr>
                <w:sz w:val="14"/>
                <w:szCs w:val="14"/>
                <w:color w:val="auto"/>
              </w:rPr>
            </w:pPr>
          </w:p>
        </w:tc>
        <w:tc>
          <w:tcPr>
            <w:tcW w:w="19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Recognized Amount</w:t>
            </w:r>
          </w:p>
        </w:tc>
        <w:tc>
          <w:tcPr>
            <w:tcW w:w="0" w:type="dxa"/>
            <w:vAlign w:val="bottom"/>
          </w:tcPr>
          <w:p>
            <w:pPr>
              <w:spacing w:after="0"/>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440" w:type="dxa"/>
            <w:vAlign w:val="bottom"/>
            <w:gridSpan w:val="3"/>
          </w:tcPr>
          <w:p>
            <w:pPr>
              <w:jc w:val="right"/>
              <w:ind w:right="9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entities</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and other assets and liabilities</w:t>
            </w:r>
          </w:p>
        </w:tc>
        <w:tc>
          <w:tcPr>
            <w:tcW w:w="2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gridSpan w:val="4"/>
            <w:vMerge w:val="restart"/>
          </w:tcPr>
          <w:p>
            <w:pPr>
              <w:ind w:left="1040"/>
              <w:spacing w:after="0"/>
              <w:rPr>
                <w:sz w:val="20"/>
                <w:szCs w:val="20"/>
                <w:color w:val="auto"/>
              </w:rPr>
            </w:pPr>
            <w:r>
              <w:rPr>
                <w:rFonts w:ascii="Arial" w:cs="Arial" w:eastAsia="Arial" w:hAnsi="Arial"/>
                <w:sz w:val="18"/>
                <w:szCs w:val="18"/>
                <w:color w:val="auto"/>
              </w:rPr>
              <w:t>F-26</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420" w:type="dxa"/>
            <w:vAlign w:val="bottom"/>
          </w:tcPr>
          <w:p>
            <w:pPr>
              <w:spacing w:after="0"/>
              <w:rPr>
                <w:sz w:val="24"/>
                <w:szCs w:val="24"/>
                <w:color w:val="auto"/>
              </w:rPr>
            </w:pPr>
          </w:p>
        </w:tc>
        <w:tc>
          <w:tcPr>
            <w:tcW w:w="458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18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$142 million and $28 million during the years ended December 31, 2022 and 2021, respectively, and the future amortization expense through 2026 is estimated as follows (in millions):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shd w:val="clear" w:color="auto" w:fill="CCEEFF"/>
          </w:tcPr>
          <w:p>
            <w:pPr>
              <w:jc w:val="right"/>
              <w:ind w:right="4190"/>
              <w:spacing w:after="0"/>
              <w:rPr>
                <w:sz w:val="20"/>
                <w:szCs w:val="20"/>
                <w:color w:val="auto"/>
              </w:rPr>
            </w:pPr>
            <w:r>
              <w:rPr>
                <w:rFonts w:ascii="Arial" w:cs="Arial" w:eastAsia="Arial" w:hAnsi="Arial"/>
                <w:sz w:val="18"/>
                <w:szCs w:val="18"/>
                <w:color w:val="auto"/>
                <w:w w:val="89"/>
              </w:rPr>
              <w:t>2023</w:t>
            </w:r>
          </w:p>
        </w:tc>
        <w:tc>
          <w:tcPr>
            <w:tcW w:w="5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4660" w:type="dxa"/>
            <w:vAlign w:val="bottom"/>
          </w:tcPr>
          <w:p>
            <w:pPr>
              <w:jc w:val="right"/>
              <w:ind w:right="4190"/>
              <w:spacing w:after="0"/>
              <w:rPr>
                <w:sz w:val="20"/>
                <w:szCs w:val="20"/>
                <w:color w:val="auto"/>
              </w:rPr>
            </w:pPr>
            <w:r>
              <w:rPr>
                <w:rFonts w:ascii="Arial" w:cs="Arial" w:eastAsia="Arial" w:hAnsi="Arial"/>
                <w:sz w:val="18"/>
                <w:szCs w:val="18"/>
                <w:color w:val="auto"/>
                <w:w w:val="89"/>
              </w:rPr>
              <w:t>2024</w:t>
            </w:r>
          </w:p>
        </w:tc>
        <w:tc>
          <w:tcPr>
            <w:tcW w:w="526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4660" w:type="dxa"/>
            <w:vAlign w:val="bottom"/>
            <w:shd w:val="clear" w:color="auto" w:fill="CCEEFF"/>
          </w:tcPr>
          <w:p>
            <w:pPr>
              <w:jc w:val="right"/>
              <w:ind w:right="4190"/>
              <w:spacing w:after="0"/>
              <w:rPr>
                <w:sz w:val="20"/>
                <w:szCs w:val="20"/>
                <w:color w:val="auto"/>
              </w:rPr>
            </w:pPr>
            <w:r>
              <w:rPr>
                <w:rFonts w:ascii="Arial" w:cs="Arial" w:eastAsia="Arial" w:hAnsi="Arial"/>
                <w:sz w:val="18"/>
                <w:szCs w:val="18"/>
                <w:color w:val="auto"/>
                <w:w w:val="89"/>
              </w:rPr>
              <w:t>2025</w:t>
            </w:r>
          </w:p>
        </w:tc>
        <w:tc>
          <w:tcPr>
            <w:tcW w:w="5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660" w:type="dxa"/>
            <w:vAlign w:val="bottom"/>
          </w:tcPr>
          <w:p>
            <w:pPr>
              <w:jc w:val="right"/>
              <w:ind w:right="4190"/>
              <w:spacing w:after="0"/>
              <w:rPr>
                <w:sz w:val="20"/>
                <w:szCs w:val="20"/>
                <w:color w:val="auto"/>
              </w:rPr>
            </w:pPr>
            <w:r>
              <w:rPr>
                <w:rFonts w:ascii="Arial" w:cs="Arial" w:eastAsia="Arial" w:hAnsi="Arial"/>
                <w:sz w:val="18"/>
                <w:szCs w:val="18"/>
                <w:color w:val="auto"/>
                <w:w w:val="89"/>
              </w:rPr>
              <w:t>2026</w:t>
            </w:r>
          </w:p>
        </w:tc>
        <w:tc>
          <w:tcPr>
            <w:tcW w:w="526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322"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5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Distributions of available cash from the Permian JV to us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us.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MSA, distributions will be allocated as follows (in millions):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Available Cash</w:t>
            </w:r>
          </w:p>
        </w:tc>
        <w:tc>
          <w:tcPr>
            <w:tcW w:w="1360" w:type="dxa"/>
            <w:vAlign w:val="bottom"/>
          </w:tcPr>
          <w:p>
            <w:pPr>
              <w:spacing w:after="0"/>
              <w:rPr>
                <w:sz w:val="16"/>
                <w:szCs w:val="16"/>
                <w:color w:val="auto"/>
              </w:rPr>
            </w:pPr>
          </w:p>
        </w:tc>
        <w:tc>
          <w:tcPr>
            <w:tcW w:w="3100" w:type="dxa"/>
            <w:vAlign w:val="bottom"/>
            <w:gridSpan w:val="3"/>
          </w:tcPr>
          <w:p>
            <w:pPr>
              <w:ind w:left="80"/>
              <w:spacing w:after="0"/>
              <w:rPr>
                <w:sz w:val="20"/>
                <w:szCs w:val="20"/>
                <w:color w:val="auto"/>
              </w:rPr>
            </w:pPr>
            <w:r>
              <w:rPr>
                <w:rFonts w:ascii="Arial" w:cs="Arial" w:eastAsia="Arial" w:hAnsi="Arial"/>
                <w:sz w:val="14"/>
                <w:szCs w:val="14"/>
                <w:b w:val="1"/>
                <w:bCs w:val="1"/>
                <w:color w:val="auto"/>
              </w:rPr>
              <w:t>Distributions Percentages</w:t>
            </w:r>
          </w:p>
        </w:tc>
        <w:tc>
          <w:tcPr>
            <w:tcW w:w="0" w:type="dxa"/>
            <w:vAlign w:val="bottom"/>
          </w:tcPr>
          <w:p>
            <w:pPr>
              <w:spacing w:after="0"/>
              <w:rPr>
                <w:sz w:val="1"/>
                <w:szCs w:val="1"/>
                <w:color w:val="auto"/>
              </w:rPr>
            </w:pPr>
          </w:p>
        </w:tc>
      </w:tr>
      <w:tr>
        <w:trPr>
          <w:trHeight w:val="25"/>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Tier</w:t>
            </w:r>
          </w:p>
        </w:tc>
        <w:tc>
          <w:tcPr>
            <w:tcW w:w="44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gridSpan w:val="2"/>
            <w:vMerge w:val="continue"/>
          </w:tcPr>
          <w:p>
            <w:pPr>
              <w:spacing w:after="0"/>
              <w:rPr>
                <w:sz w:val="18"/>
                <w:szCs w:val="18"/>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Annualized</w:t>
            </w:r>
          </w:p>
        </w:tc>
        <w:tc>
          <w:tcPr>
            <w:tcW w:w="1360" w:type="dxa"/>
            <w:vAlign w:val="bottom"/>
          </w:tcPr>
          <w:p>
            <w:pPr>
              <w:ind w:left="940"/>
              <w:spacing w:after="0"/>
              <w:rPr>
                <w:sz w:val="20"/>
                <w:szCs w:val="20"/>
                <w:color w:val="auto"/>
              </w:rPr>
            </w:pPr>
            <w:r>
              <w:rPr>
                <w:rFonts w:ascii="Arial" w:cs="Arial" w:eastAsia="Arial" w:hAnsi="Arial"/>
                <w:sz w:val="14"/>
                <w:szCs w:val="14"/>
                <w:b w:val="1"/>
                <w:bCs w:val="1"/>
                <w:color w:val="auto"/>
              </w:rPr>
              <w:t>PAA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ind w:left="920"/>
              <w:spacing w:after="0"/>
              <w:rPr>
                <w:sz w:val="20"/>
                <w:szCs w:val="20"/>
                <w:color w:val="auto"/>
              </w:rPr>
            </w:pPr>
            <w:r>
              <w:rPr>
                <w:rFonts w:ascii="Arial" w:cs="Arial" w:eastAsia="Arial" w:hAnsi="Arial"/>
                <w:sz w:val="14"/>
                <w:szCs w:val="14"/>
                <w:b w:val="1"/>
                <w:bCs w:val="1"/>
                <w:color w:val="auto"/>
              </w:rPr>
              <w:t>Oryx</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Up to $300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88"/>
              </w:rPr>
              <w:t>50%</w:t>
            </w: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$300 - $428</w:t>
            </w:r>
          </w:p>
        </w:tc>
        <w:tc>
          <w:tcPr>
            <w:tcW w:w="120" w:type="dxa"/>
            <w:vAlign w:val="bottom"/>
          </w:tcPr>
          <w:p>
            <w:pPr>
              <w:spacing w:after="0"/>
              <w:rPr>
                <w:sz w:val="19"/>
                <w:szCs w:val="19"/>
                <w:color w:val="auto"/>
              </w:rPr>
            </w:pPr>
          </w:p>
        </w:tc>
        <w:tc>
          <w:tcPr>
            <w:tcW w:w="1360" w:type="dxa"/>
            <w:vAlign w:val="bottom"/>
          </w:tcPr>
          <w:p>
            <w:pPr>
              <w:jc w:val="center"/>
              <w:ind w:left="734"/>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$428 - $815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8"/>
              </w:rPr>
              <w:t>65%</w:t>
            </w:r>
          </w:p>
        </w:tc>
        <w:tc>
          <w:tcPr>
            <w:tcW w:w="310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0"/>
                <w:szCs w:val="20"/>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$815 and above</w:t>
            </w:r>
          </w:p>
        </w:tc>
        <w:tc>
          <w:tcPr>
            <w:tcW w:w="1360" w:type="dxa"/>
            <w:vAlign w:val="bottom"/>
          </w:tcPr>
          <w:p>
            <w:pPr>
              <w:jc w:val="center"/>
              <w:ind w:left="714"/>
              <w:spacing w:after="0"/>
              <w:rPr>
                <w:sz w:val="20"/>
                <w:szCs w:val="20"/>
                <w:color w:val="auto"/>
              </w:rPr>
            </w:pPr>
            <w:r>
              <w:rPr>
                <w:rFonts w:ascii="Arial" w:cs="Arial" w:eastAsia="Arial" w:hAnsi="Arial"/>
                <w:sz w:val="18"/>
                <w:szCs w:val="18"/>
                <w:color w:val="auto"/>
                <w:w w:val="88"/>
              </w:rPr>
              <w:t>70%</w:t>
            </w:r>
          </w:p>
        </w:tc>
        <w:tc>
          <w:tcPr>
            <w:tcW w:w="3100" w:type="dxa"/>
            <w:vAlign w:val="bottom"/>
            <w:gridSpan w:val="3"/>
          </w:tcPr>
          <w:p>
            <w:pPr>
              <w:ind w:left="18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Oryx Midstream is a portfolio company of Stonepeak Infrastructure Partners (“Stonepeak”). Affiliates of Stonepeak own approximately 8.9% of our outstanding Series A preferred units, which equates to less than 1% of our outstanding common units and Series A preferred units (our “common unit equivalents”) combined.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and Other Financial Results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PAA and Oryx Midstream, and gives effect to the joint venture formation as if it had occurred on January 1, 2020.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2020; furthermore, this financial information is not intended to be a projection of future results (in millions, except per unit amounts):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42,359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23,536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(2,898)</w:t>
            </w: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(3,098)</w:t>
            </w: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Basic and diluted net income/(loss) per common unit</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spacing w:after="0" w:line="21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2020, we received cash proceeds of $451 million, primarily from the sale of:</w:t>
      </w:r>
    </w:p>
    <w:p>
      <w:pPr>
        <w:spacing w:after="0" w:line="185" w:lineRule="exact"/>
        <w:rPr>
          <w:sz w:val="20"/>
          <w:szCs w:val="20"/>
          <w:color w:val="auto"/>
        </w:rPr>
      </w:pPr>
    </w:p>
    <w:p>
      <w:pPr>
        <w:ind w:left="980" w:right="38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Los Angeles Basin crude oil terminals previously included in our Crude Oil segment for proceeds of approximately $200 million, subject to certain adjustments;</w:t>
      </w:r>
    </w:p>
    <w:p>
      <w:pPr>
        <w:spacing w:after="0" w:line="129"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NGL terminals previously included in our NGL segment for proceeds of approximately $163 million (including $22 million related to a multi-year supply agreement related to the sale), subject to certain adjustments; and</w:t>
      </w:r>
    </w:p>
    <w:p>
      <w:pPr>
        <w:spacing w:after="0" w:line="143"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10% ownership interest in Saddlehorn Pipeline Company, LLC (“Saddlehorn”) for proceeds of approximately $78 million, including working capital adjustments (see Note 9 for additional information).</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recognized a loss related to these asset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December 2022, we entered into a definitive agreement to sell our 21% non-operated/undivided joint interest in the Keyera Fort Saskatchewan facility to Keyera Corporation for approximately CAD$365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This transaction closed in February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represented our estimate of the cost of capital of a theoretical market participant as of March 31, 2020. As a result of the impairment test, we concluded that the carrying value of each of our reporting units exceeded their respective fair values, resulting in an impairment charge for the entire goodwill balance for each reporting unit.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4"/>
                <w:szCs w:val="14"/>
                <w:color w:val="auto"/>
              </w:rPr>
            </w:pPr>
          </w:p>
        </w:tc>
        <w:tc>
          <w:tcPr>
            <w:tcW w:w="2240" w:type="dxa"/>
            <w:vAlign w:val="bottom"/>
            <w:gridSpan w:val="4"/>
            <w:vMerge w:val="restart"/>
          </w:tcPr>
          <w:p>
            <w:pPr>
              <w:jc w:val="right"/>
              <w:ind w:right="571"/>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Interest at</w:t>
            </w:r>
          </w:p>
        </w:tc>
        <w:tc>
          <w:tcPr>
            <w:tcW w:w="28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86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5"/>
              </w:rPr>
              <w:t>Type of Operation</w:t>
            </w:r>
          </w:p>
        </w:tc>
        <w:tc>
          <w:tcPr>
            <w:tcW w:w="12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 (“BridgeTex”)</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Cactus II </w:t>
            </w:r>
            <w:r>
              <w:rPr>
                <w:rFonts w:ascii="Arial" w:cs="Arial" w:eastAsia="Arial" w:hAnsi="Arial"/>
                <w:sz w:val="23"/>
                <w:szCs w:val="23"/>
                <w:color w:val="auto"/>
                <w:vertAlign w:val="superscript"/>
              </w:rPr>
              <w:t>(2)</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gridSpan w:val="3"/>
          </w:tcPr>
          <w:p>
            <w:pPr>
              <w:ind w:left="20"/>
              <w:spacing w:after="0"/>
              <w:rPr>
                <w:sz w:val="20"/>
                <w:szCs w:val="20"/>
                <w:color w:val="auto"/>
              </w:rPr>
            </w:pPr>
            <w:r>
              <w:rPr>
                <w:rFonts w:ascii="Arial" w:cs="Arial" w:eastAsia="Arial" w:hAnsi="Arial"/>
                <w:sz w:val="18"/>
                <w:szCs w:val="18"/>
                <w:color w:val="auto"/>
              </w:rPr>
              <w:t>Diamond Pipeline LLC (“Diamond”)</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Eagle Ford Pipeline LLC (“Eagle Ford Pipeline”)</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 Ford</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3"/>
          </w:tcPr>
          <w:p>
            <w:pPr>
              <w:ind w:left="180"/>
              <w:spacing w:after="0"/>
              <w:rPr>
                <w:sz w:val="20"/>
                <w:szCs w:val="20"/>
                <w:color w:val="auto"/>
              </w:rPr>
            </w:pPr>
            <w:r>
              <w:rPr>
                <w:rFonts w:ascii="Arial" w:cs="Arial" w:eastAsia="Arial" w:hAnsi="Arial"/>
                <w:sz w:val="18"/>
                <w:szCs w:val="18"/>
                <w:color w:val="auto"/>
              </w:rPr>
              <w:t>Terminals”)</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OMOG JV LLC (“OMOG”) </w:t>
            </w:r>
            <w:r>
              <w:rPr>
                <w:rFonts w:ascii="Arial" w:cs="Arial" w:eastAsia="Arial" w:hAnsi="Arial"/>
                <w:sz w:val="23"/>
                <w:szCs w:val="23"/>
                <w:color w:val="auto"/>
                <w:vertAlign w:val="superscript"/>
              </w:rPr>
              <w:t>(3)</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tcPr>
          <w:p>
            <w:pPr>
              <w:ind w:left="20"/>
              <w:spacing w:after="0"/>
              <w:rPr>
                <w:sz w:val="20"/>
                <w:szCs w:val="20"/>
                <w:color w:val="auto"/>
              </w:rPr>
            </w:pPr>
            <w:r>
              <w:rPr>
                <w:rFonts w:ascii="Arial" w:cs="Arial" w:eastAsia="Arial" w:hAnsi="Arial"/>
                <w:sz w:val="18"/>
                <w:szCs w:val="18"/>
                <w:color w:val="auto"/>
              </w:rPr>
              <w:t>Saddlehorn</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White Cliffs Pipeline, LLC</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Wink to Webster Pipeline LLC (“W2W Pipeline”) </w:t>
            </w:r>
            <w:r>
              <w:rPr>
                <w:rFonts w:ascii="Arial" w:cs="Arial" w:eastAsia="Arial" w:hAnsi="Arial"/>
                <w:sz w:val="23"/>
                <w:szCs w:val="23"/>
                <w:color w:val="auto"/>
                <w:vertAlign w:val="superscript"/>
              </w:rPr>
              <w:t>(4)</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(5)</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financial results from these entities are reported in our Crude Oil segment.</w:t>
      </w:r>
    </w:p>
    <w:p>
      <w:pPr>
        <w:spacing w:after="0" w:line="117" w:lineRule="exact"/>
        <w:rPr>
          <w:sz w:val="20"/>
          <w:szCs w:val="20"/>
          <w:color w:val="auto"/>
        </w:rPr>
      </w:pPr>
    </w:p>
    <w:p>
      <w:pPr>
        <w:jc w:val="both"/>
        <w:ind w:left="20" w:right="300" w:hanging="11"/>
        <w:spacing w:after="0" w:line="263" w:lineRule="auto"/>
        <w:rPr>
          <w:sz w:val="20"/>
          <w:szCs w:val="20"/>
          <w:color w:val="auto"/>
        </w:rPr>
      </w:pPr>
      <w:r>
        <w:rPr>
          <w:rFonts w:ascii="Arial" w:cs="Arial" w:eastAsia="Arial" w:hAnsi="Arial"/>
          <w:sz w:val="18"/>
          <w:szCs w:val="18"/>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76" w:lineRule="exact"/>
        <w:rPr>
          <w:sz w:val="20"/>
          <w:szCs w:val="20"/>
          <w:color w:val="auto"/>
        </w:rPr>
      </w:pPr>
    </w:p>
    <w:p>
      <w:pPr>
        <w:ind w:left="20" w:right="360" w:hanging="11"/>
        <w:spacing w:after="0" w:line="277" w:lineRule="auto"/>
        <w:rPr>
          <w:sz w:val="20"/>
          <w:szCs w:val="20"/>
          <w:color w:val="auto"/>
        </w:rPr>
      </w:pPr>
      <w:r>
        <w:rPr>
          <w:rFonts w:ascii="Arial" w:cs="Arial" w:eastAsia="Arial" w:hAnsi="Arial"/>
          <w:sz w:val="18"/>
          <w:szCs w:val="18"/>
          <w:color w:val="auto"/>
        </w:rPr>
        <w:t>In November 2022, we acquired an additional interest in OMOG. Although we own greater than 50% of OMOG, we use the equity method to account for the investment because the joint venture partner still retains substantive participating rights.</w:t>
      </w:r>
    </w:p>
    <w:p>
      <w:pPr>
        <w:spacing w:after="0" w:line="62" w:lineRule="exact"/>
        <w:rPr>
          <w:sz w:val="20"/>
          <w:szCs w:val="20"/>
          <w:color w:val="auto"/>
        </w:rPr>
      </w:pPr>
    </w:p>
    <w:p>
      <w:pPr>
        <w:ind w:left="20" w:right="800" w:hanging="11"/>
        <w:spacing w:after="0" w:line="277" w:lineRule="auto"/>
        <w:rPr>
          <w:sz w:val="20"/>
          <w:szCs w:val="20"/>
          <w:color w:val="auto"/>
        </w:rPr>
      </w:pPr>
      <w:r>
        <w:rPr>
          <w:rFonts w:ascii="Arial" w:cs="Arial" w:eastAsia="Arial" w:hAnsi="Arial"/>
          <w:sz w:val="18"/>
          <w:szCs w:val="18"/>
          <w:color w:val="auto"/>
        </w:rPr>
        <w:t>Although we own less than 20% of W2W Pipeline, we use the equity method to account for the investment because we believe we have significant influence over the financial and operating decisions of the company.</w:t>
      </w:r>
    </w:p>
    <w:p>
      <w:pPr>
        <w:spacing w:after="0" w:line="200" w:lineRule="exact"/>
        <w:rPr>
          <w:sz w:val="20"/>
          <w:szCs w:val="20"/>
          <w:color w:val="auto"/>
        </w:rPr>
      </w:pPr>
    </w:p>
    <w:p>
      <w:pPr>
        <w:sectPr>
          <w:pgSz w:w="11900" w:h="16838" w:orient="portrait"/>
          <w:cols w:equalWidth="0" w:num="2">
            <w:col w:w="140" w:space="500"/>
            <w:col w:w="10580"/>
          </w:cols>
          <w:pgMar w:left="320" w:top="130" w:right="359" w:bottom="1440" w:gutter="0" w:footer="0" w:header="0"/>
          <w:type w:val="continuous"/>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right="160" w:hanging="652"/>
        <w:spacing w:after="0" w:line="227"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In July 2022, we acquired the remaining 50% interest in Advantage. Prior to the acquisition, our 50% interest in Advantage was accounted for as an equity method investment. See Note 7 for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fourth quarter of 2022, through a non-monetary transaction, we acquired an additional interest in OMOG in exchange for the contribution of portions of two pipeline systems. Subsequent to the transaction, our ownership interest in OMOG increased to 57% from 40%. We continue to account for OMOG as an equity method investment. The transaction resulted in a loss of approximately $25 million, which represents the difference between the fair value and historical book value of the assets contributed. This loss is reflected in “Gains (losses) on/(impairment of) investments in unconsolidated entities, net” on our Consolidated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the year ended December 31, 2020, we recognized losses as a result of the write-down of certain of our investments in unconsolidated entities, as discussed further below. Such amounts are reflected in “Gains (losses) on/(impairment of) investments in unconsolidated entities, net” on our Consolidated Statement of Operations.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STACK. </w:t>
      </w:r>
      <w:r>
        <w:rPr>
          <w:rFonts w:ascii="Arial" w:cs="Arial" w:eastAsia="Arial" w:hAnsi="Arial"/>
          <w:sz w:val="16"/>
          <w:szCs w:val="16"/>
          <w:color w:val="auto"/>
        </w:rPr>
        <w:t>During the third quarter of 2020, we determined that there was an other-than-temporary impairment of our investment in STACK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LLC as a result of a continued decline of 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represented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93"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i w:val="1"/>
          <w:iCs w:val="1"/>
          <w:color w:val="auto"/>
        </w:rPr>
        <w:t>Red Oak</w:t>
      </w:r>
      <w:r>
        <w:rPr>
          <w:rFonts w:ascii="Arial" w:cs="Arial" w:eastAsia="Arial" w:hAnsi="Arial"/>
          <w:sz w:val="16"/>
          <w:szCs w:val="16"/>
          <w:color w:val="auto"/>
        </w:rPr>
        <w:t>. In June 2019, we formed Red Oak Pipeline LLC (“Red Oak”), a joint venture with a subsidiary of Phillips 66 and in which we own a</w:t>
      </w:r>
      <w:r>
        <w:rPr>
          <w:rFonts w:ascii="Arial" w:cs="Arial" w:eastAsia="Arial" w:hAnsi="Arial"/>
          <w:sz w:val="16"/>
          <w:szCs w:val="16"/>
          <w:i w:val="1"/>
          <w:iCs w:val="1"/>
          <w:color w:val="auto"/>
        </w:rPr>
        <w:t xml:space="preserve"> </w:t>
      </w:r>
      <w:r>
        <w:rPr>
          <w:rFonts w:ascii="Arial" w:cs="Arial" w:eastAsia="Arial" w:hAnsi="Arial"/>
          <w:sz w:val="16"/>
          <w:szCs w:val="16"/>
          <w:color w:val="auto"/>
        </w:rPr>
        <w:t>50% interest, to develop a new crude oil pipeline project. In 2020, the partners of Red Oak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184" w:lineRule="exact"/>
        <w:rPr>
          <w:sz w:val="20"/>
          <w:szCs w:val="20"/>
          <w:color w:val="auto"/>
        </w:rPr>
      </w:pPr>
    </w:p>
    <w:p>
      <w:pPr>
        <w:ind w:right="540" w:firstLine="648"/>
        <w:spacing w:after="0" w:line="324" w:lineRule="auto"/>
        <w:rPr>
          <w:sz w:val="20"/>
          <w:szCs w:val="20"/>
          <w:color w:val="auto"/>
        </w:rPr>
      </w:pPr>
      <w:r>
        <w:rPr>
          <w:rFonts w:ascii="Arial" w:cs="Arial" w:eastAsia="Arial" w:hAnsi="Arial"/>
          <w:sz w:val="16"/>
          <w:szCs w:val="16"/>
          <w:i w:val="1"/>
          <w:iCs w:val="1"/>
          <w:color w:val="auto"/>
        </w:rPr>
        <w:t xml:space="preserve">Other investments. </w:t>
      </w:r>
      <w:r>
        <w:rPr>
          <w:rFonts w:ascii="Arial" w:cs="Arial" w:eastAsia="Arial" w:hAnsi="Arial"/>
          <w:sz w:val="16"/>
          <w:szCs w:val="16"/>
          <w:color w:val="auto"/>
        </w:rPr>
        <w:t>During the first quarter of 2020, we also recognized a loss of $43 million related to the write-down of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included in “Other investments” in the table above due to an other-than-temporary impairment related to a decline in market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i w:val="1"/>
          <w:iCs w:val="1"/>
          <w:color w:val="auto"/>
        </w:rPr>
        <w:t xml:space="preserve">Saddlehorn. </w:t>
      </w:r>
      <w:r>
        <w:rPr>
          <w:rFonts w:ascii="Arial" w:cs="Arial" w:eastAsia="Arial" w:hAnsi="Arial"/>
          <w:sz w:val="16"/>
          <w:szCs w:val="16"/>
          <w:color w:val="auto"/>
        </w:rPr>
        <w:t>In February 2020, we sold a 10% ownership interest in Saddlehorn for proceeds of approximately $78 million. We recorded a gain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$21 million related to this sale, which is included in “Gains (losses) on/(impairment of) investments in unconsolidated entities, net” on our Consolidated Statement of Operations. We continue to account for our remaining 30% interest in Saddlehorn under the equity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generally fund our portion of development, construction or capital investment projects of our equity method investees through capital contributions. During the years ended December 31, 2022, 2021 and 2020, we made cash contributions of $13 million, $82 million and $445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investments in unconsolidated entities exceeded our share of the underlying equity in the net assets of such entities by $204 million and $223 million at December 31, 2022 and 2021,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2022 and 2021 was attributable to goodwill related to our ownership interest in BridgeTex and Capline LLC with the remaining basis difference primarily related to capitalized interest incurred during construction of the assets of our unconsolidated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8,879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41"/>
        </w:trPr>
        <w:tc>
          <w:tcPr>
            <w:tcW w:w="6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
        </w:trPr>
        <w:tc>
          <w:tcPr>
            <w:tcW w:w="6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1,004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10—Intangible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consisted of the following (in millions):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Estimated Useful</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Lives (Years)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w w:val="93"/>
              </w:rPr>
              <w:t xml:space="preserve">Customer contracts and relationships </w:t>
            </w:r>
            <w:r>
              <w:rPr>
                <w:rFonts w:ascii="Arial" w:cs="Arial" w:eastAsia="Arial" w:hAnsi="Arial"/>
                <w:sz w:val="23"/>
                <w:szCs w:val="23"/>
                <w:color w:val="auto"/>
                <w:w w:val="93"/>
                <w:vertAlign w:val="superscript"/>
              </w:rPr>
              <w:t>(1)</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 – 29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agreements</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1"/>
              </w:rPr>
              <w:t>1 – 70</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60" w:hanging="11"/>
        <w:spacing w:after="0" w:line="277" w:lineRule="auto"/>
        <w:rPr>
          <w:sz w:val="20"/>
          <w:szCs w:val="20"/>
          <w:color w:val="auto"/>
        </w:rPr>
      </w:pPr>
      <w:r>
        <w:rPr>
          <w:rFonts w:ascii="Arial" w:cs="Arial" w:eastAsia="Arial" w:hAnsi="Arial"/>
          <w:sz w:val="18"/>
          <w:szCs w:val="18"/>
          <w:color w:val="auto"/>
        </w:rPr>
        <w:t>The increase in intangible assets related to Customer contracts and relationships in 2022 is primarily associated with the assets recognized upon consolidation of Cactus II. See Note 7 for additional information.</w:t>
      </w:r>
    </w:p>
    <w:p>
      <w:pPr>
        <w:spacing w:after="0" w:line="62"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197"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ind w:right="70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2022.</w:t>
      </w:r>
    </w:p>
    <w:p>
      <w:pPr>
        <w:spacing w:after="0" w:line="1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majority of our finite-lived intangible assets are amortized under the declining balance method. Amortization expense for finite-lived intangible assets for the years ended December 31, 2022, 2021 and 2020 was $254 million, $122 million and $90 million, respectively. We estimate that our amortization expense related to finite-lived intangible assets for the next five years will be as follows (in millions):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80" w:type="dxa"/>
            <w:vAlign w:val="bottom"/>
            <w:shd w:val="clear" w:color="auto" w:fill="CCEEFF"/>
          </w:tcPr>
          <w:p>
            <w:pPr>
              <w:jc w:val="right"/>
              <w:ind w:right="4610"/>
              <w:spacing w:after="0"/>
              <w:rPr>
                <w:sz w:val="20"/>
                <w:szCs w:val="20"/>
                <w:color w:val="auto"/>
              </w:rPr>
            </w:pPr>
            <w:r>
              <w:rPr>
                <w:rFonts w:ascii="Arial" w:cs="Arial" w:eastAsia="Arial" w:hAnsi="Arial"/>
                <w:sz w:val="18"/>
                <w:szCs w:val="18"/>
                <w:color w:val="auto"/>
                <w:w w:val="89"/>
              </w:rPr>
              <w:t>2023</w:t>
            </w:r>
          </w:p>
        </w:tc>
        <w:tc>
          <w:tcPr>
            <w:tcW w:w="5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5080" w:type="dxa"/>
            <w:vAlign w:val="bottom"/>
          </w:tcPr>
          <w:p>
            <w:pPr>
              <w:jc w:val="right"/>
              <w:ind w:right="4610"/>
              <w:spacing w:after="0"/>
              <w:rPr>
                <w:sz w:val="20"/>
                <w:szCs w:val="20"/>
                <w:color w:val="auto"/>
              </w:rPr>
            </w:pPr>
            <w:r>
              <w:rPr>
                <w:rFonts w:ascii="Arial" w:cs="Arial" w:eastAsia="Arial" w:hAnsi="Arial"/>
                <w:sz w:val="18"/>
                <w:szCs w:val="18"/>
                <w:color w:val="auto"/>
                <w:w w:val="89"/>
              </w:rPr>
              <w:t>2024</w:t>
            </w:r>
          </w:p>
        </w:tc>
        <w:tc>
          <w:tcPr>
            <w:tcW w:w="5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5080" w:type="dxa"/>
            <w:vAlign w:val="bottom"/>
            <w:shd w:val="clear" w:color="auto" w:fill="CCEEFF"/>
          </w:tcPr>
          <w:p>
            <w:pPr>
              <w:jc w:val="right"/>
              <w:ind w:right="4610"/>
              <w:spacing w:after="0"/>
              <w:rPr>
                <w:sz w:val="20"/>
                <w:szCs w:val="20"/>
                <w:color w:val="auto"/>
              </w:rPr>
            </w:pPr>
            <w:r>
              <w:rPr>
                <w:rFonts w:ascii="Arial" w:cs="Arial" w:eastAsia="Arial" w:hAnsi="Arial"/>
                <w:sz w:val="18"/>
                <w:szCs w:val="18"/>
                <w:color w:val="auto"/>
                <w:w w:val="89"/>
              </w:rPr>
              <w:t>2025</w:t>
            </w:r>
          </w:p>
        </w:tc>
        <w:tc>
          <w:tcPr>
            <w:tcW w:w="5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5080" w:type="dxa"/>
            <w:vAlign w:val="bottom"/>
          </w:tcPr>
          <w:p>
            <w:pPr>
              <w:jc w:val="right"/>
              <w:ind w:right="4610"/>
              <w:spacing w:after="0"/>
              <w:rPr>
                <w:sz w:val="20"/>
                <w:szCs w:val="20"/>
                <w:color w:val="auto"/>
              </w:rPr>
            </w:pPr>
            <w:r>
              <w:rPr>
                <w:rFonts w:ascii="Arial" w:cs="Arial" w:eastAsia="Arial" w:hAnsi="Arial"/>
                <w:sz w:val="18"/>
                <w:szCs w:val="18"/>
                <w:color w:val="auto"/>
                <w:w w:val="89"/>
              </w:rPr>
              <w:t>2026</w:t>
            </w:r>
          </w:p>
        </w:tc>
        <w:tc>
          <w:tcPr>
            <w:tcW w:w="5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080" w:type="dxa"/>
            <w:vAlign w:val="bottom"/>
            <w:shd w:val="clear" w:color="auto" w:fill="CCEEFF"/>
          </w:tcPr>
          <w:p>
            <w:pPr>
              <w:jc w:val="right"/>
              <w:ind w:right="4610"/>
              <w:spacing w:after="0"/>
              <w:rPr>
                <w:sz w:val="20"/>
                <w:szCs w:val="20"/>
                <w:color w:val="auto"/>
              </w:rPr>
            </w:pPr>
            <w:r>
              <w:rPr>
                <w:rFonts w:ascii="Arial" w:cs="Arial" w:eastAsia="Arial" w:hAnsi="Arial"/>
                <w:sz w:val="18"/>
                <w:szCs w:val="18"/>
                <w:color w:val="auto"/>
                <w:w w:val="89"/>
              </w:rPr>
              <w:t>2027</w:t>
            </w:r>
          </w:p>
        </w:tc>
        <w:tc>
          <w:tcPr>
            <w:tcW w:w="5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3.65% senior notes due June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57"/>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3.60% senior notes due November 2024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4.65% senior notes due October 2025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4.50% senior notes due December 2026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3.55% senior notes due December 2029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3.80% senior notes due September 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6.70% senior notes due May 2036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5.15% senior notes due June 2042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4.30% senior notes due January 2043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4.70% senior notes due June 2044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4.90% senior notes due February 2045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75" w:lineRule="exact"/>
        <w:rPr>
          <w:sz w:val="20"/>
          <w:szCs w:val="20"/>
          <w:color w:val="auto"/>
        </w:rPr>
      </w:pPr>
    </w:p>
    <w:p>
      <w:pPr>
        <w:ind w:left="660" w:right="40" w:hanging="652"/>
        <w:spacing w:after="0" w:line="243" w:lineRule="auto"/>
        <w:tabs>
          <w:tab w:leader="none" w:pos="64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Our fixed-rate senior notes had a face value of approximately $8.4 billion and $9.1 billion at December 31, 2022 and 2021, respectively. We estimated the aggregate fair value of these notes to be approximately $7.6 billion and $9.9 billion at December 31, 2022 and 2021,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Senior secured hedged inventory facility</w:t>
      </w:r>
      <w:r>
        <w:rPr>
          <w:rFonts w:ascii="Arial" w:cs="Arial" w:eastAsia="Arial" w:hAnsi="Arial"/>
          <w:sz w:val="17"/>
          <w:szCs w:val="17"/>
          <w:color w:val="auto"/>
        </w:rPr>
        <w:t>. We have a credit agreement that provides for a senior secured hedged inventory facility with a committed</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2022, we amended this agreement to, among other things, extend the maturity date of the facility to August 2025 for each existing lender.</w:t>
      </w:r>
    </w:p>
    <w:p>
      <w:pPr>
        <w:spacing w:after="0" w:line="20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Senior unsecured revolving credit facility. </w:t>
      </w:r>
      <w:r>
        <w:rPr>
          <w:rFonts w:ascii="Arial" w:cs="Arial" w:eastAsia="Arial" w:hAnsi="Arial"/>
          <w:sz w:val="16"/>
          <w:szCs w:val="16"/>
          <w:color w:val="auto"/>
        </w:rPr>
        <w:t>We have a credit agreement that provides for a senior unsecured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2022, we amended this agreement to, among other things, extend the maturity date of the facility to August 2027 for each existing lender.</w:t>
      </w:r>
    </w:p>
    <w:p>
      <w:pPr>
        <w:spacing w:after="0" w:line="19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GO Zone term loans</w:t>
      </w:r>
      <w:r>
        <w:rPr>
          <w:rFonts w:ascii="Arial" w:cs="Arial" w:eastAsia="Arial" w:hAnsi="Arial"/>
          <w:sz w:val="16"/>
          <w:szCs w:val="16"/>
          <w:color w:val="auto"/>
        </w:rPr>
        <w:t>. In August 2021, in connection with the sale of the Southern Pines natural gas storage facility, we repaid $200 million of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(the “Go Zone term loans”) that were initially assumed in connection with our acquisition of that facility. See Note 7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21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Senior Notes Issuances. </w:t>
      </w:r>
      <w:r>
        <w:rPr>
          <w:rFonts w:ascii="Arial" w:cs="Arial" w:eastAsia="Arial" w:hAnsi="Arial"/>
          <w:sz w:val="18"/>
          <w:szCs w:val="18"/>
          <w:color w:val="auto"/>
        </w:rPr>
        <w:t>The table below summarizes our issuances of senior unsecured notes during the three years ended December 31, 2022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Description</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Payment Dates</w:t>
            </w:r>
          </w:p>
        </w:tc>
      </w:tr>
      <w:tr>
        <w:trPr>
          <w:trHeight w:val="25"/>
        </w:trPr>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3.80% Senior Notes issued at 99.794% of face value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Senior Notes Repayments. </w:t>
      </w:r>
      <w:r>
        <w:rPr>
          <w:rFonts w:ascii="Arial" w:cs="Arial" w:eastAsia="Arial" w:hAnsi="Arial"/>
          <w:sz w:val="16"/>
          <w:szCs w:val="16"/>
          <w:color w:val="auto"/>
        </w:rPr>
        <w:t>During the three years ended December 31, 2022, we repaid the following senior unsecured notes in full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1500" w:type="dxa"/>
            <w:vAlign w:val="bottom"/>
          </w:tcPr>
          <w:p>
            <w:pPr>
              <w:spacing w:after="0"/>
              <w:rPr>
                <w:sz w:val="16"/>
                <w:szCs w:val="16"/>
                <w:color w:val="auto"/>
              </w:rPr>
            </w:pPr>
          </w:p>
        </w:tc>
        <w:tc>
          <w:tcPr>
            <w:tcW w:w="402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90"/>
              </w:rPr>
              <w:t>Description</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1"/>
                <w:szCs w:val="11"/>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$750 million 3.65% Senior Notes due June 2022</w:t>
            </w:r>
          </w:p>
        </w:tc>
        <w:tc>
          <w:tcPr>
            <w:tcW w:w="2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March 2022</w:t>
            </w:r>
          </w:p>
        </w:tc>
        <w:tc>
          <w:tcPr>
            <w:tcW w:w="620" w:type="dxa"/>
            <w:vAlign w:val="bottom"/>
            <w:shd w:val="clear" w:color="auto" w:fill="CCEEFF"/>
          </w:tcPr>
          <w:p>
            <w:pPr>
              <w:jc w:val="right"/>
              <w:ind w:right="302"/>
              <w:spacing w:after="0" w:line="136"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520" w:type="dxa"/>
            <w:vAlign w:val="bottom"/>
            <w:gridSpan w:val="3"/>
            <w:vMerge w:val="continue"/>
            <w:shd w:val="clear" w:color="auto" w:fill="CCEEFF"/>
          </w:tcPr>
          <w:p>
            <w:pPr>
              <w:spacing w:after="0"/>
              <w:rPr>
                <w:sz w:val="7"/>
                <w:szCs w:val="7"/>
                <w:color w:val="auto"/>
              </w:rPr>
            </w:pPr>
          </w:p>
        </w:tc>
        <w:tc>
          <w:tcPr>
            <w:tcW w:w="270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2"/>
                <w:szCs w:val="12"/>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$600 million 5.00% Senior Notes due February 2021</w:t>
            </w:r>
          </w:p>
        </w:tc>
        <w:tc>
          <w:tcPr>
            <w:tcW w:w="2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November 2020</w:t>
            </w:r>
          </w:p>
        </w:tc>
        <w:tc>
          <w:tcPr>
            <w:tcW w:w="62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520" w:type="dxa"/>
            <w:vAlign w:val="bottom"/>
            <w:gridSpan w:val="3"/>
            <w:vMerge w:val="continue"/>
            <w:shd w:val="clear" w:color="auto" w:fill="CCEEFF"/>
          </w:tcPr>
          <w:p>
            <w:pPr>
              <w:spacing w:after="0"/>
              <w:rPr>
                <w:sz w:val="7"/>
                <w:szCs w:val="7"/>
                <w:color w:val="auto"/>
              </w:rPr>
            </w:pPr>
          </w:p>
        </w:tc>
        <w:tc>
          <w:tcPr>
            <w:tcW w:w="270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repaid these senior notes with cash on hand and borrowings under our commercial paper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repaid these senior notes with proceeds from our 3.80% senior notes issued in June 2020 and cash on hand.</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7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January 31, 2023, we redeemed our 2.85%, $400 million senior notes. We utilized a combination of cash on hand and borrowings under our commercial paper program to repay these senior notes.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weighted average maturity of our senior notes outstanding at December 31, 2022 was approximately 9 years. The following table presents the aggregate contractually scheduled maturities of such senior notes for the next five years and thereafter. The amounts presented exclude unamortized discounts and debt issuance costs.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Calendar Year</w:t>
            </w:r>
          </w:p>
        </w:tc>
        <w:tc>
          <w:tcPr>
            <w:tcW w:w="22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9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214"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incur indebtedness, including finance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2022, we were in compliance with the covenants contained in our credit agreements and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years ended December 31, 2022, 2021 and 2020 were approximately $25.0 billion, $32.5 billion and $29.3 billion, respectively. Total repayments under our credit facilities and commercial paper program were approximately $25.0 billion, $33.2 billion and $29.0 billion for the years ended December 31, 2022,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connection with our merchant activities, we provide certain suppliers with irrevocable standby letters of credit to secure our obligation for the purchase and transportation of crude oil and NGL. These letters of credit are issued under our senior unsecured revolving credit facility and our senior secured hedged inventory facility, and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$102 million and $98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December 31, 2022,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A Preferred Units</w:t>
      </w:r>
    </w:p>
    <w:p>
      <w:pPr>
        <w:spacing w:after="0" w:line="256"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initial Series A preferred unit distribution is equal to $0.525 per unit ($2.10 per unit annualized). For a period of 30 days following (a) the fifth anniversary of the January 28, 2016 issuance date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 In January 2023, we received notice that the Series A preferred unitholders elected the Preferred Distribution Rate Reset Option. Effective January 31, 2023, the new Series A preferred unit distribution rate is equal to 9.375% per annum on the original Issue Price (approximately $2.46 per unit annualized). The quarterly distribution to be paid in May 2023 will reflect a pro-rated amount of $0.58516 per unit.</w:t>
      </w:r>
    </w:p>
    <w:p>
      <w:pPr>
        <w:spacing w:after="0" w:line="20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in whole or in part, subject to certain minimum conversion amounts, if the closing price of our common units is greater than 150% of the Issue Price for the preceding 20 trading days.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B Preferred Units</w:t>
      </w:r>
    </w:p>
    <w:p>
      <w:pPr>
        <w:spacing w:after="0" w:line="25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2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On and after November 15, 2022, distributions on the Series B preferred units accumulate for each distribution period at a percentage of the liquidation preference equal to the applicable three-month LIBOR (or, if discontinued, a substitute or successor rate determined by the calculation agent) plus a spread of 4.11%. The distribution rate for the quarterly distribution paid on February 15, 2023 was 8.71614% ($22.27 per Series B preferred unit).</w:t>
      </w:r>
    </w:p>
    <w:p>
      <w:pPr>
        <w:spacing w:after="0" w:line="20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16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Series A</w:t>
            </w:r>
          </w:p>
        </w:tc>
        <w:tc>
          <w:tcPr>
            <w:tcW w:w="16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Series B</w:t>
            </w:r>
          </w:p>
        </w:tc>
        <w:tc>
          <w:tcPr>
            <w:tcW w:w="15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48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at December 31, 2019</w:t>
            </w: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728,028,576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2"/>
              </w:rPr>
              <w:t>Repurchase and cancellation of common units under the Common Equity Repurchase</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8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00"/>
              <w:spacing w:after="0"/>
              <w:rPr>
                <w:sz w:val="20"/>
                <w:szCs w:val="20"/>
                <w:color w:val="auto"/>
              </w:rPr>
            </w:pPr>
            <w:r>
              <w:rPr>
                <w:rFonts w:ascii="Arial" w:cs="Arial" w:eastAsia="Arial" w:hAnsi="Arial"/>
                <w:sz w:val="18"/>
                <w:szCs w:val="18"/>
                <w:color w:val="auto"/>
              </w:rPr>
              <w:t>Program</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(6,222,748)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574,588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722,380,416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Repurchase and cancellation of common units under the Common Equity Repurchase</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(18,061,583)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672,707</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704,991,540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2"/>
              </w:rPr>
              <w:t>Repurchase and cancellation of common units under the Common Equity Repurchase</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8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00"/>
              <w:spacing w:after="0"/>
              <w:rPr>
                <w:sz w:val="20"/>
                <w:szCs w:val="20"/>
                <w:color w:val="auto"/>
              </w:rPr>
            </w:pPr>
            <w:r>
              <w:rPr>
                <w:rFonts w:ascii="Arial" w:cs="Arial" w:eastAsia="Arial" w:hAnsi="Arial"/>
                <w:sz w:val="18"/>
                <w:szCs w:val="18"/>
                <w:color w:val="auto"/>
              </w:rPr>
              <w:t>Program</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(7,251,361)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614,319</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698,354,498</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Common Equity Repurchase Program. </w:t>
      </w:r>
      <w:r>
        <w:rPr>
          <w:rFonts w:ascii="Arial" w:cs="Arial" w:eastAsia="Arial" w:hAnsi="Arial"/>
          <w:sz w:val="16"/>
          <w:szCs w:val="16"/>
          <w:color w:val="auto"/>
        </w:rPr>
        <w:t>In November 2020, the board of directors of PAGP GP approved a $500 million common equity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years ended December 31, 2022, 2021 and 2020, we repurchased common units under the Program through open market purchases for a total purchase price of $74 million, $178 million and $50 million, respectively, including commissions and fees. The repurchased common units were canceled immediately upon acquisition, as were the PAGP Class C shares held by us associated with the repurchased common units. At December 31, 2022, the remaining available capacity under the Program was $198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4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Unitholders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our preferred unitholders during the years presented (in millions, except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40" w:type="dxa"/>
            <w:vAlign w:val="bottom"/>
            <w:gridSpan w:val="5"/>
          </w:tcPr>
          <w:p>
            <w:pPr>
              <w:jc w:val="right"/>
              <w:ind w:right="2075"/>
              <w:spacing w:after="0"/>
              <w:rPr>
                <w:sz w:val="20"/>
                <w:szCs w:val="20"/>
                <w:color w:val="auto"/>
              </w:rPr>
            </w:pPr>
            <w:r>
              <w:rPr>
                <w:rFonts w:ascii="Arial" w:cs="Arial" w:eastAsia="Arial" w:hAnsi="Arial"/>
                <w:sz w:val="14"/>
                <w:szCs w:val="14"/>
                <w:b w:val="1"/>
                <w:bCs w:val="1"/>
                <w:color w:val="auto"/>
              </w:rPr>
              <w:t>Cash Distributions</w:t>
            </w:r>
          </w:p>
        </w:tc>
        <w:tc>
          <w:tcPr>
            <w:tcW w:w="0" w:type="dxa"/>
            <w:vAlign w:val="bottom"/>
          </w:tcPr>
          <w:p>
            <w:pPr>
              <w:spacing w:after="0"/>
              <w:rPr>
                <w:sz w:val="1"/>
                <w:szCs w:val="1"/>
                <w:color w:val="auto"/>
              </w:rPr>
            </w:pPr>
          </w:p>
        </w:tc>
      </w:tr>
      <w:tr>
        <w:trPr>
          <w:trHeight w:val="26"/>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Series A Preferred Unitholders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right"/>
              <w:ind w:right="275"/>
              <w:spacing w:after="0"/>
              <w:rPr>
                <w:sz w:val="20"/>
                <w:szCs w:val="20"/>
                <w:color w:val="auto"/>
              </w:rPr>
            </w:pPr>
            <w:r>
              <w:rPr>
                <w:rFonts w:ascii="Arial" w:cs="Arial" w:eastAsia="Arial" w:hAnsi="Arial"/>
                <w:sz w:val="14"/>
                <w:szCs w:val="14"/>
                <w:b w:val="1"/>
                <w:bCs w:val="1"/>
                <w:color w:val="auto"/>
                <w:w w:val="99"/>
              </w:rPr>
              <w:t>Series B Preferred Unitholders</w:t>
            </w:r>
          </w:p>
        </w:tc>
        <w:tc>
          <w:tcPr>
            <w:tcW w:w="0" w:type="dxa"/>
            <w:vAlign w:val="bottom"/>
          </w:tcPr>
          <w:p>
            <w:pPr>
              <w:spacing w:after="0"/>
              <w:rPr>
                <w:sz w:val="1"/>
                <w:szCs w:val="1"/>
                <w:color w:val="auto"/>
              </w:rPr>
            </w:pPr>
          </w:p>
        </w:tc>
      </w:tr>
      <w:tr>
        <w:trPr>
          <w:trHeight w:val="230"/>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February 14, 2023, we paid a cash distribution of $37 million to our Series A preferred unitholders. At December 31, 2022, such amount was accrued as distributions payable in “Other current liabilities” on our Consolidated Balance Sheet. On February 15, 2023, we paid a cash distribution of $18 million to our Series B preferred unitholders. At December 31, 2022, approximately $9 million of accrued distributions payable to our Series B preferred unitholders was included in “Other current liabilities” on our Consolidated Balance Sheet.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common unitholders during the years presented (in millions, except per unit data):</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Distributions Paid</w:t>
            </w: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26"/>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Public</w:t>
            </w:r>
          </w:p>
        </w:tc>
        <w:tc>
          <w:tcPr>
            <w:tcW w:w="300" w:type="dxa"/>
            <w:vAlign w:val="bottom"/>
          </w:tcPr>
          <w:p>
            <w:pPr>
              <w:spacing w:after="0"/>
              <w:rPr>
                <w:sz w:val="16"/>
                <w:szCs w:val="16"/>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AAP</w:t>
            </w:r>
          </w:p>
        </w:tc>
        <w:tc>
          <w:tcPr>
            <w:tcW w:w="50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right"/>
              <w:ind w:right="59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29"/>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0.8325</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right w:val="single" w:sz="8" w:color="auto"/>
            </w:tcBorders>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0.7200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right w:val="single" w:sz="8" w:color="auto"/>
            </w:tcBorders>
            <w:shd w:val="clear" w:color="auto" w:fill="CCEEFF"/>
          </w:tcPr>
          <w:p>
            <w:pPr>
              <w:spacing w:after="0"/>
              <w:rPr>
                <w:sz w:val="19"/>
                <w:szCs w:val="19"/>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On January 9, 2023, we declared a cash distribution of $0.2675 per unit on our outstanding common units. The total distribution of $187 million was paid on February 14, 2023 to unitholders of record at the close of business on January 31, 2023, for the period from October 1, 2022 through December 31, 2022. Of this amount, approximately $65 million was paid to 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As of December 31, 2022, noncontrolling interests in our subsidiaries consisted of (i) a 35% interest in the Permian JV, (ii) a 30% interest in Cactus II and (iii) a 33% interest in Red River Pipeline Company LLC (“Red River”). The transactions resulting in the recognition of noncontrolling interests in the Permian JV and Cactus II are described below.</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214"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$2.6 billion and an increase to our partners’ capital excluding noncontrolling interests of approximately $595 million. See Note 7 for more details regarding this transaction.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the terms of the governing documents for the Permian JV, with the exception of the initial 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during the years presented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2020</w:t>
            </w:r>
          </w:p>
        </w:tc>
      </w:tr>
      <w:tr>
        <w:trPr>
          <w:trHeight w:val="26"/>
        </w:trPr>
        <w:tc>
          <w:tcPr>
            <w:tcW w:w="38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44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Permian JV </w:t>
            </w:r>
            <w:r>
              <w:rPr>
                <w:rFonts w:ascii="Arial" w:cs="Arial" w:eastAsia="Arial" w:hAnsi="Arial"/>
                <w:sz w:val="23"/>
                <w:szCs w:val="23"/>
                <w:color w:val="auto"/>
                <w:vertAlign w:val="superscript"/>
              </w:rPr>
              <w:t>(1)</w:t>
            </w: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Cactus II</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River</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10</w:t>
            </w:r>
          </w:p>
        </w:tc>
      </w:tr>
      <w:tr>
        <w:trPr>
          <w:trHeight w:val="223"/>
        </w:trPr>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10</w:t>
            </w:r>
          </w:p>
        </w:tc>
      </w:tr>
      <w:tr>
        <w:trPr>
          <w:trHeight w:val="21"/>
        </w:trPr>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tcPr>
          <w:p>
            <w:pPr>
              <w:spacing w:after="0"/>
              <w:rPr>
                <w:sz w:val="12"/>
                <w:szCs w:val="12"/>
                <w:color w:val="auto"/>
              </w:rPr>
            </w:pPr>
          </w:p>
        </w:tc>
      </w:tr>
    </w:tbl>
    <w:p>
      <w:pPr>
        <w:spacing w:after="0" w:line="175" w:lineRule="exact"/>
        <w:rPr>
          <w:sz w:val="20"/>
          <w:szCs w:val="20"/>
          <w:color w:val="auto"/>
        </w:rPr>
      </w:pPr>
    </w:p>
    <w:p>
      <w:pPr>
        <w:ind w:left="660" w:right="460" w:hanging="652"/>
        <w:spacing w:after="0" w:line="227" w:lineRule="auto"/>
        <w:tabs>
          <w:tab w:leader="none" w:pos="648"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The initial distribution from the Permian JV was paid during the first quarter of 2022, with approximately $54 million paid to noncontrolling interests.</w:t>
      </w:r>
    </w:p>
    <w:p>
      <w:pPr>
        <w:spacing w:after="0" w:line="225"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Contributions from Noncontrolling Interests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year ended December 31, 2022, we received a contribution of $26 million from noncontrolling interests in the Permian JV associated with the acquisition of the remaining 50% interest in Advantage. See Note 7 for additional information.</w:t>
      </w:r>
    </w:p>
    <w:p>
      <w:pPr>
        <w:spacing w:after="0" w:line="19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the year ended December 31, 2020, we received contributions from noncontrolling interests in Red River of $12 million related to a pipeline capacity expansion.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5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firstLine="607"/>
        <w:spacing w:after="0" w:line="311" w:lineRule="auto"/>
        <w:rPr>
          <w:sz w:val="20"/>
          <w:szCs w:val="20"/>
          <w:color w:val="auto"/>
        </w:rPr>
      </w:pPr>
      <w:r>
        <w:rPr>
          <w:rFonts w:ascii="Arial" w:cs="Arial" w:eastAsia="Arial" w:hAnsi="Arial"/>
          <w:sz w:val="16"/>
          <w:szCs w:val="16"/>
          <w:color w:val="auto"/>
        </w:rPr>
        <w:t>At December 31, 2022 and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the normal course of our operations, we purchase and sell commodities. We use derivatives to manage the associated risks and to optimize profits. As of December 31, 2022, net derivative positions related to these activities included:</w:t>
      </w:r>
    </w:p>
    <w:p>
      <w:pPr>
        <w:spacing w:after="0" w:line="62" w:lineRule="exact"/>
        <w:rPr>
          <w:sz w:val="20"/>
          <w:szCs w:val="20"/>
          <w:color w:val="auto"/>
        </w:rPr>
      </w:pPr>
    </w:p>
    <w:p>
      <w:pPr>
        <w:ind w:left="980" w:right="140" w:hanging="324"/>
        <w:spacing w:after="0" w:line="27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net long position of 3.9 million barrels associated with our crude oil purchases, which was unwound ratably during January 2023 to match monthly average pricing.</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net short time spread position of 6.4 million barrels, which hedges a portion of our anticipated crude oil lease gathering purchases through December 2024.</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net crude oil basis spread position of 2.6 million barrels at multiple locations through December 2024. These derivatives allow us to lock in grade and location basis differentials.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net short position of 18.4 million barrels through June 2024 related to anticipated net sales of crude oil and NGL inventory.</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Notional Volume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 Tenor</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47.7 Bcf</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(9.1)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(2.1) MMbls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(0.8)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7.3 Bcf</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r>
        <w:trPr>
          <w:trHeight w:val="304"/>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0.4 TWh</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gain/(loss) from commodity derivative activity</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133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Arial" w:cs="Arial" w:eastAsia="Arial" w:hAnsi="Arial"/>
                <w:sz w:val="18"/>
                <w:szCs w:val="18"/>
                <w:color w:val="auto"/>
              </w:rPr>
              <w:t>173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(47)</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Net broker receivable/(payable)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259</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96"/>
        </w:trPr>
        <w:tc>
          <w:tcPr>
            <w:tcW w:w="2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Arial" w:cs="Arial" w:eastAsia="Arial" w:hAnsi="Arial"/>
                <w:sz w:val="13"/>
                <w:szCs w:val="13"/>
                <w:b w:val="1"/>
                <w:bCs w:val="1"/>
                <w:color w:val="auto"/>
                <w:w w:val="98"/>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Arial" w:cs="Arial" w:eastAsia="Arial" w:hAnsi="Arial"/>
                <w:sz w:val="13"/>
                <w:szCs w:val="13"/>
                <w:b w:val="1"/>
                <w:bCs w:val="1"/>
                <w:color w:val="auto"/>
                <w:w w:val="98"/>
              </w:rPr>
              <w:t>the Balance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5"/>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line="189"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December 31, 2022 (notional amounts in millions):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3060" w:type="dxa"/>
            <w:vAlign w:val="bottom"/>
            <w:gridSpan w:val="2"/>
            <w:vMerge w:val="continue"/>
          </w:tcPr>
          <w:p>
            <w:pPr>
              <w:spacing w:after="0"/>
              <w:rPr>
                <w:sz w:val="16"/>
                <w:szCs w:val="16"/>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Derivatives Employed</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Locked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5"/>
        </w:trPr>
        <w:tc>
          <w:tcPr>
            <w:tcW w:w="29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7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4 forward starting swaps</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0.74 %</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December 31, 2022, there was a net loss of $107 million deferred in AOCI. The deferred net loss recorded in AOCI is expected to be reclassified to future earnings contemporaneously with interest expense accruals associated with underlying debt instruments. During the year ended December 31, 2022, we terminated $100 million of notional interest hedging instruments previously expected to terminate in June 2024 for proceeds of $42 million. The early termination did not result in an impact to the relationship between the hedging instrument and hedged item. We estimate that substantially all of the remaining deferred loss will be reclassified to earnings through 2054 as the underlying hedged transactions impact earnings. A portion of these amounts is based on market prices as of December 31, 2022;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31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December 31, 2022, the net fair value of our interest rate hedges, which were included in “Other current assets” and “Other long-term assets, net” on our Consolidated Balance Sheet, totaled $75 million and $45 million, respectively. At December 31, 2021, the net fair value of these hedges totaled $65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 This embedded derivative is not designated in a hedging relationship for accounting purposes and corresponding changes in fair value are recognized in “Other income/(expense), net” in our Consolidated Statement of Operations. For the years ended December 31, 2022, 2021 and 2020 we recognized a net loss of $189 million, a net gain of $14 million and a net gain of $20 million, respectively. The fair value of the Preferred Distribution Rate Reset Option, which was included in “Other long-term liabilities and deferred credits” on our Consolidated Balance Sheets, totaled $189 million and less than $1 million at December 31, 2022 and 2021, respectively. In January 2023, we received notice that the Series A preferred unitholders elected the Preferred Distribution Rate Reset Option, which will be effective for the distribution paid in May 2023. See Note 12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9"/>
          </w:tcPr>
          <w:p>
            <w:pPr>
              <w:ind w:left="540"/>
              <w:spacing w:after="0"/>
              <w:rPr>
                <w:sz w:val="20"/>
                <w:szCs w:val="20"/>
                <w:color w:val="auto"/>
              </w:rPr>
            </w:pPr>
            <w:r>
              <w:rPr>
                <w:rFonts w:ascii="Arial" w:cs="Arial" w:eastAsia="Arial" w:hAnsi="Arial"/>
                <w:sz w:val="14"/>
                <w:szCs w:val="14"/>
                <w:b w:val="1"/>
                <w:bCs w:val="1"/>
                <w:color w:val="auto"/>
                <w:w w:val="94"/>
              </w:rPr>
              <w:t>Fair Value as of December 31, 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8"/>
                <w:szCs w:val="18"/>
                <w:b w:val="1"/>
                <w:bCs w:val="1"/>
                <w:color w:val="auto"/>
                <w:vertAlign w:val="superscript"/>
              </w:rPr>
              <w:t>(1)</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6"/>
              </w:rPr>
              <w:t>222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center"/>
              <w:ind w:left="114"/>
              <w:spacing w:after="0"/>
              <w:rPr>
                <w:sz w:val="20"/>
                <w:szCs w:val="20"/>
                <w:color w:val="auto"/>
              </w:rPr>
            </w:pPr>
            <w:r>
              <w:rPr>
                <w:rFonts w:ascii="Arial" w:cs="Arial" w:eastAsia="Arial" w:hAnsi="Arial"/>
                <w:sz w:val="18"/>
                <w:szCs w:val="18"/>
                <w:color w:val="auto"/>
                <w:w w:val="86"/>
              </w:rPr>
              <w:t>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0"/>
              </w:rPr>
              <w:t>(189)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gridSpan w:val="3"/>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114"/>
              <w:spacing w:after="0"/>
              <w:rPr>
                <w:sz w:val="20"/>
                <w:szCs w:val="20"/>
                <w:color w:val="auto"/>
              </w:rPr>
            </w:pPr>
            <w:r>
              <w:rPr>
                <w:rFonts w:ascii="Arial" w:cs="Arial" w:eastAsia="Arial" w:hAnsi="Arial"/>
                <w:sz w:val="18"/>
                <w:szCs w:val="18"/>
                <w:color w:val="auto"/>
                <w:w w:val="86"/>
              </w:rPr>
              <w:t>153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52"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10"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52" w:lineRule="exact"/>
        <w:rPr>
          <w:rFonts w:ascii="Arial" w:cs="Arial" w:eastAsia="Arial" w:hAnsi="Arial"/>
          <w:sz w:val="23"/>
          <w:szCs w:val="23"/>
          <w:color w:val="auto"/>
          <w:vertAlign w:val="superscript"/>
        </w:rPr>
      </w:pPr>
    </w:p>
    <w:p>
      <w:pPr>
        <w:ind w:left="660" w:right="4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210"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52" w:lineRule="exact"/>
        <w:rPr>
          <w:rFonts w:ascii="Arial" w:cs="Arial" w:eastAsia="Arial" w:hAnsi="Arial"/>
          <w:sz w:val="23"/>
          <w:szCs w:val="23"/>
          <w:color w:val="auto"/>
          <w:vertAlign w:val="superscript"/>
        </w:rPr>
      </w:pPr>
    </w:p>
    <w:p>
      <w:pPr>
        <w:ind w:left="660" w:right="88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73" w:lineRule="exact"/>
        <w:rPr>
          <w:rFonts w:ascii="Arial" w:cs="Arial" w:eastAsia="Arial" w:hAnsi="Arial"/>
          <w:sz w:val="23"/>
          <w:szCs w:val="23"/>
          <w:color w:val="auto"/>
          <w:vertAlign w:val="superscript"/>
        </w:rPr>
      </w:pPr>
    </w:p>
    <w:p>
      <w:pPr>
        <w:ind w:left="660" w:right="14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Product sales revenues.</w:t>
      </w:r>
    </w:p>
    <w:p>
      <w:pPr>
        <w:spacing w:after="0" w:line="214" w:lineRule="exact"/>
        <w:rPr>
          <w:rFonts w:ascii="Arial" w:cs="Arial" w:eastAsia="Arial" w:hAnsi="Arial"/>
          <w:sz w:val="23"/>
          <w:szCs w:val="23"/>
          <w:color w:val="auto"/>
          <w:vertAlign w:val="superscript"/>
        </w:rPr>
      </w:pPr>
    </w:p>
    <w:p>
      <w:pPr>
        <w:ind w:left="660" w:right="60"/>
        <w:spacing w:after="0" w:line="255" w:lineRule="auto"/>
        <w:rPr>
          <w:rFonts w:ascii="Arial" w:cs="Arial" w:eastAsia="Arial" w:hAnsi="Arial"/>
          <w:sz w:val="23"/>
          <w:szCs w:val="23"/>
          <w:color w:val="auto"/>
          <w:vertAlign w:val="superscript"/>
        </w:rPr>
      </w:pPr>
      <w:r>
        <w:rPr>
          <w:rFonts w:ascii="Arial" w:cs="Arial" w:eastAsia="Arial" w:hAnsi="Arial"/>
          <w:sz w:val="18"/>
          <w:szCs w:val="18"/>
          <w:color w:val="auto"/>
        </w:rPr>
        <w:t>The fair value of the Preferred Distribution Rate Reset Option of our Series A preferred units contained in our partnership agreement is based on a Monte Carlo valuation model that estimates the fair value of the Series A preferred units with and without the Preferred Distribution Rate Reset Option. This model relies on assumptions for forecasts for the ten-year U.S. Treasury rate, our common unit price, and default probabilities which impact timing estimates as to when the option will be exercised. In general, an increase in ten-year U.S. Treasury rates would increase the fair value of the feature and our liability and expense. The future impact on “Other income/(expense), net” depends on how inputs change in relation to one another.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5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sectPr>
      </w:pPr>
    </w:p>
    <w:p>
      <w:pPr>
        <w:ind w:left="40"/>
        <w:spacing w:after="0"/>
        <w:rPr>
          <w:sz w:val="20"/>
          <w:szCs w:val="20"/>
          <w:color w:val="auto"/>
        </w:rPr>
      </w:pPr>
      <w:r>
        <w:rPr>
          <w:rFonts w:ascii="Arial" w:cs="Arial" w:eastAsia="Arial" w:hAnsi="Arial"/>
          <w:sz w:val="16"/>
          <w:szCs w:val="16"/>
          <w:color w:val="auto"/>
        </w:rPr>
        <w:t>Change in unrealized gains/(losses) included in earnings relating to Level 3 derivatives still held at the end of the</w:t>
      </w:r>
    </w:p>
    <w:p>
      <w:pPr>
        <w:spacing w:after="0" w:line="7" w:lineRule="exact"/>
        <w:rPr>
          <w:sz w:val="20"/>
          <w:szCs w:val="20"/>
          <w:color w:val="auto"/>
        </w:rPr>
      </w:pPr>
    </w:p>
    <w:p>
      <w:pPr>
        <w:ind w:left="200"/>
        <w:spacing w:after="0"/>
        <w:tabs>
          <w:tab w:leader="none" w:pos="8260" w:val="left"/>
        </w:tabs>
        <w:rPr>
          <w:sz w:val="20"/>
          <w:szCs w:val="20"/>
          <w:color w:val="auto"/>
        </w:rPr>
      </w:pPr>
      <w:r>
        <w:rPr>
          <w:rFonts w:ascii="Arial" w:cs="Arial" w:eastAsia="Arial" w:hAnsi="Arial"/>
          <w:sz w:val="13"/>
          <w:szCs w:val="13"/>
          <w:color w:val="auto"/>
        </w:rPr>
        <w:t>period</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520" w:val="left"/>
          <w:tab w:leader="none" w:pos="1680" w:val="left"/>
        </w:tabs>
        <w:rPr>
          <w:sz w:val="20"/>
          <w:szCs w:val="20"/>
          <w:color w:val="auto"/>
        </w:rPr>
      </w:pPr>
      <w:r>
        <w:rPr>
          <w:rFonts w:ascii="Arial" w:cs="Arial" w:eastAsia="Arial" w:hAnsi="Arial"/>
          <w:sz w:val="18"/>
          <w:szCs w:val="18"/>
          <w:color w:val="auto"/>
        </w:rPr>
        <w:t>(189)</w:t>
        <w:tab/>
        <w:t>$</w:t>
      </w:r>
      <w:r>
        <w:rPr>
          <w:sz w:val="20"/>
          <w:szCs w:val="20"/>
          <w:color w:val="auto"/>
        </w:rPr>
        <w:tab/>
      </w:r>
      <w:r>
        <w:rPr>
          <w:rFonts w:ascii="Arial" w:cs="Arial" w:eastAsia="Arial" w:hAnsi="Arial"/>
          <w:sz w:val="16"/>
          <w:szCs w:val="16"/>
          <w:color w:val="auto"/>
        </w:rPr>
        <w:t>15</w:t>
      </w:r>
    </w:p>
    <w:p>
      <w:pPr>
        <w:spacing w:after="0" w:line="200" w:lineRule="exact"/>
        <w:rPr>
          <w:sz w:val="20"/>
          <w:szCs w:val="20"/>
          <w:color w:val="auto"/>
        </w:rPr>
      </w:pPr>
    </w:p>
    <w:p>
      <w:pPr>
        <w:sectPr>
          <w:pgSz w:w="11900" w:h="16838" w:orient="portrait"/>
          <w:cols w:equalWidth="0" w:num="2">
            <w:col w:w="8560" w:space="720"/>
            <w:col w:w="1960"/>
          </w:cols>
          <w:pgMar w:left="320" w:top="130"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2"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58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components of lease cost, including both amounts recognized in income and amounts capitalized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Other</w:t>
            </w:r>
            <w:r>
              <w:rPr>
                <w:rFonts w:ascii="Arial" w:cs="Arial" w:eastAsia="Arial" w:hAnsi="Arial"/>
                <w:sz w:val="10"/>
                <w:szCs w:val="10"/>
                <w:color w:val="auto"/>
              </w:rPr>
              <w:t xml:space="preserve"> (1) (2)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760" w:type="dxa"/>
            <w:vAlign w:val="bottom"/>
            <w:gridSpan w:val="3"/>
          </w:tcPr>
          <w:p>
            <w:pPr>
              <w:ind w:left="14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Includes finance lease costs, variable lease costs and sublease income.</w:t>
      </w:r>
    </w:p>
    <w:p>
      <w:pPr>
        <w:spacing w:after="0" w:line="117"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Includes approximately $8 million, $8 million, and $6 million for the years ended December 31, 2022, 2021 and 2020, respectively, associated with leased storage tanks owned by an equity method investee, in which we own a 50% interest.</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7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175"/>
        </w:trPr>
        <w:tc>
          <w:tcPr>
            <w:tcW w:w="6780" w:type="dxa"/>
            <w:vAlign w:val="bottom"/>
          </w:tcPr>
          <w:p>
            <w:pPr>
              <w:ind w:left="20"/>
              <w:spacing w:after="0" w:line="176" w:lineRule="exact"/>
              <w:rPr>
                <w:sz w:val="20"/>
                <w:szCs w:val="20"/>
                <w:color w:val="auto"/>
              </w:rPr>
            </w:pPr>
            <w:r>
              <w:rPr>
                <w:rFonts w:ascii="Arial" w:cs="Arial" w:eastAsia="Arial" w:hAnsi="Arial"/>
                <w:sz w:val="18"/>
                <w:szCs w:val="18"/>
                <w:color w:val="auto"/>
              </w:rPr>
              <w:t>Non-cash change in lease liabilities arising from obtaining new right-of-use assets or</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modifications:</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780" w:type="dxa"/>
            <w:vAlign w:val="bottom"/>
          </w:tcPr>
          <w:p>
            <w:pPr>
              <w:ind w:left="1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9" w:lineRule="exact"/>
        <w:rPr>
          <w:sz w:val="20"/>
          <w:szCs w:val="20"/>
          <w:color w:val="auto"/>
        </w:rPr>
      </w:pPr>
    </w:p>
    <w:p>
      <w:pPr>
        <w:ind w:left="660" w:right="20" w:hanging="652"/>
        <w:spacing w:after="0" w:line="227" w:lineRule="auto"/>
        <w:tabs>
          <w:tab w:leader="none" w:pos="648"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Includes $25 million for the year ended December 31, 2020 associated with leased storage tanks owned by an equity method investee, in which we own a 50% interest.</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Information related to the weighted-average remaining lease term and discount rate is presented in the table below:</w:t>
      </w:r>
    </w:p>
    <w:p>
      <w:pPr>
        <w:spacing w:after="0" w:line="284"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90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0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Consolidated Balance Sheets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220" w:type="dxa"/>
            <w:vAlign w:val="bottom"/>
            <w:vMerge w:val="restart"/>
          </w:tcPr>
          <w:p>
            <w:pPr>
              <w:spacing w:after="0"/>
              <w:rPr>
                <w:sz w:val="2"/>
                <w:szCs w:val="2"/>
                <w:color w:val="auto"/>
              </w:rPr>
            </w:pPr>
          </w:p>
        </w:tc>
        <w:tc>
          <w:tcPr>
            <w:tcW w:w="4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Sheet Location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Long-term operating lease right-of-use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right-of-use assets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Property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Other 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Short-term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8"/>
                <w:szCs w:val="18"/>
                <w:color w:val="auto"/>
                <w:w w:val="91"/>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80" w:hanging="652"/>
        <w:spacing w:after="0" w:line="238" w:lineRule="auto"/>
        <w:tabs>
          <w:tab w:leader="none" w:pos="648" w:val="left"/>
        </w:tabs>
        <w:numPr>
          <w:ilvl w:val="0"/>
          <w:numId w:val="88"/>
        </w:numPr>
        <w:rPr>
          <w:rFonts w:ascii="Arial" w:cs="Arial" w:eastAsia="Arial" w:hAnsi="Arial"/>
          <w:sz w:val="22"/>
          <w:szCs w:val="22"/>
          <w:b w:val="1"/>
          <w:bCs w:val="1"/>
          <w:color w:val="auto"/>
          <w:vertAlign w:val="superscript"/>
        </w:rPr>
      </w:pPr>
      <w:r>
        <w:rPr>
          <w:rFonts w:ascii="Arial" w:cs="Arial" w:eastAsia="Arial" w:hAnsi="Arial"/>
          <w:sz w:val="17"/>
          <w:szCs w:val="17"/>
          <w:color w:val="auto"/>
        </w:rPr>
        <w:t>Includes right-of-use assets of $30 million and $33 million and lease liabilities of $35 million and $35 million as of December 31, 2022 and 2021, respectively, associated with leased storage tanks owned by an equity method investee, in which we own a 50% interest.</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reconciled to our lease liabilities on our Consolidated Balance Sheet (amounts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xml:space="preserve">Finance </w:t>
            </w:r>
            <w:r>
              <w:rPr>
                <w:rFonts w:ascii="Arial" w:cs="Arial" w:eastAsia="Arial" w:hAnsi="Arial"/>
                <w:sz w:val="9"/>
                <w:szCs w:val="9"/>
                <w:b w:val="1"/>
                <w:bCs w:val="1"/>
                <w:color w:val="auto"/>
              </w:rPr>
              <w:t>(2)</w:t>
            </w:r>
          </w:p>
        </w:tc>
      </w:tr>
      <w:tr>
        <w:trPr>
          <w:trHeight w:val="25"/>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2023</w:t>
            </w:r>
          </w:p>
        </w:tc>
        <w:tc>
          <w:tcPr>
            <w:tcW w:w="43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2025</w:t>
            </w: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2027</w:t>
            </w: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Excludes future minimum payments for short-term and other immaterial leases not included on our Consolidated Balance Sheet.</w:t>
      </w:r>
    </w:p>
    <w:p>
      <w:pPr>
        <w:spacing w:after="0" w:line="129" w:lineRule="exact"/>
        <w:rPr>
          <w:sz w:val="20"/>
          <w:szCs w:val="20"/>
          <w:color w:val="auto"/>
        </w:rPr>
      </w:pPr>
    </w:p>
    <w:p>
      <w:pPr>
        <w:ind w:left="20" w:right="720" w:hanging="11"/>
        <w:spacing w:after="0" w:line="308" w:lineRule="auto"/>
        <w:rPr>
          <w:sz w:val="20"/>
          <w:szCs w:val="20"/>
          <w:color w:val="auto"/>
        </w:rPr>
      </w:pPr>
      <w:r>
        <w:rPr>
          <w:rFonts w:ascii="Arial" w:cs="Arial" w:eastAsia="Arial" w:hAnsi="Arial"/>
          <w:sz w:val="17"/>
          <w:szCs w:val="17"/>
          <w:color w:val="auto"/>
        </w:rPr>
        <w:t>Includes payments of approximately $6 million for each of the years ending 2023 through 2027 and approximately $51 million thereafter associated with leased storage tanks owned by an equity method investee, in which we own a 50% interest.</w:t>
      </w:r>
    </w:p>
    <w:p>
      <w:pPr>
        <w:spacing w:after="0" w:line="173"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9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lease revenue for the periods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revenue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3"/>
          <w:szCs w:val="23"/>
          <w:color w:val="auto"/>
          <w:vertAlign w:val="superscript"/>
        </w:rPr>
      </w:pPr>
      <w:r>
        <w:rPr>
          <w:rFonts w:ascii="Arial" w:cs="Arial" w:eastAsia="Arial" w:hAnsi="Arial"/>
          <w:sz w:val="18"/>
          <w:szCs w:val="18"/>
          <w:color w:val="auto"/>
        </w:rPr>
        <w:t>These amounts are included in “Services revenues” on our Consolidated Statements of Operations.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2022. This presentation includes minimum fixed lease payments and does not include an estimate of variable lease consideration. These agreements have remaining lease terms ranging from one year to 19 years. The following table presents the undiscounted cash flows expected to be received related to these agreements (in millions):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Thereafter</w:t>
            </w:r>
          </w:p>
        </w:tc>
      </w:tr>
      <w:tr>
        <w:trPr>
          <w:trHeight w:val="25"/>
        </w:trPr>
        <w:tc>
          <w:tcPr>
            <w:tcW w:w="3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minimum lease revenue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5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2022 and 2021,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2022, 2021, and 2020 was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State income tax</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93"/>
              <w:spacing w:after="0"/>
              <w:rPr>
                <w:sz w:val="20"/>
                <w:szCs w:val="20"/>
                <w:color w:val="auto"/>
              </w:rPr>
            </w:pPr>
            <w:r>
              <w:rPr>
                <w:rFonts w:ascii="Arial" w:cs="Arial" w:eastAsia="Arial" w:hAnsi="Arial"/>
                <w:sz w:val="18"/>
                <w:szCs w:val="18"/>
                <w:color w:val="auto"/>
                <w:w w:val="99"/>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93"/>
              <w:spacing w:after="0"/>
              <w:rPr>
                <w:sz w:val="20"/>
                <w:szCs w:val="20"/>
                <w:color w:val="auto"/>
              </w:rPr>
            </w:pPr>
            <w:r>
              <w:rPr>
                <w:rFonts w:ascii="Arial" w:cs="Arial" w:eastAsia="Arial" w:hAnsi="Arial"/>
                <w:sz w:val="18"/>
                <w:szCs w:val="18"/>
                <w:color w:val="auto"/>
                <w:w w:val="89"/>
              </w:rPr>
              <w:t>51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93"/>
              <w:spacing w:after="0"/>
              <w:rPr>
                <w:sz w:val="20"/>
                <w:szCs w:val="20"/>
                <w:color w:val="auto"/>
              </w:rPr>
            </w:pPr>
            <w:r>
              <w:rPr>
                <w:rFonts w:ascii="Arial" w:cs="Arial" w:eastAsia="Arial" w:hAnsi="Arial"/>
                <w:sz w:val="18"/>
                <w:szCs w:val="18"/>
                <w:color w:val="auto"/>
                <w:w w:val="89"/>
              </w:rPr>
              <w:t>51</w:t>
            </w:r>
          </w:p>
        </w:tc>
      </w:tr>
      <w:tr>
        <w:trPr>
          <w:trHeight w:val="236"/>
        </w:trPr>
        <w:tc>
          <w:tcPr>
            <w:tcW w:w="6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93"/>
              </w:rPr>
              <w:t>(70)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expense/(benefit)</w:t>
            </w: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653"/>
              <w:spacing w:after="0"/>
              <w:rPr>
                <w:sz w:val="20"/>
                <w:szCs w:val="20"/>
                <w:color w:val="auto"/>
              </w:rPr>
            </w:pPr>
            <w:r>
              <w:rPr>
                <w:rFonts w:ascii="Arial" w:cs="Arial" w:eastAsia="Arial" w:hAnsi="Arial"/>
                <w:sz w:val="18"/>
                <w:szCs w:val="18"/>
                <w:color w:val="auto"/>
                <w:w w:val="93"/>
              </w:rPr>
              <w:t>(70)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expense/(benefit)</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53"/>
              <w:spacing w:after="0"/>
              <w:rPr>
                <w:sz w:val="20"/>
                <w:szCs w:val="20"/>
                <w:color w:val="auto"/>
              </w:rPr>
            </w:pPr>
            <w:r>
              <w:rPr>
                <w:rFonts w:ascii="Arial" w:cs="Arial" w:eastAsia="Arial" w:hAnsi="Arial"/>
                <w:sz w:val="18"/>
                <w:szCs w:val="18"/>
                <w:color w:val="auto"/>
                <w:w w:val="93"/>
              </w:rPr>
              <w:t>(19)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1,417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Partnership (earnings)/loss not subject to current Canadian tax</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(686)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2,221</w:t>
            </w:r>
          </w:p>
        </w:tc>
      </w:tr>
      <w:tr>
        <w:trPr>
          <w:trHeight w:val="223"/>
        </w:trPr>
        <w:tc>
          <w:tcPr>
            <w:tcW w:w="67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Canadian federal and provincial corporate tax rate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 at statutory rate</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permanent differences and rate changes</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income tax</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income tax expense/(benefit)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648"/>
        <w:spacing w:after="0" w:line="308" w:lineRule="auto"/>
        <w:rPr>
          <w:sz w:val="20"/>
          <w:szCs w:val="20"/>
          <w:color w:val="auto"/>
        </w:rPr>
      </w:pPr>
      <w:r>
        <w:rPr>
          <w:rFonts w:ascii="Arial" w:cs="Arial" w:eastAsia="Arial" w:hAnsi="Arial"/>
          <w:sz w:val="16"/>
          <w:szCs w:val="16"/>
          <w:color w:val="auto"/>
        </w:rPr>
        <w:t>The Canadian permanent differences and rate changes for the year ended December 31, 2020 primarily related to an impairment of goodwill that was recognized during the year. A portion of the goodwill that was impaired had no basis for Canadian income tax purposes and thus was not a deductible</w:t>
      </w:r>
    </w:p>
    <w:p>
      <w:pPr>
        <w:ind w:right="20"/>
        <w:spacing w:after="0" w:line="293" w:lineRule="auto"/>
        <w:rPr>
          <w:sz w:val="20"/>
          <w:szCs w:val="20"/>
          <w:color w:val="auto"/>
        </w:rPr>
      </w:pPr>
      <w:r>
        <w:rPr>
          <w:rFonts w:ascii="Arial" w:cs="Arial" w:eastAsia="Arial" w:hAnsi="Arial"/>
          <w:sz w:val="18"/>
          <w:szCs w:val="18"/>
          <w:color w:val="auto"/>
        </w:rPr>
        <w:t>expense in determining taxable income, resulting in a permanent difference for Canadian tax purposes. See Note 8 for additional information regarding this impairment.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tax assets and liabilities are aggregated by the applicable tax paying entity and jurisdiction and result from the following (in millions):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940" w:type="dxa"/>
            <w:vAlign w:val="bottom"/>
          </w:tcPr>
          <w:p>
            <w:pPr>
              <w:spacing w:after="0"/>
              <w:rPr>
                <w:sz w:val="19"/>
                <w:szCs w:val="19"/>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57"/>
        </w:trPr>
        <w:tc>
          <w:tcPr>
            <w:tcW w:w="8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in excess of tax values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assets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Balance sheet classification of deferred tax assets/(liabilities):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 and deferred credits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2016 through 2022. Our U.S. and state tax years are generally open to examination from 2019 to 2022.</w:t>
      </w:r>
    </w:p>
    <w:p>
      <w:pPr>
        <w:spacing w:after="0" w:line="19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December 31, 2022, in reference to tax years 2008 to 2017,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$142 million (based on the exchange rate as of December 31, 2022). Payment of a portion of the assessment is required in order to file a notice of objection to dispute the reassessment. Accordingly, we have remitted approximately $115 million (based on the exchange rate as of December 31, 2022)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2022, we believe that our tax position associated with these matters is “more likely than not” to be sustained and have not recognized any amounts for uncertainty in income taxes related to these notices.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16—Major Customers and Concentration of Credit Risk</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2022 and 2021, we owned 528,442,538 and 534,596,831, respectively, Class C shares of PAGP. Each Class C share represents a non-economic limited partner interest in PAGP. The number of Class C shares that we own is equal to the number of outstanding common units and Series A preferred units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Our General Partner and its Affiliates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2022, 2021 and 2020 were $476 million, $467 million and $553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Plains Entities entered into an Omnibus Agreement on November 15, 2016, which provides for the following:</w:t>
      </w:r>
    </w:p>
    <w:p>
      <w:pPr>
        <w:spacing w:after="0" w:line="252" w:lineRule="exact"/>
        <w:rPr>
          <w:sz w:val="20"/>
          <w:szCs w:val="20"/>
          <w:color w:val="auto"/>
        </w:rPr>
      </w:pPr>
    </w:p>
    <w:p>
      <w:pPr>
        <w:ind w:left="660" w:right="20" w:hanging="328"/>
        <w:spacing w:after="0" w:line="238" w:lineRule="auto"/>
        <w:tabs>
          <w:tab w:leader="none" w:pos="647" w:val="left"/>
        </w:tabs>
        <w:numPr>
          <w:ilvl w:val="0"/>
          <w:numId w:val="90"/>
        </w:numPr>
        <w:rPr>
          <w:rFonts w:ascii="Arial" w:cs="Arial" w:eastAsia="Arial" w:hAnsi="Arial"/>
          <w:sz w:val="23"/>
          <w:szCs w:val="23"/>
          <w:b w:val="1"/>
          <w:bCs w:val="1"/>
          <w:color w:val="auto"/>
          <w:vertAlign w:val="superscript"/>
        </w:rPr>
      </w:pPr>
      <w:r>
        <w:rPr>
          <w:rFonts w:ascii="Arial" w:cs="Arial" w:eastAsia="Arial" w:hAnsi="Arial"/>
          <w:sz w:val="18"/>
          <w:szCs w:val="18"/>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2022, 2021 and 2020 were not material;</w:t>
      </w:r>
    </w:p>
    <w:p>
      <w:pPr>
        <w:spacing w:after="0" w:line="228" w:lineRule="exact"/>
        <w:rPr>
          <w:rFonts w:ascii="Arial" w:cs="Arial" w:eastAsia="Arial" w:hAnsi="Arial"/>
          <w:sz w:val="23"/>
          <w:szCs w:val="23"/>
          <w:b w:val="1"/>
          <w:bCs w:val="1"/>
          <w:color w:val="auto"/>
          <w:vertAlign w:val="superscript"/>
        </w:rPr>
      </w:pPr>
    </w:p>
    <w:p>
      <w:pPr>
        <w:ind w:left="660" w:right="140" w:hanging="328"/>
        <w:spacing w:after="0" w:line="308"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73"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other related parties include (i) entities in which we hold investments and account for under the equity method of accounting (see Note 9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2022, no entities met the criteria to be recognized as a principal owner.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August 2021, the board of directors of PAGP GP approved and adopted an amendment to PAGP GP’s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PAGP GP board without being subject to public election. The Amendment also eliminated all previously negotiated rights, including Kayne Anderson’s right, to appoint a PAGP GP board observer under certain circumstances. As a result of these changes, we no longer recognize Kayne Anderson and its affiliates as related parties.</w:t>
      </w:r>
    </w:p>
    <w:p>
      <w:pPr>
        <w:spacing w:after="0" w:line="21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three years ended December 31, 2022,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176"/>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75" w:lineRule="exact"/>
        <w:rPr>
          <w:sz w:val="20"/>
          <w:szCs w:val="20"/>
          <w:color w:val="auto"/>
        </w:rPr>
      </w:pPr>
    </w:p>
    <w:p>
      <w:pPr>
        <w:ind w:left="660" w:right="60" w:hanging="652"/>
        <w:spacing w:after="0" w:line="227" w:lineRule="auto"/>
        <w:tabs>
          <w:tab w:leader="none" w:pos="64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Our receivable and payable amounts with these related parties as reflected on our Consolidated Balance Sheets were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75"/>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88" w:lineRule="exact"/>
        <w:rPr>
          <w:sz w:val="20"/>
          <w:szCs w:val="20"/>
          <w:color w:val="auto"/>
        </w:rPr>
      </w:pPr>
    </w:p>
    <w:p>
      <w:pPr>
        <w:ind w:left="660" w:right="60" w:hanging="652"/>
        <w:spacing w:after="0" w:line="227" w:lineRule="auto"/>
        <w:tabs>
          <w:tab w:leader="none" w:pos="648"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94" w:lineRule="exact"/>
        <w:rPr>
          <w:rFonts w:ascii="Arial" w:cs="Arial" w:eastAsia="Arial" w:hAnsi="Arial"/>
          <w:sz w:val="23"/>
          <w:szCs w:val="23"/>
          <w:color w:val="auto"/>
          <w:vertAlign w:val="superscript"/>
        </w:rPr>
      </w:pPr>
    </w:p>
    <w:p>
      <w:pPr>
        <w:ind w:left="660" w:right="180" w:hanging="652"/>
        <w:spacing w:after="0" w:line="234" w:lineRule="auto"/>
        <w:tabs>
          <w:tab w:leader="none" w:pos="648"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18—Equity-Indexed Compensation Plans</w:t>
      </w:r>
    </w:p>
    <w:p>
      <w:pPr>
        <w:spacing w:after="0" w:line="25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Plains All American 2021 Long-Term Incentive Plan. </w:t>
      </w:r>
      <w:r>
        <w:rPr>
          <w:rFonts w:ascii="Arial" w:cs="Arial" w:eastAsia="Arial" w:hAnsi="Arial"/>
          <w:sz w:val="18"/>
          <w:szCs w:val="18"/>
          <w:color w:val="auto"/>
        </w:rPr>
        <w:t>In May 2021, PAA unitholders approved the Plains All American 2021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which amends, restates, and renames the Plains All American 2013 Long-Term Incentive Plan and authorizes an incremental 20 million PAA common units deliverable upon vesting of awards granted under the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188" w:lineRule="exact"/>
        <w:rPr>
          <w:sz w:val="20"/>
          <w:szCs w:val="20"/>
          <w:color w:val="auto"/>
        </w:rPr>
      </w:pPr>
    </w:p>
    <w:p>
      <w:pPr>
        <w:jc w:val="both"/>
        <w:ind w:right="220" w:firstLine="648"/>
        <w:spacing w:after="0" w:line="293" w:lineRule="auto"/>
        <w:rPr>
          <w:sz w:val="20"/>
          <w:szCs w:val="20"/>
          <w:color w:val="auto"/>
        </w:rPr>
      </w:pPr>
      <w:r>
        <w:rPr>
          <w:rFonts w:ascii="Arial" w:cs="Arial" w:eastAsia="Arial" w:hAnsi="Arial"/>
          <w:sz w:val="16"/>
          <w:szCs w:val="16"/>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2022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LTIP</w:t>
            </w:r>
          </w:p>
        </w:tc>
        <w:tc>
          <w:tcPr>
            <w:tcW w:w="2180" w:type="dxa"/>
            <w:vAlign w:val="bottom"/>
          </w:tcPr>
          <w:p>
            <w:pPr>
              <w:jc w:val="right"/>
              <w:ind w:right="876"/>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000" w:type="dxa"/>
            <w:vAlign w:val="bottom"/>
            <w:gridSpan w:val="3"/>
            <w:vMerge w:val="continue"/>
          </w:tcPr>
          <w:p>
            <w:pPr>
              <w:spacing w:after="0"/>
              <w:rPr>
                <w:sz w:val="16"/>
                <w:szCs w:val="16"/>
                <w:color w:val="auto"/>
              </w:rPr>
            </w:pPr>
          </w:p>
        </w:tc>
        <w:tc>
          <w:tcPr>
            <w:tcW w:w="2180" w:type="dxa"/>
            <w:vAlign w:val="bottom"/>
          </w:tcPr>
          <w:p>
            <w:pPr>
              <w:jc w:val="right"/>
              <w:ind w:right="416"/>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Plains All American 2021 Long-Term Incentive Plan</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Plains All American PNG Successor Long-Term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0" w:type="dxa"/>
            <w:vAlign w:val="bottom"/>
            <w:gridSpan w:val="3"/>
          </w:tcPr>
          <w:p>
            <w:pPr>
              <w:ind w:left="1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40" w:hanging="652"/>
        <w:spacing w:after="0" w:line="227" w:lineRule="auto"/>
        <w:tabs>
          <w:tab w:leader="none" w:pos="648"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Of the 43.5 million total awards authorized, 19.7 million awards are currently available for future grant. The remaining balance has already vested or is currently outstanding.</w:t>
      </w:r>
    </w:p>
    <w:p>
      <w:pPr>
        <w:spacing w:after="0" w:line="22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As of December 31, 2022, 12.9 million LTIP awards were outstanding. Of the awards outstanding, 10.2 million include associated DERs. At December 31, 2022, certain of the outstanding LTIP awards were considered probable of vesting and such awards are expected to vest at various dates between January 2023 and August 2026. As of December 31, 2022, the outstanding awards that are considered probable of vesting have a remaining unrecognized fair value of approximately $65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2022 are summarized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r>
      <w:tr>
        <w:trPr>
          <w:trHeight w:val="248"/>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88" w:lineRule="exact"/>
        <w:rPr>
          <w:sz w:val="20"/>
          <w:szCs w:val="20"/>
          <w:color w:val="auto"/>
        </w:rPr>
      </w:pPr>
    </w:p>
    <w:p>
      <w:pPr>
        <w:ind w:left="660" w:right="460" w:hanging="652"/>
        <w:spacing w:after="0" w:line="227" w:lineRule="auto"/>
        <w:tabs>
          <w:tab w:leader="none" w:pos="648"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right="320" w:hanging="652"/>
        <w:spacing w:after="0" w:line="242" w:lineRule="auto"/>
        <w:tabs>
          <w:tab w:leader="none" w:pos="648"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Primarily includes storage, transportation and pipeline throughput agreements, as well as certain rights-of-way easements. Expense associated with our storage, transportation and pipeline throughput agreements was approximately $336 million, $270 million and $265 million for 2022, 2021 and 2020,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11"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At December 31, 2022, our estimated undiscounted reserve for environmental liabilities (excluding liabilities related to the Line 901 incident, as discussed further below) totaled $55 million, of which $10 million was classified as short-term and $45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Consolidated Balance Sheets. At December 31, 2022 and 2021, we had recorded receivables (excluding receivables related to the Line 901 incident) totaling $4 million and $11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Consolidated Balance Sheets.</w:t>
      </w:r>
    </w:p>
    <w:p>
      <w:pPr>
        <w:spacing w:after="0" w:line="22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1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after various other unitholder derivative lawsuits were either dismissed or consolidated, one derivative suit proceeded in Delaware Chancery Court. Generally, the plaintiffs in the derivative lawsuit claimed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We also posted notice on our website and mailed copies of the notice to all record holders of PAA common units as of August 10, 2022. The key terms of the Derivative Settlement include a payment of Plaintiff’s attorneys’ fees by our insurers in the amount of approximately $1.0 million and the agreement of Plains to comply with various covenants regarding the implementation or continuation of certain Board oversight practices with respect to pipeline integrity. At a settlement hearing held on November 1, 2022, the Delaware Chancery Court approved the terms of the Derivative Settlement.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first proceeding, the plaintiffs seek a declaratory judgment that Plains’ right-of-way agreements would not allow Plains to lay a new pipeline to replace Line 901 and/or the non-operating segment of Line 903 without paying additional compensation. No trial date has been set in that action and the purchaser of Line 901 and the Sisquoc to Pentland portion of Line 903 will be joining this proceeding as a co-defendant with respect to its interest in such acquired pipelines.</w:t>
      </w:r>
    </w:p>
    <w:p>
      <w:pPr>
        <w:spacing w:after="0" w:line="21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$275 million of the $500 million policy limits as of December 31, 2022.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December 31, 2022,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years ended December 31, 2022 and 2021, we recognized costs, net of amounts probable of recovery from insurance carriers,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 million and $15 million, respectively. We did not recognize any such costs during the year ended December 31, 2020. As of December 31, 2022,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a remaining undiscounted gross liability of approximately $105 million related to the Line 901 incident, which aggregate amount is reflected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 on our Consolidated Balance Sheet. As discussed above, we maintain insurance coverage, which is subject to certain exclusions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deductibles, in the event of such liabilities. As of December 31, 2022, our incurred costs for the Line 901 incident have exceeded our insurance coverage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 of $500 million related to our 2015 insurance program applicable to the Line 901 incident by $240 million. Through December 31, 2022, we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collected, subject to customary reservations, approximately $280 million out of the $505 million of release costs that we believe are probable of recovery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insurance carriers (including the 2015 insurance program and our directors and officers (D&amp;O) insurance policies), net of deductibles. Therefore,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2022, we have recognized a long-term receivable of approximately $225 million for the portion of the release costs that we believe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probable of recovery from insurance, net of deductibles and amounts already collected. We anticipate that the process to enforce our coverage claims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to the Class Action Settlement will take time and, accordingly, have recognized such amount as a long-term asset in “Other assets” on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20—Segment Information</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20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w:t>
      </w:r>
    </w:p>
    <w:p>
      <w:pPr>
        <w:spacing w:after="0" w:line="6" w:lineRule="exact"/>
        <w:rPr>
          <w:sz w:val="20"/>
          <w:szCs w:val="20"/>
          <w:color w:val="auto"/>
        </w:rPr>
      </w:pPr>
    </w:p>
    <w:p>
      <w:pPr>
        <w:ind w:right="200" w:firstLine="8"/>
        <w:spacing w:after="0" w:line="277" w:lineRule="auto"/>
        <w:tabs>
          <w:tab w:leader="none" w:pos="3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Pr>
          <w:p>
            <w:pPr>
              <w:spacing w:after="0" w:line="203" w:lineRule="exact"/>
              <w:rPr>
                <w:sz w:val="20"/>
                <w:szCs w:val="20"/>
                <w:color w:val="auto"/>
              </w:rPr>
            </w:pPr>
            <w:r>
              <w:rPr>
                <w:rFonts w:ascii="Arial" w:cs="Arial" w:eastAsia="Arial" w:hAnsi="Arial"/>
                <w:sz w:val="18"/>
                <w:szCs w:val="18"/>
                <w:color w:val="auto"/>
              </w:rPr>
              <w:t xml:space="preserve">Investment and acquisition capital expenditures </w:t>
            </w:r>
            <w:r>
              <w:rPr>
                <w:rFonts w:ascii="Arial" w:cs="Arial" w:eastAsia="Arial" w:hAnsi="Arial"/>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20"/>
              <w:spacing w:after="0" w:line="139"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Elimination</w:t>
            </w: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expenditures </w:t>
            </w:r>
            <w:r>
              <w:rPr>
                <w:rFonts w:ascii="Arial" w:cs="Arial" w:eastAsia="Arial" w:hAnsi="Arial"/>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Elimination</w:t>
            </w: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expenditures </w:t>
            </w:r>
            <w:r>
              <w:rPr>
                <w:rFonts w:ascii="Arial" w:cs="Arial" w:eastAsia="Arial" w:hAnsi="Arial"/>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24599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right="20" w:hanging="11"/>
        <w:spacing w:after="0" w:line="263" w:lineRule="auto"/>
        <w:rPr>
          <w:sz w:val="20"/>
          <w:szCs w:val="20"/>
          <w:color w:val="auto"/>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amounts combined represent total capital expenditures.</w:t>
      </w:r>
    </w:p>
    <w:p>
      <w:pPr>
        <w:spacing w:after="0" w:line="200" w:lineRule="exact"/>
        <w:rPr>
          <w:sz w:val="20"/>
          <w:szCs w:val="20"/>
          <w:color w:val="auto"/>
        </w:rPr>
      </w:pPr>
    </w:p>
    <w:p>
      <w:pPr>
        <w:sectPr>
          <w:pgSz w:w="11900" w:h="16838" w:orient="portrait"/>
          <w:cols w:equalWidth="0" w:num="2">
            <w:col w:w="140" w:space="500"/>
            <w:col w:w="10580"/>
          </w:cols>
          <w:pgMar w:left="320" w:top="130" w:right="3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6"/>
                <w:szCs w:val="16"/>
                <w:color w:val="auto"/>
              </w:rPr>
            </w:pPr>
          </w:p>
        </w:tc>
      </w:tr>
      <w:tr>
        <w:trPr>
          <w:trHeight w:val="26"/>
        </w:trPr>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100" w:type="dxa"/>
            <w:vAlign w:val="bottom"/>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9"/>
        </w:trPr>
        <w:tc>
          <w:tcPr>
            <w:tcW w:w="10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100" w:type="dxa"/>
            <w:vAlign w:val="bottom"/>
          </w:tcPr>
          <w:p>
            <w:pPr>
              <w:spacing w:after="0"/>
              <w:rPr>
                <w:sz w:val="19"/>
                <w:szCs w:val="19"/>
                <w:color w:val="auto"/>
              </w:rPr>
            </w:pPr>
          </w:p>
        </w:tc>
        <w:tc>
          <w:tcPr>
            <w:tcW w:w="6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100" w:type="dxa"/>
            <w:vAlign w:val="bottom"/>
          </w:tcPr>
          <w:p>
            <w:pPr>
              <w:spacing w:after="0"/>
              <w:rPr>
                <w:sz w:val="19"/>
                <w:szCs w:val="19"/>
                <w:color w:val="auto"/>
              </w:rPr>
            </w:pPr>
          </w:p>
        </w:tc>
        <w:tc>
          <w:tcPr>
            <w:tcW w:w="68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Derivative activities and inventory valuation adjustments </w:t>
            </w:r>
            <w:r>
              <w:rPr>
                <w:rFonts w:ascii="Arial" w:cs="Arial" w:eastAsia="Arial" w:hAnsi="Arial"/>
                <w:sz w:val="23"/>
                <w:szCs w:val="23"/>
                <w:color w:val="auto"/>
                <w:vertAlign w:val="superscript"/>
              </w:rPr>
              <w:t>(3)</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(7)</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(9)</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(10)</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Goodwill impairment loss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29"/>
        </w:trPr>
        <w:tc>
          <w:tcPr>
            <w:tcW w:w="10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on/(impairment of) investments in unconsolidated entities, net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Income/(loss) before tax</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1,228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100" w:type="dxa"/>
            <w:vAlign w:val="bottom"/>
          </w:tcPr>
          <w:p>
            <w:pPr>
              <w:spacing w:after="0"/>
              <w:rPr>
                <w:sz w:val="19"/>
                <w:szCs w:val="19"/>
                <w:color w:val="auto"/>
              </w:rPr>
            </w:pPr>
          </w:p>
        </w:tc>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r>
      <w:tr>
        <w:trPr>
          <w:trHeight w:val="20"/>
        </w:trPr>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5"/>
        </w:trPr>
        <w:tc>
          <w:tcPr>
            <w:tcW w:w="1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18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88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and impairments) of unconsolidated entities.</w:t>
      </w:r>
    </w:p>
    <w:p>
      <w:pPr>
        <w:spacing w:after="0" w:line="62"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200" w:lineRule="exact"/>
        <w:rPr>
          <w:sz w:val="20"/>
          <w:szCs w:val="20"/>
          <w:color w:val="auto"/>
        </w:rPr>
      </w:pPr>
    </w:p>
    <w:p>
      <w:pPr>
        <w:sectPr>
          <w:pgSz w:w="11900" w:h="16838" w:orient="portrait"/>
          <w:cols w:equalWidth="0" w:num="2">
            <w:col w:w="140" w:space="500"/>
            <w:col w:w="10580"/>
          </w:cols>
          <w:pgMar w:left="320" w:top="130" w:right="359" w:bottom="1440" w:gutter="0" w:footer="0" w:header="0"/>
          <w:type w:val="continuous"/>
        </w:sect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hanging="11"/>
        <w:spacing w:after="0" w:line="287" w:lineRule="auto"/>
        <w:rPr>
          <w:sz w:val="20"/>
          <w:szCs w:val="20"/>
          <w:color w:val="auto"/>
        </w:rPr>
      </w:pPr>
      <w:r>
        <w:rPr>
          <w:rFonts w:ascii="Arial" w:cs="Arial" w:eastAsia="Arial" w:hAnsi="Arial"/>
          <w:sz w:val="16"/>
          <w:szCs w:val="16"/>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58"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ind w:right="40" w:hanging="11"/>
        <w:spacing w:after="0" w:line="255"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for information regarding our equity-indexed compensation plans.</w:t>
      </w:r>
    </w:p>
    <w:p>
      <w:pPr>
        <w:spacing w:after="0" w:line="84" w:lineRule="exact"/>
        <w:rPr>
          <w:sz w:val="20"/>
          <w:szCs w:val="20"/>
          <w:color w:val="auto"/>
        </w:rPr>
      </w:pPr>
    </w:p>
    <w:p>
      <w:pPr>
        <w:ind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ind w:left="660" w:right="100" w:hanging="652"/>
        <w:spacing w:after="0" w:line="227" w:lineRule="auto"/>
        <w:tabs>
          <w:tab w:leader="none" w:pos="648"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94" w:lineRule="exact"/>
        <w:rPr>
          <w:rFonts w:ascii="Arial" w:cs="Arial" w:eastAsia="Arial" w:hAnsi="Arial"/>
          <w:sz w:val="23"/>
          <w:szCs w:val="23"/>
          <w:color w:val="auto"/>
          <w:vertAlign w:val="superscript"/>
        </w:rPr>
      </w:pPr>
    </w:p>
    <w:p>
      <w:pPr>
        <w:ind w:left="660" w:right="40" w:hanging="652"/>
        <w:spacing w:after="0" w:line="269" w:lineRule="auto"/>
        <w:tabs>
          <w:tab w:leader="none" w:pos="648"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Includes expenses associated with the Permian JV transaction in 2021 and the Felix Midstream LLC acquisition in 2020. See Note 7 for additional discussion. An adjustment for these non-recurring expenses is included in the calculation of Segment Adjusted EBITDA for the years ended December 31, 2021 and 2020 as our CODM does not view such expenses as integral to understanding our core segment operating performance.</w:t>
      </w:r>
    </w:p>
    <w:p>
      <w:pPr>
        <w:spacing w:after="0" w:line="72" w:lineRule="exact"/>
        <w:rPr>
          <w:rFonts w:ascii="Arial" w:cs="Arial" w:eastAsia="Arial" w:hAnsi="Arial"/>
          <w:sz w:val="21"/>
          <w:szCs w:val="21"/>
          <w:color w:val="auto"/>
          <w:vertAlign w:val="superscript"/>
        </w:rPr>
      </w:pPr>
    </w:p>
    <w:p>
      <w:pPr>
        <w:ind w:left="660" w:right="160" w:hanging="652"/>
        <w:spacing w:after="0" w:line="227" w:lineRule="auto"/>
        <w:tabs>
          <w:tab w:leader="none" w:pos="652"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Cactus II (beginning November 2022) and Red River.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6"/>
          <w:szCs w:val="16"/>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9"/>
                <w:szCs w:val="9"/>
                <w:b w:val="1"/>
                <w:bCs w:val="1"/>
                <w:color w:val="auto"/>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 and long-term deferred tax assets.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2" w:lineRule="exact"/>
        <w:rPr>
          <w:rFonts w:ascii="Arial" w:cs="Arial" w:eastAsia="Arial" w:hAnsi="Arial"/>
          <w:sz w:val="23"/>
          <w:szCs w:val="23"/>
          <w:color w:val="auto"/>
          <w:vertAlign w:val="superscript"/>
        </w:rPr>
      </w:pPr>
    </w:p>
    <w:p>
      <w:pPr>
        <w:ind w:left="5460"/>
        <w:spacing w:after="0"/>
        <w:rPr>
          <w:rFonts w:ascii="Arial" w:cs="Arial" w:eastAsia="Arial" w:hAnsi="Arial"/>
          <w:sz w:val="23"/>
          <w:szCs w:val="23"/>
          <w:color w:val="auto"/>
          <w:vertAlign w:val="superscript"/>
        </w:rPr>
      </w:pPr>
      <w:r>
        <w:rPr>
          <w:rFonts w:ascii="Arial" w:cs="Arial" w:eastAsia="Arial" w:hAnsi="Arial"/>
          <w:sz w:val="18"/>
          <w:szCs w:val="18"/>
          <w:color w:val="auto"/>
        </w:rPr>
        <w:t>F-64</w:t>
      </w:r>
    </w:p>
    <w:p>
      <w:pPr>
        <w:sectPr>
          <w:pgSz w:w="11900" w:h="16838" w:orient="portrait"/>
          <w:cols w:equalWidth="0" w:num="1">
            <w:col w:w="11220"/>
          </w:cols>
          <w:pgMar w:left="320" w:top="130" w:right="35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right="300"/>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16"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As of December 31, 2022,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spacing w:after="0" w:line="222"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"Partnership," "Plains," "PAA," "we," "us," "our," "ours" and similar terms refer to Plains All American Pipeline, L.P. and its subsidiaries; and</w:t>
      </w:r>
    </w:p>
    <w:p>
      <w:pPr>
        <w:spacing w:after="0" w:line="25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"General partner," refers to, as the context requires, any or all of PAA GP Holdings LLC ("PAGP GP"), Plains GP Holdings, L.P. ("PAGP"), Plains AAP, L.P. ("AAP") and Plains All American GP LLC ("GP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4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spacing w:after="0" w:line="202"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Our outstanding common units are listed on the Nasdaq Global Select Market under the symbol "PAA." Any additional common units we issue will also be listed on Nasdaq.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43" w:lineRule="exact"/>
        <w:rPr>
          <w:sz w:val="20"/>
          <w:szCs w:val="20"/>
          <w:color w:val="auto"/>
        </w:rPr>
      </w:pPr>
    </w:p>
    <w:p>
      <w:pPr>
        <w:ind w:right="60" w:firstLine="324"/>
        <w:spacing w:after="0" w:line="249" w:lineRule="auto"/>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20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20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20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ectPr>
          <w:pgSz w:w="11900" w:h="16838" w:orient="portrait"/>
          <w:cols w:equalWidth="0" w:num="1">
            <w:col w:w="11240"/>
          </w:cols>
          <w:pgMar w:left="320" w:top="126" w:right="339" w:bottom="1440" w:gutter="0" w:footer="0" w:header="0"/>
        </w:sectPr>
      </w:pPr>
    </w:p>
    <w:bookmarkStart w:id="169" w:name="page170"/>
    <w:bookmarkEnd w:id="169"/>
    <w:p>
      <w:pPr>
        <w:ind w:firstLine="324"/>
        <w:spacing w:after="0" w:line="244" w:lineRule="auto"/>
        <w:rPr>
          <w:sz w:val="20"/>
          <w:szCs w:val="20"/>
          <w:color w:val="auto"/>
        </w:rPr>
      </w:pPr>
      <w:r>
        <w:rPr>
          <w:rFonts w:ascii="Arial" w:cs="Arial" w:eastAsia="Arial" w:hAnsi="Arial"/>
          <w:sz w:val="18"/>
          <w:szCs w:val="18"/>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56"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98" w:lineRule="exact"/>
        <w:rPr>
          <w:sz w:val="20"/>
          <w:szCs w:val="20"/>
          <w:color w:val="auto"/>
        </w:rPr>
      </w:pPr>
    </w:p>
    <w:p>
      <w:pPr>
        <w:jc w:val="both"/>
        <w:ind w:right="180" w:firstLine="324"/>
        <w:spacing w:after="0" w:line="303"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7"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4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will distribute to our unitholders, on a quarterly basis, all of our available cash in the manner described below.</w:t>
      </w:r>
    </w:p>
    <w:p>
      <w:pPr>
        <w:spacing w:after="0" w:line="23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and cash equivalents on hand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that quarter less reserves established in the reasonable discretion of the general partner to:</w:t>
      </w:r>
    </w:p>
    <w:p>
      <w:pPr>
        <w:spacing w:after="0" w:line="184" w:lineRule="exact"/>
        <w:rPr>
          <w:sz w:val="20"/>
          <w:szCs w:val="20"/>
          <w:color w:val="auto"/>
        </w:rPr>
      </w:pPr>
    </w:p>
    <w:p>
      <w:pPr>
        <w:ind w:left="660" w:right="22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1" w:right="379" w:bottom="1440" w:gutter="0" w:footer="0" w:header="0"/>
        </w:sectPr>
      </w:pPr>
    </w:p>
    <w:bookmarkStart w:id="170" w:name="page171"/>
    <w:bookmarkEnd w:id="170"/>
    <w:p>
      <w:pPr>
        <w:ind w:left="660" w:right="4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funds for future distributions to our Series A and Series B preferred unitholders or distributions to our common unitholders for of any one or more of the next four quarters.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common unitholders will be characterized as either operating surplus or capital surplus. We distribute available cash</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operating surplus differently than available cash from capital surplus. See "—Quarterly Distributions of Available Cash."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239"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03"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239"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2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56"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spacing w:after="0" w:line="204" w:lineRule="exact"/>
        <w:rPr>
          <w:sz w:val="20"/>
          <w:szCs w:val="20"/>
          <w:color w:val="auto"/>
        </w:rPr>
      </w:pPr>
    </w:p>
    <w:p>
      <w:pPr>
        <w:ind w:right="200" w:firstLine="324"/>
        <w:spacing w:after="0" w:line="291" w:lineRule="auto"/>
        <w:rPr>
          <w:sz w:val="20"/>
          <w:szCs w:val="20"/>
          <w:color w:val="auto"/>
        </w:rPr>
      </w:pPr>
      <w:r>
        <w:rPr>
          <w:rFonts w:ascii="Arial" w:cs="Arial" w:eastAsia="Arial" w:hAnsi="Arial"/>
          <w:sz w:val="17"/>
          <w:szCs w:val="17"/>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56" w:lineRule="exact"/>
        <w:rPr>
          <w:sz w:val="20"/>
          <w:szCs w:val="20"/>
          <w:color w:val="auto"/>
        </w:rPr>
      </w:pPr>
    </w:p>
    <w:p>
      <w:pPr>
        <w:jc w:val="both"/>
        <w:ind w:right="40" w:firstLine="324"/>
        <w:spacing w:after="0" w:line="248"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1" w:right="379" w:bottom="1440" w:gutter="0" w:footer="0" w:header="0"/>
        </w:sectPr>
      </w:pPr>
    </w:p>
    <w:bookmarkStart w:id="171" w:name="page172"/>
    <w:bookmarkEnd w:id="17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43"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56" w:lineRule="exact"/>
        <w:rPr>
          <w:sz w:val="20"/>
          <w:szCs w:val="20"/>
          <w:color w:val="auto"/>
        </w:rPr>
      </w:pPr>
    </w:p>
    <w:p>
      <w:pPr>
        <w:jc w:val="both"/>
        <w:ind w:right="80" w:firstLine="324"/>
        <w:spacing w:after="0" w:line="224"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/3% of the outstanding Series B preferred 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43"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50" w:lineRule="exact"/>
        <w:rPr>
          <w:sz w:val="20"/>
          <w:szCs w:val="20"/>
          <w:color w:val="auto"/>
        </w:rPr>
      </w:pPr>
    </w:p>
    <w:p>
      <w:pPr>
        <w:ind w:left="660" w:hanging="328"/>
        <w:spacing w:after="0" w:line="24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unitholders;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2" w:name="page173"/>
    <w:bookmarkEnd w:id="172"/>
    <w:p>
      <w:pPr>
        <w:ind w:right="60"/>
        <w:spacing w:after="0" w:line="257" w:lineRule="auto"/>
        <w:rPr>
          <w:sz w:val="20"/>
          <w:szCs w:val="20"/>
          <w:color w:val="auto"/>
        </w:rPr>
      </w:pPr>
      <w:r>
        <w:rPr>
          <w:rFonts w:ascii="Arial" w:cs="Arial" w:eastAsia="Arial" w:hAnsi="Arial"/>
          <w:sz w:val="17"/>
          <w:szCs w:val="17"/>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ind w:right="60" w:firstLine="324"/>
        <w:spacing w:after="0" w:line="303"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02" w:lineRule="exact"/>
        <w:rPr>
          <w:sz w:val="20"/>
          <w:szCs w:val="20"/>
          <w:color w:val="auto"/>
        </w:rPr>
      </w:pPr>
    </w:p>
    <w:p>
      <w:pPr>
        <w:ind w:right="20" w:firstLine="324"/>
        <w:spacing w:after="0" w:line="278" w:lineRule="auto"/>
        <w:rPr>
          <w:sz w:val="20"/>
          <w:szCs w:val="20"/>
          <w:color w:val="auto"/>
        </w:rPr>
      </w:pPr>
      <w:r>
        <w:rPr>
          <w:rFonts w:ascii="Arial" w:cs="Arial" w:eastAsia="Arial" w:hAnsi="Arial"/>
          <w:sz w:val="17"/>
          <w:szCs w:val="17"/>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4"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5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7"/>
          <w:szCs w:val="17"/>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43"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221"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28"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08" w:lineRule="exact"/>
        <w:rPr>
          <w:sz w:val="20"/>
          <w:szCs w:val="20"/>
          <w:color w:val="auto"/>
        </w:rPr>
      </w:pPr>
    </w:p>
    <w:p>
      <w:pPr>
        <w:ind w:right="500" w:firstLine="324"/>
        <w:spacing w:after="0" w:line="291" w:lineRule="auto"/>
        <w:rPr>
          <w:sz w:val="20"/>
          <w:szCs w:val="20"/>
          <w:color w:val="auto"/>
        </w:rPr>
      </w:pPr>
      <w:r>
        <w:rPr>
          <w:rFonts w:ascii="Arial" w:cs="Arial" w:eastAsia="Arial" w:hAnsi="Arial"/>
          <w:sz w:val="17"/>
          <w:szCs w:val="17"/>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7"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56" w:lineRule="exact"/>
        <w:rPr>
          <w:sz w:val="20"/>
          <w:szCs w:val="20"/>
          <w:color w:val="auto"/>
        </w:rPr>
      </w:pPr>
    </w:p>
    <w:p>
      <w:pPr>
        <w:ind w:right="20" w:firstLine="324"/>
        <w:spacing w:after="0" w:line="263" w:lineRule="auto"/>
        <w:rPr>
          <w:sz w:val="20"/>
          <w:szCs w:val="20"/>
          <w:color w:val="auto"/>
        </w:rPr>
      </w:pPr>
      <w:r>
        <w:rPr>
          <w:rFonts w:ascii="Arial" w:cs="Arial" w:eastAsia="Arial" w:hAnsi="Arial"/>
          <w:sz w:val="17"/>
          <w:szCs w:val="17"/>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9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4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2"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7" w:right="339" w:bottom="1440" w:gutter="0" w:footer="0" w:header="0"/>
        </w:sectPr>
      </w:pPr>
    </w:p>
    <w:bookmarkStart w:id="174" w:name="page175"/>
    <w:bookmarkEnd w:id="174"/>
    <w:p>
      <w:pPr>
        <w:ind w:left="660" w:right="520" w:hanging="328"/>
        <w:spacing w:after="0" w:line="26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39"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43"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84" w:lineRule="exact"/>
        <w:rPr>
          <w:sz w:val="20"/>
          <w:szCs w:val="20"/>
          <w:color w:val="auto"/>
        </w:rPr>
      </w:pPr>
    </w:p>
    <w:p>
      <w:pPr>
        <w:ind w:left="660" w:right="34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76"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9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43"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1" w:right="359" w:bottom="1440" w:gutter="0" w:footer="0" w:header="0"/>
        </w:sectPr>
      </w:pPr>
    </w:p>
    <w:bookmarkStart w:id="175" w:name="page176"/>
    <w:bookmarkEnd w:id="175"/>
    <w:p>
      <w:pPr>
        <w:ind w:right="80" w:firstLine="324"/>
        <w:spacing w:after="0" w:line="243"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2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1421" w:right="3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440" w:type="dxa"/>
            <w:vAlign w:val="bottom"/>
            <w:gridSpan w:val="3"/>
          </w:tcPr>
          <w:p>
            <w:pPr>
              <w:jc w:val="center"/>
              <w:ind w:right="367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3740" w:type="dxa"/>
            <w:vAlign w:val="bottom"/>
          </w:tcPr>
          <w:p>
            <w:pPr>
              <w:spacing w:after="0"/>
              <w:rPr>
                <w:sz w:val="19"/>
                <w:szCs w:val="19"/>
                <w:color w:val="auto"/>
              </w:rPr>
            </w:pPr>
          </w:p>
        </w:tc>
        <w:tc>
          <w:tcPr>
            <w:tcW w:w="74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rPr>
              <w:t>PLAINS ALL AMERICAN PIPELINE, L.P.</w:t>
            </w:r>
          </w:p>
        </w:tc>
      </w:tr>
      <w:tr>
        <w:trPr>
          <w:trHeight w:val="230"/>
        </w:trPr>
        <w:tc>
          <w:tcPr>
            <w:tcW w:w="3740" w:type="dxa"/>
            <w:vAlign w:val="bottom"/>
          </w:tcPr>
          <w:p>
            <w:pPr>
              <w:spacing w:after="0"/>
              <w:rPr>
                <w:sz w:val="20"/>
                <w:szCs w:val="20"/>
                <w:color w:val="auto"/>
              </w:rPr>
            </w:pPr>
          </w:p>
        </w:tc>
        <w:tc>
          <w:tcPr>
            <w:tcW w:w="7440" w:type="dxa"/>
            <w:vAlign w:val="bottom"/>
            <w:gridSpan w:val="3"/>
          </w:tcPr>
          <w:p>
            <w:pPr>
              <w:jc w:val="center"/>
              <w:ind w:right="3670"/>
              <w:spacing w:after="0"/>
              <w:rPr>
                <w:sz w:val="20"/>
                <w:szCs w:val="20"/>
                <w:color w:val="auto"/>
              </w:rPr>
            </w:pPr>
            <w:r>
              <w:rPr>
                <w:rFonts w:ascii="Arial" w:cs="Arial" w:eastAsia="Arial" w:hAnsi="Arial"/>
                <w:sz w:val="18"/>
                <w:szCs w:val="18"/>
                <w:i w:val="1"/>
                <w:iCs w:val="1"/>
                <w:color w:val="auto"/>
                <w:w w:val="91"/>
              </w:rPr>
              <w:t>(As of 12/31/2022)</w:t>
            </w:r>
          </w:p>
        </w:tc>
      </w:tr>
      <w:tr>
        <w:trPr>
          <w:trHeight w:val="204"/>
        </w:trPr>
        <w:tc>
          <w:tcPr>
            <w:tcW w:w="3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6"/>
        </w:trPr>
        <w:tc>
          <w:tcPr>
            <w:tcW w:w="37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Advantage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Advantage Pipeline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Advantage Pipeline Logistics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Advantage Pipeline Management,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Aurora Pipeline Company Ltd.</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Bakersfield Crude Terminal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Cactus II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Capline Pipeline Company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Eagle Ford Crude Terminal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FM Midstream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FM Gathering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OMOG JV Holdings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OMOG JV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Oryx Delaware Oil Transport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Oryx Midland Oil Gathering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Oryx Midland Oil Marketing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Oryx Midstream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Oryx Wink Oil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PAA Finance Corp.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PAA Luxembourg S.a.r.l.</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PAA Midstream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PAA Service Corp.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PAA/Vulcan Gas Storage,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6"/>
              </w:rPr>
              <w:t>Plains All American Emergency Relief Fund, Inc.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Plains Capline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Gas Solutions,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Plains GP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GP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Plains LPG Services,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Holdings Canada ULC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Plains Oryx Permian Basin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Plains Oryx Permian Basin Marketing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Plains Oryx Permian Basin Pipeline LLC</w:t>
            </w: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60" w:top="891" w:right="33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5"/>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Plains Pipeline MidCon LLC</w:t>
            </w: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Pipeline Montana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Plains Products Terminals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Plains South Texas Gathering LLC</w:t>
            </w: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PMC (Nova Scotia) Company</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Nova Scotia</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PNGS GP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Rancho LPG Holdings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Red River Pipeline Company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Rocky Mountain Pipeline Montana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St. James Rail Terminal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 Pipeline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Van Hook Crude Terminal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Corridor Pipeline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80"/>
          </w:cols>
          <w:pgMar w:left="360" w:top="927" w:right="35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333-214778, 333-221845, 333-259387, 333-259390 and 333-267725) and on Form S-8 (No. 333-91141, 333-74920, 333-122806, 333-141185, 333-193139, 333-193140 and 333-256507) of Plains All American Pipeline, L.P. of our report dated February 28, 2023 relating to the financial statements and the effectiveness of internal control over financial reporting, which appears in this Form 10-K.</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9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firstLine="656"/>
        <w:spacing w:after="0" w:line="263" w:lineRule="auto"/>
        <w:tabs>
          <w:tab w:leader="none" w:pos="12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2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40" w:firstLine="656"/>
        <w:spacing w:after="0" w:line="342" w:lineRule="auto"/>
        <w:tabs>
          <w:tab w:leader="none" w:pos="12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656"/>
        <w:spacing w:after="0" w:line="263" w:lineRule="auto"/>
        <w:tabs>
          <w:tab w:leader="none" w:pos="12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60" w:firstLine="656"/>
        <w:spacing w:after="0" w:line="308" w:lineRule="auto"/>
        <w:tabs>
          <w:tab w:leader="none" w:pos="129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40" w:firstLine="656"/>
        <w:spacing w:after="0" w:line="277" w:lineRule="auto"/>
        <w:tabs>
          <w:tab w:leader="none" w:pos="12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2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2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40" w:firstLine="656"/>
        <w:spacing w:after="0" w:line="342" w:lineRule="auto"/>
        <w:tabs>
          <w:tab w:leader="none" w:pos="129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656"/>
        <w:spacing w:after="0" w:line="263" w:lineRule="auto"/>
        <w:tabs>
          <w:tab w:leader="none" w:pos="12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0" w:firstLine="656"/>
        <w:spacing w:after="0" w:line="308" w:lineRule="auto"/>
        <w:tabs>
          <w:tab w:leader="none" w:pos="87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60" w:firstLine="656"/>
        <w:spacing w:after="0" w:line="308" w:lineRule="auto"/>
        <w:tabs>
          <w:tab w:leader="none" w:pos="129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40" w:firstLine="656"/>
        <w:spacing w:after="0" w:line="277" w:lineRule="auto"/>
        <w:tabs>
          <w:tab w:leader="none" w:pos="129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52" w:lineRule="exact"/>
        <w:rPr>
          <w:sz w:val="20"/>
          <w:szCs w:val="20"/>
          <w:color w:val="auto"/>
        </w:rPr>
      </w:pPr>
    </w:p>
    <w:p>
      <w:pPr>
        <w:ind w:right="180" w:firstLine="656"/>
        <w:spacing w:after="0" w:line="263" w:lineRule="auto"/>
        <w:tabs>
          <w:tab w:leader="none" w:pos="1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2022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5" w:lineRule="exact"/>
        <w:rPr>
          <w:rFonts w:ascii="Arial" w:cs="Arial" w:eastAsia="Arial" w:hAnsi="Arial"/>
          <w:sz w:val="16"/>
          <w:szCs w:val="16"/>
          <w:color w:val="auto"/>
        </w:rPr>
      </w:pPr>
    </w:p>
    <w:p>
      <w:pPr>
        <w:ind w:left="80" w:right="9420"/>
        <w:spacing w:after="0" w:line="338" w:lineRule="auto"/>
        <w:rPr>
          <w:rFonts w:ascii="Arial" w:cs="Arial" w:eastAsia="Arial" w:hAnsi="Arial"/>
          <w:sz w:val="16"/>
          <w:szCs w:val="16"/>
          <w:color w:val="auto"/>
        </w:rPr>
      </w:pPr>
      <w:r>
        <w:rPr>
          <w:rFonts w:ascii="Arial" w:cs="Arial" w:eastAsia="Arial" w:hAnsi="Arial"/>
          <w:sz w:val="16"/>
          <w:szCs w:val="16"/>
          <w:color w:val="auto"/>
        </w:rPr>
        <w:t>/s/ Willie Chiang Name: Willie Chiang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-346710</wp:posOffset>
            </wp:positionV>
            <wp:extent cx="3549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2022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5" w:lineRule="exact"/>
        <w:rPr>
          <w:rFonts w:ascii="Arial" w:cs="Arial" w:eastAsia="Arial" w:hAnsi="Arial"/>
          <w:sz w:val="16"/>
          <w:szCs w:val="16"/>
          <w:color w:val="auto"/>
        </w:rPr>
      </w:pPr>
    </w:p>
    <w:p>
      <w:pPr>
        <w:ind w:left="80" w:right="9420"/>
        <w:spacing w:after="0" w:line="311" w:lineRule="auto"/>
        <w:rPr>
          <w:rFonts w:ascii="Arial" w:cs="Arial" w:eastAsia="Arial" w:hAnsi="Arial"/>
          <w:sz w:val="16"/>
          <w:szCs w:val="16"/>
          <w:color w:val="auto"/>
        </w:rPr>
      </w:pPr>
      <w:r>
        <w:rPr>
          <w:rFonts w:ascii="Arial" w:cs="Arial" w:eastAsia="Arial" w:hAnsi="Arial"/>
          <w:sz w:val="17"/>
          <w:szCs w:val="17"/>
          <w:color w:val="auto"/>
        </w:rPr>
        <w:t>/s/ Al Swanson Name: Al Swanson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3549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upperLetter"/>
      <w:start w:val="35"/>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1)"/>
      <w:numFmt w:val="lowerRoman"/>
      <w:start w:val="3"/>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lowerRoman"/>
      <w:start w:val="4"/>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5"/>
    </w:lvl>
  </w:abstractNum>
  <w:abstractNum w:abstractNumId="42">
    <w:nsid w:val="4962813B"/>
    <w:multiLevelType w:val="hybridMultilevel"/>
    <w:lvl w:ilvl="0">
      <w:lvlJc w:val="left"/>
      <w:lvlText w:val="(%1)"/>
      <w:numFmt w:val="decimal"/>
      <w:start w:val="10"/>
    </w:lvl>
  </w:abstractNum>
  <w:abstractNum w:abstractNumId="43">
    <w:nsid w:val="60B6DF70"/>
    <w:multiLevelType w:val="hybridMultilevel"/>
    <w:lvl w:ilvl="0">
      <w:lvlJc w:val="left"/>
      <w:lvlText w:val="(%1)"/>
      <w:numFmt w:val="decimal"/>
      <w:start w:val="3"/>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lowerRoman"/>
      <w:start w:val="5"/>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3"/>
    </w:lvl>
  </w:abstractNum>
  <w:abstractNum w:abstractNumId="49">
    <w:nsid w:val="100F59DC"/>
    <w:multiLevelType w:val="hybridMultilevel"/>
    <w:lvl w:ilvl="0">
      <w:lvlJc w:val="left"/>
      <w:lvlText w:val="(%1)"/>
      <w:numFmt w:val="decimal"/>
      <w:start w:val="2"/>
    </w:lvl>
  </w:abstractNum>
  <w:abstractNum w:abstractNumId="50">
    <w:nsid w:val="7FB7E0AA"/>
    <w:multiLevelType w:val="hybridMultilevel"/>
    <w:lvl w:ilvl="0">
      <w:lvlJc w:val="left"/>
      <w:lvlText w:val="(%1)"/>
      <w:numFmt w:val="decimal"/>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decimal"/>
      <w:start w:val="2"/>
    </w:lvl>
  </w:abstractNum>
  <w:abstractNum w:abstractNumId="60">
    <w:nsid w:val="74DE0EE3"/>
    <w:multiLevelType w:val="hybridMultilevel"/>
    <w:lvl w:ilvl="0">
      <w:lvlJc w:val="left"/>
      <w:lvlText w:val="(%1)"/>
      <w:numFmt w:val="decimal"/>
      <w:start w:val="3"/>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lowerRoman"/>
      <w:start w:val="3"/>
    </w:lvl>
  </w:abstractNum>
  <w:abstractNum w:abstractNumId="66">
    <w:nsid w:val="57FC4FBB"/>
    <w:multiLevelType w:val="hybridMultilevel"/>
    <w:lvl w:ilvl="0">
      <w:lvlJc w:val="left"/>
      <w:lvlText w:val="(%1)"/>
      <w:numFmt w:val="lowerRoman"/>
      <w:start w:val="8"/>
    </w:lvl>
  </w:abstractNum>
  <w:abstractNum w:abstractNumId="67">
    <w:nsid w:val="CC1016F"/>
    <w:multiLevelType w:val="hybridMultilevel"/>
    <w:lvl w:ilvl="0">
      <w:lvlJc w:val="left"/>
      <w:lvlText w:val="(%1)"/>
      <w:numFmt w:val="lowerRoman"/>
      <w:start w:val="12"/>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lowerRoman"/>
      <w:start w:val="2"/>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1)"/>
      <w:numFmt w:val="decimal"/>
      <w:start w:val="5"/>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1)"/>
      <w:numFmt w:val="decimal"/>
      <w:start w:val="2"/>
    </w:lvl>
  </w:abstractNum>
  <w:abstractNum w:abstractNumId="95">
    <w:nsid w:val="1D545C4D"/>
    <w:multiLevelType w:val="hybridMultilevel"/>
    <w:lvl w:ilvl="0">
      <w:lvlJc w:val="left"/>
      <w:lvlText w:val="(%1)"/>
      <w:numFmt w:val="lowerRoman"/>
      <w:start w:val="4"/>
    </w:lvl>
  </w:abstractNum>
  <w:abstractNum w:abstractNumId="96">
    <w:nsid w:val="59ADEA3D"/>
    <w:multiLevelType w:val="hybridMultilevel"/>
    <w:lvl w:ilvl="0">
      <w:lvlJc w:val="left"/>
      <w:lvlText w:val="(%1)"/>
      <w:numFmt w:val="decimal"/>
      <w:start w:val="8"/>
    </w:lvl>
  </w:abstractNum>
  <w:abstractNum w:abstractNumId="97">
    <w:nsid w:val="288F1A34"/>
    <w:multiLevelType w:val="hybridMultilevel"/>
    <w:lvl w:ilvl="0">
      <w:lvlJc w:val="left"/>
      <w:lvlText w:val="(%1)"/>
      <w:numFmt w:val="decimal"/>
      <w:start w:val="1"/>
    </w:lvl>
  </w:abstractNum>
  <w:abstractNum w:abstractNumId="98">
    <w:nsid w:val="2A155DBC"/>
    <w:multiLevelType w:val="hybridMultilevel"/>
    <w:lvl w:ilvl="0">
      <w:lvlJc w:val="left"/>
      <w:lvlText w:val="(%1)"/>
      <w:numFmt w:val="decimal"/>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decimal"/>
      <w:start w:val="5"/>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1."/>
      <w:numFmt w:val="decimal"/>
      <w:start w:val="5"/>
    </w:lvl>
  </w:abstractNum>
  <w:abstractNum w:abstractNumId="115">
    <w:nsid w:val="6C80EC70"/>
    <w:multiLevelType w:val="hybridMultilevel"/>
    <w:lvl w:ilvl="0">
      <w:lvlJc w:val="left"/>
      <w:lvlText w:val="(%1)"/>
      <w:numFmt w:val="lowerLetter"/>
      <w:start w:val="1"/>
    </w:lvl>
  </w:abstractNum>
  <w:abstractNum w:abstractNumId="116">
    <w:nsid w:val="379E21B5"/>
    <w:multiLevelType w:val="hybridMultilevel"/>
    <w:lvl w:ilvl="0">
      <w:lvlJc w:val="left"/>
      <w:lvlText w:val="(%1)"/>
      <w:numFmt w:val="lowerRoman"/>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5" Type="http://schemas.openxmlformats.org/officeDocument/2006/relationships/image" Target="media/image117.png"/><Relationship Id="rId153" Type="http://schemas.openxmlformats.org/officeDocument/2006/relationships/image" Target="media/image118.png"/><Relationship Id="rId167" Type="http://schemas.openxmlformats.org/officeDocument/2006/relationships/image" Target="media/image119.png"/><Relationship Id="rId182" Type="http://schemas.openxmlformats.org/officeDocument/2006/relationships/image" Target="media/image120.png"/><Relationship Id="rId202" Type="http://schemas.openxmlformats.org/officeDocument/2006/relationships/image" Target="media/image121.png"/><Relationship Id="rId213" Type="http://schemas.openxmlformats.org/officeDocument/2006/relationships/image" Target="media/image122.png"/><Relationship Id="rId214" Type="http://schemas.openxmlformats.org/officeDocument/2006/relationships/image" Target="media/image123.png"/><Relationship Id="rId215" Type="http://schemas.openxmlformats.org/officeDocument/2006/relationships/image" Target="media/image124.png"/><Relationship Id="rId216" Type="http://schemas.openxmlformats.org/officeDocument/2006/relationships/image" Target="media/image125.png"/><Relationship Id="rId217" Type="http://schemas.openxmlformats.org/officeDocument/2006/relationships/image" Target="media/image126.png"/><Relationship Id="rId218" Type="http://schemas.openxmlformats.org/officeDocument/2006/relationships/image" Target="media/image127.png"/><Relationship Id="rId219" Type="http://schemas.openxmlformats.org/officeDocument/2006/relationships/image" Target="media/image128.png"/><Relationship Id="rId220" Type="http://schemas.openxmlformats.org/officeDocument/2006/relationships/image" Target="media/image129.png"/><Relationship Id="rId221" Type="http://schemas.openxmlformats.org/officeDocument/2006/relationships/image" Target="media/image130.png"/><Relationship Id="rId222" Type="http://schemas.openxmlformats.org/officeDocument/2006/relationships/image" Target="media/image131.png"/><Relationship Id="rId223" Type="http://schemas.openxmlformats.org/officeDocument/2006/relationships/image" Target="media/image132.png"/><Relationship Id="rId224" Type="http://schemas.openxmlformats.org/officeDocument/2006/relationships/image" Target="media/image133.png"/><Relationship Id="rId225" Type="http://schemas.openxmlformats.org/officeDocument/2006/relationships/image" Target="media/image134.png"/><Relationship Id="rId226" Type="http://schemas.openxmlformats.org/officeDocument/2006/relationships/image" Target="media/image135.png"/><Relationship Id="rId227" Type="http://schemas.openxmlformats.org/officeDocument/2006/relationships/image" Target="media/image136.png"/><Relationship Id="rId228" Type="http://schemas.openxmlformats.org/officeDocument/2006/relationships/image" Target="media/image137.png"/><Relationship Id="rId229" Type="http://schemas.openxmlformats.org/officeDocument/2006/relationships/image" Target="media/image138.png"/><Relationship Id="rId230" Type="http://schemas.openxmlformats.org/officeDocument/2006/relationships/image" Target="media/image139.png"/><Relationship Id="rId231" Type="http://schemas.openxmlformats.org/officeDocument/2006/relationships/image" Target="media/image140.png"/><Relationship Id="rId232" Type="http://schemas.openxmlformats.org/officeDocument/2006/relationships/image" Target="media/image141.png"/><Relationship Id="rId233" Type="http://schemas.openxmlformats.org/officeDocument/2006/relationships/image" Target="media/image142.png"/><Relationship Id="rId234" Type="http://schemas.openxmlformats.org/officeDocument/2006/relationships/image" Target="media/image143.png"/><Relationship Id="rId235" Type="http://schemas.openxmlformats.org/officeDocument/2006/relationships/image" Target="media/image144.png"/><Relationship Id="rId236" Type="http://schemas.openxmlformats.org/officeDocument/2006/relationships/image" Target="media/image145.png"/><Relationship Id="rId237" Type="http://schemas.openxmlformats.org/officeDocument/2006/relationships/image" Target="media/image146.png"/><Relationship Id="rId238" Type="http://schemas.openxmlformats.org/officeDocument/2006/relationships/image" Target="media/image147.png"/><Relationship Id="rId239" Type="http://schemas.openxmlformats.org/officeDocument/2006/relationships/image" Target="media/image148.png"/><Relationship Id="rId240" Type="http://schemas.openxmlformats.org/officeDocument/2006/relationships/image" Target="media/image149.png"/><Relationship Id="rId241" Type="http://schemas.openxmlformats.org/officeDocument/2006/relationships/image" Target="media/image150.png"/><Relationship Id="rId242" Type="http://schemas.openxmlformats.org/officeDocument/2006/relationships/image" Target="media/image151.png"/><Relationship Id="rId243" Type="http://schemas.openxmlformats.org/officeDocument/2006/relationships/image" Target="media/image152.png"/><Relationship Id="rId244" Type="http://schemas.openxmlformats.org/officeDocument/2006/relationships/image" Target="media/image153.png"/><Relationship Id="rId245" Type="http://schemas.openxmlformats.org/officeDocument/2006/relationships/image" Target="media/image154.png"/><Relationship Id="rId246" Type="http://schemas.openxmlformats.org/officeDocument/2006/relationships/image" Target="media/image155.png"/><Relationship Id="rId247" Type="http://schemas.openxmlformats.org/officeDocument/2006/relationships/image" Target="media/image156.png"/><Relationship Id="rId248" Type="http://schemas.openxmlformats.org/officeDocument/2006/relationships/image" Target="media/image157.png"/><Relationship Id="rId249" Type="http://schemas.openxmlformats.org/officeDocument/2006/relationships/image" Target="media/image158.png"/><Relationship Id="rId250" Type="http://schemas.openxmlformats.org/officeDocument/2006/relationships/image" Target="media/image159.png"/><Relationship Id="rId251" Type="http://schemas.openxmlformats.org/officeDocument/2006/relationships/image" Target="media/image160.png"/><Relationship Id="rId252" Type="http://schemas.openxmlformats.org/officeDocument/2006/relationships/image" Target="media/image161.png"/><Relationship Id="rId253" Type="http://schemas.openxmlformats.org/officeDocument/2006/relationships/image" Target="media/image162.png"/><Relationship Id="rId254" Type="http://schemas.openxmlformats.org/officeDocument/2006/relationships/image" Target="media/image163.png"/><Relationship Id="rId255" Type="http://schemas.openxmlformats.org/officeDocument/2006/relationships/image" Target="media/image164.png"/><Relationship Id="rId256"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pn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pn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png"/><Relationship Id="rId266" Type="http://schemas.openxmlformats.org/officeDocument/2006/relationships/image" Target="media/image175.png"/><Relationship Id="rId267" Type="http://schemas.openxmlformats.org/officeDocument/2006/relationships/image" Target="media/image176.png"/><Relationship Id="rId268" Type="http://schemas.openxmlformats.org/officeDocument/2006/relationships/image" Target="media/image177.png"/><Relationship Id="rId269" Type="http://schemas.openxmlformats.org/officeDocument/2006/relationships/image" Target="media/image178.png"/><Relationship Id="rId270" Type="http://schemas.openxmlformats.org/officeDocument/2006/relationships/image" Target="media/image179.png"/><Relationship Id="rId271" Type="http://schemas.openxmlformats.org/officeDocument/2006/relationships/image" Target="media/image180.png"/><Relationship Id="rId272" Type="http://schemas.openxmlformats.org/officeDocument/2006/relationships/image" Target="media/image181.png"/><Relationship Id="rId273" Type="http://schemas.openxmlformats.org/officeDocument/2006/relationships/image" Target="media/image182.png"/><Relationship Id="rId274" Type="http://schemas.openxmlformats.org/officeDocument/2006/relationships/image" Target="media/image183.png"/><Relationship Id="rId275" Type="http://schemas.openxmlformats.org/officeDocument/2006/relationships/image" Target="media/image184.png"/><Relationship Id="rId276" Type="http://schemas.openxmlformats.org/officeDocument/2006/relationships/image" Target="media/image185.png"/><Relationship Id="rId277" Type="http://schemas.openxmlformats.org/officeDocument/2006/relationships/image" Target="media/image186.png"/><Relationship Id="rId278" Type="http://schemas.openxmlformats.org/officeDocument/2006/relationships/image" Target="media/image187.png"/><Relationship Id="rId279" Type="http://schemas.openxmlformats.org/officeDocument/2006/relationships/image" Target="media/image188.png"/><Relationship Id="rId280" Type="http://schemas.openxmlformats.org/officeDocument/2006/relationships/image" Target="media/image189.png"/><Relationship Id="rId281" Type="http://schemas.openxmlformats.org/officeDocument/2006/relationships/image" Target="media/image190.png"/><Relationship Id="rId282" Type="http://schemas.openxmlformats.org/officeDocument/2006/relationships/image" Target="media/image191.png"/><Relationship Id="rId283" Type="http://schemas.openxmlformats.org/officeDocument/2006/relationships/image" Target="media/image192.png"/><Relationship Id="rId284" Type="http://schemas.openxmlformats.org/officeDocument/2006/relationships/image" Target="media/image193.png"/><Relationship Id="rId285" Type="http://schemas.openxmlformats.org/officeDocument/2006/relationships/image" Target="media/image194.png"/><Relationship Id="rId286" Type="http://schemas.openxmlformats.org/officeDocument/2006/relationships/image" Target="media/image195.png"/><Relationship Id="rId287" Type="http://schemas.openxmlformats.org/officeDocument/2006/relationships/image" Target="media/image196.png"/><Relationship Id="rId288" Type="http://schemas.openxmlformats.org/officeDocument/2006/relationships/image" Target="media/image197.png"/><Relationship Id="rId289" Type="http://schemas.openxmlformats.org/officeDocument/2006/relationships/image" Target="media/image198.png"/><Relationship Id="rId290" Type="http://schemas.openxmlformats.org/officeDocument/2006/relationships/image" Target="media/image199.png"/><Relationship Id="rId291" Type="http://schemas.openxmlformats.org/officeDocument/2006/relationships/image" Target="media/image200.png"/><Relationship Id="rId292" Type="http://schemas.openxmlformats.org/officeDocument/2006/relationships/image" Target="media/image201.png"/><Relationship Id="rId293" Type="http://schemas.openxmlformats.org/officeDocument/2006/relationships/image" Target="media/image202.png"/><Relationship Id="rId294" Type="http://schemas.openxmlformats.org/officeDocument/2006/relationships/image" Target="media/image203.png"/><Relationship Id="rId295" Type="http://schemas.openxmlformats.org/officeDocument/2006/relationships/image" Target="media/image204.png"/><Relationship Id="rId296" Type="http://schemas.openxmlformats.org/officeDocument/2006/relationships/image" Target="media/image205.png"/><Relationship Id="rId297" Type="http://schemas.openxmlformats.org/officeDocument/2006/relationships/image" Target="media/image206.png"/><Relationship Id="rId298" Type="http://schemas.openxmlformats.org/officeDocument/2006/relationships/image" Target="media/image207.png"/><Relationship Id="rId299" Type="http://schemas.openxmlformats.org/officeDocument/2006/relationships/image" Target="media/image208.png"/><Relationship Id="rId300" Type="http://schemas.openxmlformats.org/officeDocument/2006/relationships/image" Target="media/image209.png"/><Relationship Id="rId301" Type="http://schemas.openxmlformats.org/officeDocument/2006/relationships/image" Target="media/image210.png"/><Relationship Id="rId302" Type="http://schemas.openxmlformats.org/officeDocument/2006/relationships/image" Target="media/image211.png"/><Relationship Id="rId303" Type="http://schemas.openxmlformats.org/officeDocument/2006/relationships/image" Target="media/image212.png"/><Relationship Id="rId304" Type="http://schemas.openxmlformats.org/officeDocument/2006/relationships/image" Target="media/image213.png"/><Relationship Id="rId305" Type="http://schemas.openxmlformats.org/officeDocument/2006/relationships/image" Target="media/image214.png"/><Relationship Id="rId306" Type="http://schemas.openxmlformats.org/officeDocument/2006/relationships/image" Target="media/image215.png"/><Relationship Id="rId307" Type="http://schemas.openxmlformats.org/officeDocument/2006/relationships/image" Target="media/image216.png"/><Relationship Id="rId308" Type="http://schemas.openxmlformats.org/officeDocument/2006/relationships/image" Target="media/image217.png"/><Relationship Id="rId309" Type="http://schemas.openxmlformats.org/officeDocument/2006/relationships/image" Target="media/image218.png"/><Relationship Id="rId310" Type="http://schemas.openxmlformats.org/officeDocument/2006/relationships/image" Target="media/image219.png"/><Relationship Id="rId124" Type="http://schemas.openxmlformats.org/officeDocument/2006/relationships/hyperlink" Target="http://www.sec.gov/Archives/edgar/data/1070423/000110465916132668/a16-14925_1ex2d1.htm" TargetMode="External"/><Relationship Id="rId125" Type="http://schemas.openxmlformats.org/officeDocument/2006/relationships/hyperlink" Target="https://www.sec.gov/Archives/edgar/data/1070423/000110465921091443/tm2121935d1_ex2-1.htm" TargetMode="External"/><Relationship Id="rId126" Type="http://schemas.openxmlformats.org/officeDocument/2006/relationships/hyperlink" Target="http://www.sec.gov/Archives/edgar/data/1070423/000110465917061889/a17-22685_5ex3d1.htm" TargetMode="External"/><Relationship Id="rId127" Type="http://schemas.openxmlformats.org/officeDocument/2006/relationships/hyperlink" Target="http://www.sec.gov/Archives/edgar/data/1070423/000104746904016502/a2135501zex-3_2.htm" TargetMode="External"/><Relationship Id="rId128" Type="http://schemas.openxmlformats.org/officeDocument/2006/relationships/hyperlink" Target="http://www.sec.gov/Archives/edgar/data/1070423/000110465911010359/a11-2319_1ex3d9.htm" TargetMode="External"/><Relationship Id="rId129" Type="http://schemas.openxmlformats.org/officeDocument/2006/relationships/hyperlink" Target="http://www.sec.gov/Archives/edgar/data/1070423/000110465911010359/a11-2319_1ex3d10.htm" TargetMode="External"/><Relationship Id="rId130" Type="http://schemas.openxmlformats.org/officeDocument/2006/relationships/hyperlink" Target="http://www.sec.gov/Archives/edgar/data/1070423/000110465914014322/a13-25941_1ex3d7.htm" TargetMode="External"/><Relationship Id="rId131" Type="http://schemas.openxmlformats.org/officeDocument/2006/relationships/hyperlink" Target="http://www.sec.gov/Archives/edgar/data/1070423/000110465914014322/a13-25941_1ex3d8.htm" TargetMode="External"/><Relationship Id="rId132" Type="http://schemas.openxmlformats.org/officeDocument/2006/relationships/hyperlink" Target="http://www.sec.gov/Archives/edgar/data/1070423/000107042320000004/paa201910-kexhibit37.htm" TargetMode="External"/><Relationship Id="rId133" Type="http://schemas.openxmlformats.org/officeDocument/2006/relationships/hyperlink" Target="http://www.sec.gov/Archives/edgar/data/1070423/000104746904016502/a2135501zex-3_3.htm" TargetMode="External"/><Relationship Id="rId134" Type="http://schemas.openxmlformats.org/officeDocument/2006/relationships/hyperlink" Target="http://www.sec.gov/Archives/edgar/data/1070423/000110465914014322/a13-25941_1ex3d10.htm" TargetMode="External"/><Relationship Id="rId136" Type="http://schemas.openxmlformats.org/officeDocument/2006/relationships/hyperlink" Target="http://www.sec.gov/Archives/edgar/data/1070423/000110465916158355/a16-21841_1ex3d3.htm" TargetMode="External"/><Relationship Id="rId137" Type="http://schemas.openxmlformats.org/officeDocument/2006/relationships/hyperlink" Target="http://www.sec.gov/Archives/edgar/data/1070423/000110465916158355/a16-21841_1ex3d4.htm" TargetMode="External"/><Relationship Id="rId138" Type="http://schemas.openxmlformats.org/officeDocument/2006/relationships/hyperlink" Target="http://www.sec.gov/Archives/edgar/data/1070423/000110465918060011/a18-36196_1ex3d1.htm" TargetMode="External"/><Relationship Id="rId139" Type="http://schemas.openxmlformats.org/officeDocument/2006/relationships/hyperlink" Target="http://www.sec.gov/Archives/edgar/data/1070423/000110465919032810/a19-10856_1ex3d1.htm" TargetMode="External"/><Relationship Id="rId140" Type="http://schemas.openxmlformats.org/officeDocument/2006/relationships/hyperlink" Target="http://www.sec.gov/Archives/edgar/data/1070423/000095012907001096/h43224exv3w10.htm" TargetMode="External"/><Relationship Id="rId141" Type="http://schemas.openxmlformats.org/officeDocument/2006/relationships/hyperlink" Target="http://www.sec.gov/Archives/edgar/data/1070423/000095012907001096/h43224exv3w11.htm" TargetMode="External"/><Relationship Id="rId142" Type="http://schemas.openxmlformats.org/officeDocument/2006/relationships/hyperlink" Target="http://www.sec.gov/Archives/edgar/data/1070423/000095012908000071/h52770exv3w3.htm" TargetMode="External"/><Relationship Id="rId143" Type="http://schemas.openxmlformats.org/officeDocument/2006/relationships/hyperlink" Target="http://www.sec.gov/Archives/edgar/data/1581990/000104746913007875/a2216069zex-3_1.htm" TargetMode="External"/><Relationship Id="rId144" Type="http://schemas.openxmlformats.org/officeDocument/2006/relationships/hyperlink" Target="http://www.sec.gov/Archives/edgar/data/1581990/000110465916158356/a16-21845_1ex3d2.htm" TargetMode="External"/><Relationship Id="rId145" Type="http://schemas.openxmlformats.org/officeDocument/2006/relationships/hyperlink" Target="http://www.sec.gov/Archives/edgar/data/1581990/000158199020000012/exhibit31.htm" TargetMode="External"/><Relationship Id="rId146" Type="http://schemas.openxmlformats.org/officeDocument/2006/relationships/hyperlink" Target="http://www.sec.gov/Archives/edgar/data/1581990/000104746913007875/a2216069zex-3_3.htm" TargetMode="External"/><Relationship Id="rId147" Type="http://schemas.openxmlformats.org/officeDocument/2006/relationships/hyperlink" Target="https://www.sec.gov/Archives/edgar/data/1070423/000107042322000006/paa202110-kexhibite69.htm" TargetMode="External"/><Relationship Id="rId148" Type="http://schemas.openxmlformats.org/officeDocument/2006/relationships/hyperlink" Target="http://www.sec.gov/Archives/edgar/data/1070423/000089924302002834/dex41.txt" TargetMode="External"/><Relationship Id="rId149" Type="http://schemas.openxmlformats.org/officeDocument/2006/relationships/hyperlink" Target="http://www.sec.gov/Archives/edgar/data/1070423/000110465906034368/a06-11663_1ex4d1.htm" TargetMode="External"/><Relationship Id="rId150" Type="http://schemas.openxmlformats.org/officeDocument/2006/relationships/hyperlink" Target="http://www.sec.gov/Archives/edgar/data/1070423/000095012906009235/h40667exv4w2.htm" TargetMode="External"/><Relationship Id="rId151" Type="http://schemas.openxmlformats.org/officeDocument/2006/relationships/hyperlink" Target="http://www.sec.gov/Archives/edgar/data/1070423/000119312512132295/d321017dex43.htm" TargetMode="External"/><Relationship Id="rId152" Type="http://schemas.openxmlformats.org/officeDocument/2006/relationships/hyperlink" Target="http://www.sec.gov/Archives/edgar/data/1070423/000119312512499932/d453762dex41.htm" TargetMode="External"/><Relationship Id="rId154" Type="http://schemas.openxmlformats.org/officeDocument/2006/relationships/hyperlink" Target="http://www.sec.gov/Archives/edgar/data/1070423/000119312512499932/d453762dex43.htm" TargetMode="External"/><Relationship Id="rId155" Type="http://schemas.openxmlformats.org/officeDocument/2006/relationships/hyperlink" Target="http://www.sec.gov/Archives/edgar/data/1070423/000119312513336066/d581734dex41.htm" TargetMode="External"/><Relationship Id="rId156" Type="http://schemas.openxmlformats.org/officeDocument/2006/relationships/hyperlink" Target="http://www.sec.gov/Archives/edgar/data/1070423/000119312514164183/d713938dex41.htm" TargetMode="External"/><Relationship Id="rId157" Type="http://schemas.openxmlformats.org/officeDocument/2006/relationships/hyperlink" Target="http://www.sec.gov/Archives/edgar/data/1070423/000119312514338289/d787160dex41.htm" TargetMode="External"/><Relationship Id="rId158" Type="http://schemas.openxmlformats.org/officeDocument/2006/relationships/hyperlink" Target="http://www.sec.gov/Archives/edgar/data/1070423/000119312514440007/d833885dex43.htm" TargetMode="External"/><Relationship Id="rId159" Type="http://schemas.openxmlformats.org/officeDocument/2006/relationships/hyperlink" Target="http://www.sec.gov/Archives/edgar/data/1070423/000119312515302829/d45393dex41.htm" TargetMode="External"/><Relationship Id="rId160" Type="http://schemas.openxmlformats.org/officeDocument/2006/relationships/hyperlink" Target="http://www.sec.gov/Archives/edgar/data/1070423/000110465916159593/a16-22232_1ex4d1.htm" TargetMode="External"/><Relationship Id="rId161" Type="http://schemas.openxmlformats.org/officeDocument/2006/relationships/hyperlink" Target="http://www.sec.gov/Archives/edgar/data/1070423/000141057819001281/tv529555_ex4-1.htm" TargetMode="External"/><Relationship Id="rId162" Type="http://schemas.openxmlformats.org/officeDocument/2006/relationships/hyperlink" Target="http://www.sec.gov/Archives/edgar/data/1070423/000110465920072270/tm2022235d1_ex4-1.htm" TargetMode="External"/><Relationship Id="rId163" Type="http://schemas.openxmlformats.org/officeDocument/2006/relationships/hyperlink" Target="http://www.sec.gov/Archives/edgar/data/1070423/000095012309050401/h68193exv4w1.htm" TargetMode="External"/><Relationship Id="rId164" Type="http://schemas.openxmlformats.org/officeDocument/2006/relationships/hyperlink" Target="http://www.sec.gov/Archives/edgar/data/1070423/000110465916093299/a16-3362_1ex4d1.htm" TargetMode="External"/><Relationship Id="rId165" Type="http://schemas.openxmlformats.org/officeDocument/2006/relationships/hyperlink" Target="http://www.sec.gov/Archives/edgar/data/1070423/000110465916158355/a16-21841_1ex10d4.htm" TargetMode="External"/><Relationship Id="rId166" Type="http://schemas.openxmlformats.org/officeDocument/2006/relationships/hyperlink" Target="https://www.sec.gov/Archives/edgar/data/1070423/000110465921109829/tm2125729d3_ex10-1.htm" TargetMode="External"/><Relationship Id="rId168" Type="http://schemas.openxmlformats.org/officeDocument/2006/relationships/hyperlink" Target="https://www.sec.gov/Archives/edgar/data/1070423/000110465922094478/tm2224524d1_ex10-1.htm" TargetMode="External"/><Relationship Id="rId169" Type="http://schemas.openxmlformats.org/officeDocument/2006/relationships/hyperlink" Target="https://www.sec.gov/Archives/edgar/data/1070423/000110465921109829/tm2125729d3_ex10-2.htm" TargetMode="External"/><Relationship Id="rId170" Type="http://schemas.openxmlformats.org/officeDocument/2006/relationships/hyperlink" Target="https://www.sec.gov/Archives/edgar/data/1070423/000110465922094478/tm2224524d1_ex10-2.htm" TargetMode="External"/><Relationship Id="rId171" Type="http://schemas.openxmlformats.org/officeDocument/2006/relationships/hyperlink" Target="http://www.sec.gov/Archives/edgar/data/1070423/000095012908000071/h52770exv10w2.htm" TargetMode="External"/><Relationship Id="rId172" Type="http://schemas.openxmlformats.org/officeDocument/2006/relationships/hyperlink" Target="http://www.sec.gov/Archives/edgar/data/1070423/000110465916158355/a16-21841_1ex10d1.htm" TargetMode="External"/><Relationship Id="rId173" Type="http://schemas.openxmlformats.org/officeDocument/2006/relationships/hyperlink" Target="http://www.sec.gov/Archives/edgar/data/1070423/000110465916158355/a16-21841_1ex10d2.htm" TargetMode="External"/><Relationship Id="rId174" Type="http://schemas.openxmlformats.org/officeDocument/2006/relationships/hyperlink" Target="http://www.sec.gov/Archives/edgar/data/1070423/000089924301501783/dex101.txt" TargetMode="External"/><Relationship Id="rId175" Type="http://schemas.openxmlformats.org/officeDocument/2006/relationships/hyperlink" Target="http://www.sec.gov/Archives/edgar/data/1070423/000104746909001897/a2190434zex-10_49.htm" TargetMode="External"/><Relationship Id="rId176" Type="http://schemas.openxmlformats.org/officeDocument/2006/relationships/hyperlink" Target="http://www.sec.gov/Archives/edgar/data/1070423/000110465911010359/a11-2319_1ex10d31.htm" TargetMode="External"/><Relationship Id="rId177" Type="http://schemas.openxmlformats.org/officeDocument/2006/relationships/hyperlink" Target="http://www.sec.gov/Archives/edgar/data/1070423/000110465913078056/a13-22862_1ex10d2.htm" TargetMode="External"/><Relationship Id="rId178" Type="http://schemas.openxmlformats.org/officeDocument/2006/relationships/hyperlink" Target="http://www.sec.gov/Archives/edgar/data/1070423/000107042318000015/paaq32018exhibit106.htm" TargetMode="External"/><Relationship Id="rId179" Type="http://schemas.openxmlformats.org/officeDocument/2006/relationships/hyperlink" Target="http://www.sec.gov/Archives/edgar/data/1070423/000107042320000004/paa201910-kexhibit1031.htm" TargetMode="External"/><Relationship Id="rId180" Type="http://schemas.openxmlformats.org/officeDocument/2006/relationships/hyperlink" Target="https://www.sec.gov/Archives/edgar/data/1070423/000107042322000006/paa202110-kexhibit1012.htm" TargetMode="External"/><Relationship Id="rId181" Type="http://schemas.openxmlformats.org/officeDocument/2006/relationships/hyperlink" Target="http://www.sec.gov/Archives/edgar/data/1070423/000089924301501783/dex102.txt" TargetMode="External"/><Relationship Id="rId183" Type="http://schemas.openxmlformats.org/officeDocument/2006/relationships/hyperlink" Target="http://www.sec.gov/Archives/edgar/data/1070423/000104746909001897/a2190434zex-10_50.htm" TargetMode="External"/><Relationship Id="rId184" Type="http://schemas.openxmlformats.org/officeDocument/2006/relationships/hyperlink" Target="http://www.sec.gov/Archives/edgar/data/1070423/000107042319000013/paaq32019exhibit101.htm" TargetMode="External"/><Relationship Id="rId185" Type="http://schemas.openxmlformats.org/officeDocument/2006/relationships/hyperlink" Target="http://www.sec.gov/Archives/edgar/data/1070423/000110465911010359/a11-2319_1ex10d32.htm" TargetMode="External"/><Relationship Id="rId186" Type="http://schemas.openxmlformats.org/officeDocument/2006/relationships/hyperlink" Target="http://www.sec.gov/Archives/edgar/data/1070423/000110465913078056/a13-22862_1ex10d3.htm" TargetMode="External"/><Relationship Id="rId187" Type="http://schemas.openxmlformats.org/officeDocument/2006/relationships/hyperlink" Target="http://www.sec.gov/Archives/edgar/data/1070423/000110465916100030/a15-24557_1ex10d53.htm" TargetMode="External"/><Relationship Id="rId188" Type="http://schemas.openxmlformats.org/officeDocument/2006/relationships/hyperlink" Target="http://www.sec.gov/Archives/edgar/data/1070423/000107042318000015/paaq32018exhibit107.htm" TargetMode="External"/><Relationship Id="rId189" Type="http://schemas.openxmlformats.org/officeDocument/2006/relationships/hyperlink" Target="http://www.sec.gov/Archives/edgar/data/1070423/000107042316000004/paa09302016exhibit108.htm" TargetMode="External"/><Relationship Id="rId190" Type="http://schemas.openxmlformats.org/officeDocument/2006/relationships/hyperlink" Target="http://www.sec.gov/Archives/edgar/data/1070423/000107042318000009/paaq12018exhibit101.htm" TargetMode="External"/><Relationship Id="rId191" Type="http://schemas.openxmlformats.org/officeDocument/2006/relationships/hyperlink" Target="http://www.sec.gov/Archives/edgar/data/1070423/000107042318000015/paaq32018exhibit108.htm" TargetMode="External"/><Relationship Id="rId192" Type="http://schemas.openxmlformats.org/officeDocument/2006/relationships/hyperlink" Target="https://www.sec.gov/Archives/edgar/data/1070423/000110465921049049/tm212450-1_def14a.htm#tAPPA" TargetMode="External"/><Relationship Id="rId193" Type="http://schemas.openxmlformats.org/officeDocument/2006/relationships/hyperlink" Target="http://www.sec.gov/Archives/edgar/data/1070423/000119312513390367/d597666ddef14a.htm#rom597666_10" TargetMode="External"/><Relationship Id="rId194" Type="http://schemas.openxmlformats.org/officeDocument/2006/relationships/hyperlink" Target="http://www.sec.gov/Archives/edgar/data/1070423/000110465913093006/a13-26950_1ex4d4.htm" TargetMode="External"/><Relationship Id="rId195" Type="http://schemas.openxmlformats.org/officeDocument/2006/relationships/hyperlink" Target="http://www.sec.gov/Archives/edgar/data/1481506/000095012310047963/h72950exv10w2.htm" TargetMode="External"/><Relationship Id="rId196" Type="http://schemas.openxmlformats.org/officeDocument/2006/relationships/hyperlink" Target="http://www.sec.gov/Archives/edgar/data/1581990/000110465913078057/a13-22338_2ex10d3.htm" TargetMode="External"/><Relationship Id="rId197" Type="http://schemas.openxmlformats.org/officeDocument/2006/relationships/hyperlink" Target="http://www.sec.gov/Archives/edgar/data/1070423/000095012908000071/h52770exv10w1.htm" TargetMode="External"/><Relationship Id="rId198" Type="http://schemas.openxmlformats.org/officeDocument/2006/relationships/hyperlink" Target="http://www.sec.gov/Archives/edgar/data/1070423/000110465913078056/a13-22862_1ex10d4.htm" TargetMode="External"/><Relationship Id="rId199" Type="http://schemas.openxmlformats.org/officeDocument/2006/relationships/hyperlink" Target="http://www.sec.gov/Archives/edgar/data/1070423/000107042316000004/paa09302016exhibit106.htm" TargetMode="External"/><Relationship Id="rId200" Type="http://schemas.openxmlformats.org/officeDocument/2006/relationships/hyperlink" Target="http://www.sec.gov/Archives/edgar/data/1070423/000107042318000009/paaq12018exhibit102.htm" TargetMode="External"/><Relationship Id="rId201" Type="http://schemas.openxmlformats.org/officeDocument/2006/relationships/hyperlink" Target="http://www.sec.gov/Archives/edgar/data/1070423/000107042319000013/paaq32019exhibit102.htm" TargetMode="External"/><Relationship Id="rId203" Type="http://schemas.openxmlformats.org/officeDocument/2006/relationships/hyperlink" Target="http://www.sec.gov/Archives/edgar/data/1070423/000107042319000013/paaq32019exhibit103.htm" TargetMode="External"/><Relationship Id="rId204" Type="http://schemas.openxmlformats.org/officeDocument/2006/relationships/hyperlink" Target="http://www.sec.gov/Archives/edgar/data/1070423/000107042320000004/paa201910-kexhibit1072.htm" TargetMode="External"/><Relationship Id="rId205" Type="http://schemas.openxmlformats.org/officeDocument/2006/relationships/hyperlink" Target="http://www.sec.gov/Archives/edgar/data/1070423/000107042320000031/paaq3202010-qexhibit101.htm" TargetMode="External"/><Relationship Id="rId206" Type="http://schemas.openxmlformats.org/officeDocument/2006/relationships/hyperlink" Target="http://www.sec.gov/Archives/edgar/data/1070423/000107042320000031/paaq3202010-qexhibit102.htm" TargetMode="External"/><Relationship Id="rId207" Type="http://schemas.openxmlformats.org/officeDocument/2006/relationships/hyperlink" Target="https://www.sec.gov/Archives/edgar/data/1070423/000107042321000008/paa202010-kexhibit1053.htm" TargetMode="External"/><Relationship Id="rId208" Type="http://schemas.openxmlformats.org/officeDocument/2006/relationships/hyperlink" Target="https://www.sec.gov/Archives/edgar/data/1070423/000107042321000028/paaq3202110-qexhibit103.htm" TargetMode="External"/><Relationship Id="rId209" Type="http://schemas.openxmlformats.org/officeDocument/2006/relationships/hyperlink" Target="https://www.sec.gov/Archives/edgar/data/1070423/000107042321000028/paaq3202110-qexhibit104.htm" TargetMode="External"/><Relationship Id="rId210" Type="http://schemas.openxmlformats.org/officeDocument/2006/relationships/hyperlink" Target="https://www.sec.gov/Archives/edgar/data/1070423/000107042322000012/paaq12022exhibit101.htm" TargetMode="External"/><Relationship Id="rId211" Type="http://schemas.openxmlformats.org/officeDocument/2006/relationships/hyperlink" Target="https://www.sec.gov/Archives/edgar/data/1070423/000107042322000026/paaq3202210-qexhibit104.htm" TargetMode="External"/><Relationship Id="rId212" Type="http://schemas.openxmlformats.org/officeDocument/2006/relationships/hyperlink" Target="https://www.sec.gov/Archives/edgar/data/1070423/000107042322000026/paaq3202210-q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2023-03-01T07:49:39Z</dcterms:created>
  <dcterms:modified xsi:type="dcterms:W3CDTF">2023-03-01T07:49:39Z</dcterms:modified>
</cp:coreProperties>
</file>