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10-K</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(Mark One)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ANNUAL REPORT PURSUANT TO SECTION 13 OR 15(d) OF THE SECURITIES EXCHANGE ACT OF 1934</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 xml:space="preserve">For the fiscal year ended December 31, 2025 </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TRANSITION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number 1-36132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PLAINS GP HOLDINGS, L.P.</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7286" w:type="dxa"/>
        <w:jc w:val="left"/>
        <w:tblInd w:w="0" w:type="dxa"/>
        <w:tblLayout w:type="fixed"/>
        <w:tblCellMar>
          <w:top w:w="28" w:type="dxa"/>
          <w:left w:w="28" w:type="dxa"/>
          <w:bottom w:w="28" w:type="dxa"/>
          <w:right w:w="28" w:type="dxa"/>
        </w:tblCellMar>
      </w:tblPr>
      <w:tblGrid>
        <w:gridCol w:w="1553"/>
        <w:gridCol w:w="1364"/>
        <w:gridCol w:w="1372"/>
        <w:gridCol w:w="109"/>
        <w:gridCol w:w="109"/>
        <w:gridCol w:w="109"/>
        <w:gridCol w:w="778"/>
        <w:gridCol w:w="778"/>
        <w:gridCol w:w="1114"/>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90-1005472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333 Clay Street, Suite 1600, Houston,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77002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16"/>
        </w:rPr>
        <w:t xml:space="preserve">Registrant’s telephone number, including area code: </w:t>
      </w:r>
      <w:r>
        <w:rPr>
          <w:rFonts w:ascii="Times New Roman;serif" w:hAnsi="Times New Roman;serif"/>
          <w:b/>
          <w:color w:val="000000"/>
          <w:sz w:val="16"/>
        </w:rPr>
        <w:t>(713) 646-4100</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573" w:type="dxa"/>
        <w:jc w:val="center"/>
        <w:tblInd w:w="0" w:type="dxa"/>
        <w:tblLayout w:type="fixed"/>
        <w:tblCellMar>
          <w:top w:w="28" w:type="dxa"/>
          <w:left w:w="28" w:type="dxa"/>
          <w:bottom w:w="28" w:type="dxa"/>
          <w:right w:w="28" w:type="dxa"/>
        </w:tblCellMar>
      </w:tblPr>
      <w:tblGrid>
        <w:gridCol w:w="1395"/>
        <w:gridCol w:w="1228"/>
        <w:gridCol w:w="1231"/>
        <w:gridCol w:w="109"/>
        <w:gridCol w:w="109"/>
        <w:gridCol w:w="109"/>
        <w:gridCol w:w="409"/>
        <w:gridCol w:w="409"/>
        <w:gridCol w:w="411"/>
        <w:gridCol w:w="109"/>
        <w:gridCol w:w="109"/>
        <w:gridCol w:w="109"/>
        <w:gridCol w:w="830"/>
        <w:gridCol w:w="830"/>
        <w:gridCol w:w="1176"/>
      </w:tblGrid>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3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Shares, Representing Limited Partner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lineRule="auto" w:line="288" w:before="0" w:after="0"/>
        <w:jc w:val="center"/>
        <w:rPr/>
      </w:pPr>
      <w:r>
        <w:rPr>
          <w:rFonts w:ascii="Times New Roman;serif" w:hAnsi="Times New Roman;serif"/>
          <w:b w:val="false"/>
          <w:color w:val="000000"/>
          <w:sz w:val="16"/>
        </w:rPr>
        <w:t>Securities registered pursuant to Section 12(g) of the Act: </w:t>
      </w:r>
      <w:r>
        <w:rPr>
          <w:rFonts w:ascii="Times New Roman;serif" w:hAnsi="Times New Roman;serif"/>
          <w:b/>
          <w:color w:val="000000"/>
          <w:sz w:val="16"/>
        </w:rPr>
        <w:t>None</w:t>
      </w:r>
    </w:p>
    <w:p>
      <w:pPr>
        <w:pStyle w:val="TextBody"/>
        <w:bidi w:val="0"/>
        <w:spacing w:before="0" w:after="0"/>
        <w:jc w:val="left"/>
        <w:rPr/>
      </w:pPr>
      <w:r>
        <w:rPr/>
      </w:r>
    </w:p>
    <w:p>
      <w:pPr>
        <w:pStyle w:val="TextBody"/>
        <w:bidi w:val="0"/>
        <w:spacing w:lineRule="auto" w:line="288" w:before="0" w:after="60"/>
        <w:ind w:left="0" w:right="0" w:firstLine="315"/>
        <w:jc w:val="left"/>
        <w:rPr/>
      </w:pPr>
      <w:r>
        <w:rPr>
          <w:rFonts w:ascii="Times New Roman;serif" w:hAnsi="Times New Roman;serif"/>
          <w:b w:val="false"/>
          <w:color w:val="000000"/>
          <w:sz w:val="16"/>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60"/>
        <w:ind w:left="0" w:right="0" w:firstLine="315"/>
        <w:jc w:val="left"/>
        <w:rPr/>
      </w:pPr>
      <w:r>
        <w:rPr>
          <w:rFonts w:ascii="Times New Roman;serif" w:hAnsi="Times New Roman;serif"/>
          <w:b w:val="false"/>
          <w:color w:val="000000"/>
          <w:sz w:val="16"/>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60"/>
        <w:ind w:left="0" w:right="0" w:firstLine="315"/>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Times New Roman;serif" w:hAnsi="Times New Roman;serif"/>
          <w:b w:val="false"/>
          <w:color w:val="000000"/>
          <w:sz w:val="16"/>
        </w:rPr>
        <w:t>.  </w:t>
      </w:r>
      <w:r>
        <w:rPr>
          <w:rFonts w:ascii="Times New Roman;serif" w:hAnsi="Times New Roman;serif"/>
          <w:b w:val="false"/>
          <w:color w:val="000000"/>
          <w:sz w:val="16"/>
        </w:rPr>
        <w:t>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60"/>
        <w:ind w:left="0" w:right="0" w:firstLine="315"/>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r>
        <w:rPr>
          <w:rFonts w:ascii="Times New Roman;serif" w:hAnsi="Times New Roman;serif"/>
          <w:b w:val="false"/>
          <w:color w:val="000000"/>
          <w:sz w:val="16"/>
        </w:rPr>
        <w:t>.  </w:t>
      </w:r>
      <w:r>
        <w:rPr>
          <w:rFonts w:ascii="Times New Roman;serif" w:hAnsi="Times New Roman;serif"/>
          <w:b w:val="false"/>
          <w:color w:val="000000"/>
          <w:sz w:val="16"/>
        </w:rPr>
        <w:t>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60"/>
        <w:ind w:left="0" w:right="0" w:firstLine="315"/>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557"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675"/>
        <w:gridCol w:w="675"/>
        <w:gridCol w:w="961"/>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Large accelerated filer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Accelerated filer </w:t>
            </w: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Non-accelerated filer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Smaller reporting company </w:t>
            </w: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Emerging growth company ☐</w:t>
            </w:r>
          </w:p>
        </w:tc>
      </w:tr>
    </w:tbl>
    <w:p>
      <w:pPr>
        <w:pStyle w:val="TextBody"/>
        <w:bidi w:val="0"/>
        <w:spacing w:lineRule="auto" w:line="288" w:before="0" w:after="60"/>
        <w:ind w:left="0" w:right="0" w:firstLine="36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w:t>
      </w:r>
    </w:p>
    <w:p>
      <w:pPr>
        <w:pStyle w:val="TextBody"/>
        <w:bidi w:val="0"/>
        <w:spacing w:lineRule="auto" w:line="288" w:before="0" w:after="60"/>
        <w:ind w:left="0" w:right="0" w:firstLine="360"/>
        <w:jc w:val="left"/>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serif" w:hAnsi="Times New Roman;serif"/>
          <w:b w:val="false"/>
          <w:color w:val="000000"/>
          <w:sz w:val="16"/>
        </w:rPr>
        <w:t>.</w:t>
      </w:r>
      <w:r>
        <w:rPr>
          <w:color w:val="000000"/>
        </w:rPr>
        <w:t xml:space="preserve"> ☑</w:t>
      </w:r>
    </w:p>
    <w:p>
      <w:pPr>
        <w:pStyle w:val="TextBody"/>
        <w:bidi w:val="0"/>
        <w:spacing w:lineRule="auto" w:line="288" w:before="0" w:after="6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6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60"/>
        <w:ind w:left="0" w:right="0" w:firstLine="360"/>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6"/>
        </w:rPr>
        <w:t>No</w:t>
      </w:r>
      <w:r>
        <w:rPr>
          <w:color w:val="000000"/>
        </w:rPr>
        <w:t> ☑</w:t>
      </w:r>
    </w:p>
    <w:p>
      <w:pPr>
        <w:pStyle w:val="TextBody"/>
        <w:bidi w:val="0"/>
        <w:spacing w:lineRule="auto" w:line="288" w:before="0" w:after="6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 xml:space="preserve">The aggregate market value of the approximately 192.3 million Class A shares held by non-affiliates of the registrant (treating all executive officers and directors of the registrant and holders of 10% or more of the Class A shares outstanding, for this purpose, as if they are affiliates of the registrant) on June 30, 2025 was approximately $3.7 billion, based on a closing price of $19.43 per Class A share as reported on the Nasdaq Global Select Market on such date. </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As of February 20, 2026, there were 197,904,124 Class A shares outstanding.</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DOCUMENTS INCORPORATED BY REFERENCE</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Portions of the registrant’s definitive Proxy Statement to be filed pursuant to Regulation 14A pertaining to the 2026 Annual Meeting of Shareholders are incorporated by reference into Part III hereof. The registrant intends to file such Proxy Statement no later than 120 days after the end of the fiscal year covered by this 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10-K—2025 ANNUAL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051" w:type="dxa"/>
        <w:jc w:val="center"/>
        <w:tblInd w:w="0" w:type="dxa"/>
        <w:tblLayout w:type="fixed"/>
        <w:tblCellMar>
          <w:top w:w="28" w:type="dxa"/>
          <w:left w:w="28" w:type="dxa"/>
          <w:bottom w:w="28" w:type="dxa"/>
          <w:right w:w="28" w:type="dxa"/>
        </w:tblCellMar>
      </w:tblPr>
      <w:tblGrid>
        <w:gridCol w:w="450"/>
        <w:gridCol w:w="397"/>
        <w:gridCol w:w="398"/>
        <w:gridCol w:w="2752"/>
        <w:gridCol w:w="2752"/>
        <w:gridCol w:w="2791"/>
        <w:gridCol w:w="149"/>
        <w:gridCol w:w="149"/>
        <w:gridCol w:w="213"/>
      </w:tblGrid>
      <w:tr>
        <w:trPr/>
        <w:tc>
          <w:tcPr>
            <w:tcW w:w="45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15c301e2e1454884c7405821cd32fa_13">
              <w:r>
                <w:rPr>
                  <w:rStyle w:val="InternetLink"/>
                  <w:rFonts w:ascii="Times New Roman;serif" w:hAnsi="Times New Roman;serif"/>
                  <w:b/>
                  <w:color w:val="0000FF"/>
                  <w:sz w:val="20"/>
                  <w:u w:val="single"/>
                </w:rPr>
                <w:t>PART I</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0c15c301e2e1454884c7405821cd32fa_13">
              <w:r>
                <w:rPr>
                  <w:rStyle w:val="InternetLink"/>
                  <w:rFonts w:ascii="Times New Roman;serif" w:hAnsi="Times New Roman;serif"/>
                  <w:b w:val="false"/>
                  <w:strike w:val="false"/>
                  <w:dstrike w:val="false"/>
                  <w:color w:val="000000"/>
                  <w:sz w:val="20"/>
                  <w:u w:val="none"/>
                  <w:effect w:val="none"/>
                </w:rPr>
                <w:t>5</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6">
              <w:r>
                <w:rPr>
                  <w:rStyle w:val="InternetLink"/>
                  <w:rFonts w:ascii="Times New Roman;serif" w:hAnsi="Times New Roman;serif"/>
                  <w:b w:val="false"/>
                  <w:color w:val="0000FF"/>
                  <w:sz w:val="20"/>
                  <w:u w:val="single"/>
                </w:rPr>
                <w:t>Items 1 and 2.</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6">
              <w:r>
                <w:rPr>
                  <w:rStyle w:val="InternetLink"/>
                  <w:rFonts w:ascii="Times New Roman;serif" w:hAnsi="Times New Roman;serif"/>
                  <w:b w:val="false"/>
                  <w:color w:val="0000FF"/>
                  <w:sz w:val="20"/>
                  <w:u w:val="single"/>
                </w:rPr>
                <w:t>Business and Properties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6">
              <w:r>
                <w:rPr>
                  <w:rStyle w:val="InternetLink"/>
                  <w:rFonts w:ascii="Times New Roman;serif" w:hAnsi="Times New Roman;serif"/>
                  <w:b w:val="false"/>
                  <w:strike w:val="false"/>
                  <w:dstrike w:val="false"/>
                  <w:color w:val="000000"/>
                  <w:sz w:val="20"/>
                  <w:u w:val="none"/>
                  <w:effect w:val="none"/>
                </w:rPr>
                <w:t>5</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58">
              <w:r>
                <w:rPr>
                  <w:rStyle w:val="InternetLink"/>
                  <w:rFonts w:ascii="Times New Roman;serif" w:hAnsi="Times New Roman;serif"/>
                  <w:b w:val="false"/>
                  <w:color w:val="0000FF"/>
                  <w:sz w:val="20"/>
                  <w:u w:val="single"/>
                </w:rPr>
                <w:t>Item 1A.</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58">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58">
              <w:r>
                <w:rPr>
                  <w:rStyle w:val="InternetLink"/>
                  <w:rFonts w:ascii="Times New Roman;serif" w:hAnsi="Times New Roman;serif"/>
                  <w:b w:val="false"/>
                  <w:strike w:val="false"/>
                  <w:dstrike w:val="false"/>
                  <w:color w:val="000000"/>
                  <w:sz w:val="20"/>
                  <w:u w:val="none"/>
                  <w:effect w:val="none"/>
                </w:rPr>
                <w:t>38</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61">
              <w:r>
                <w:rPr>
                  <w:rStyle w:val="InternetLink"/>
                  <w:rFonts w:ascii="Times New Roman;serif" w:hAnsi="Times New Roman;serif"/>
                  <w:b w:val="false"/>
                  <w:color w:val="0000FF"/>
                  <w:sz w:val="20"/>
                  <w:u w:val="single"/>
                </w:rPr>
                <w:t>Item 1B.</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61">
              <w:r>
                <w:rPr>
                  <w:rStyle w:val="InternetLink"/>
                  <w:rFonts w:ascii="Times New Roman;serif" w:hAnsi="Times New Roman;serif"/>
                  <w:b w:val="false"/>
                  <w:color w:val="0000FF"/>
                  <w:sz w:val="20"/>
                  <w:u w:val="single"/>
                </w:rPr>
                <w:t>Unresolved Staff Comments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61">
              <w:r>
                <w:rPr>
                  <w:rStyle w:val="InternetLink"/>
                  <w:rFonts w:ascii="Times New Roman;serif" w:hAnsi="Times New Roman;serif"/>
                  <w:b w:val="false"/>
                  <w:strike w:val="false"/>
                  <w:dstrike w:val="false"/>
                  <w:color w:val="000000"/>
                  <w:sz w:val="20"/>
                  <w:u w:val="none"/>
                  <w:effect w:val="none"/>
                </w:rPr>
                <w:t>66</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64">
              <w:r>
                <w:rPr>
                  <w:rStyle w:val="InternetLink"/>
                  <w:rFonts w:ascii="Times New Roman;serif" w:hAnsi="Times New Roman;serif"/>
                  <w:b w:val="false"/>
                  <w:color w:val="0000FF"/>
                  <w:sz w:val="20"/>
                  <w:u w:val="single"/>
                </w:rPr>
                <w:t>Item 1C.</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64">
              <w:r>
                <w:rPr>
                  <w:rStyle w:val="InternetLink"/>
                  <w:rFonts w:ascii="Times New Roman;serif" w:hAnsi="Times New Roman;serif"/>
                  <w:b w:val="false"/>
                  <w:color w:val="0000FF"/>
                  <w:sz w:val="20"/>
                  <w:u w:val="single"/>
                </w:rPr>
                <w:t>Cybersecurity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64">
              <w:r>
                <w:rPr>
                  <w:rStyle w:val="InternetLink"/>
                  <w:rFonts w:ascii="Times New Roman;serif" w:hAnsi="Times New Roman;serif"/>
                  <w:b w:val="false"/>
                  <w:strike w:val="false"/>
                  <w:dstrike w:val="false"/>
                  <w:color w:val="000000"/>
                  <w:sz w:val="20"/>
                  <w:u w:val="none"/>
                  <w:effect w:val="none"/>
                </w:rPr>
                <w:t>66</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67">
              <w:r>
                <w:rPr>
                  <w:rStyle w:val="InternetLink"/>
                  <w:rFonts w:ascii="Times New Roman;serif" w:hAnsi="Times New Roman;serif"/>
                  <w:b w:val="false"/>
                  <w:color w:val="0000FF"/>
                  <w:sz w:val="20"/>
                  <w:u w:val="single"/>
                </w:rPr>
                <w:t>Item 3.</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67">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67">
              <w:r>
                <w:rPr>
                  <w:rStyle w:val="InternetLink"/>
                  <w:rFonts w:ascii="Times New Roman;serif" w:hAnsi="Times New Roman;serif"/>
                  <w:b w:val="false"/>
                  <w:strike w:val="false"/>
                  <w:dstrike w:val="false"/>
                  <w:color w:val="000000"/>
                  <w:sz w:val="20"/>
                  <w:u w:val="none"/>
                  <w:effect w:val="none"/>
                </w:rPr>
                <w:t>67</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70">
              <w:r>
                <w:rPr>
                  <w:rStyle w:val="InternetLink"/>
                  <w:rFonts w:ascii="Times New Roman;serif" w:hAnsi="Times New Roman;serif"/>
                  <w:b w:val="false"/>
                  <w:color w:val="0000FF"/>
                  <w:sz w:val="20"/>
                  <w:u w:val="single"/>
                </w:rPr>
                <w:t>Item 4.</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70">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70">
              <w:r>
                <w:rPr>
                  <w:rStyle w:val="InternetLink"/>
                  <w:rFonts w:ascii="Times New Roman;serif" w:hAnsi="Times New Roman;serif"/>
                  <w:b w:val="false"/>
                  <w:strike w:val="false"/>
                  <w:dstrike w:val="false"/>
                  <w:color w:val="000000"/>
                  <w:sz w:val="20"/>
                  <w:u w:val="none"/>
                  <w:effect w:val="none"/>
                </w:rPr>
                <w:t>67</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15c301e2e1454884c7405821cd32fa_73">
              <w:r>
                <w:rPr>
                  <w:rStyle w:val="InternetLink"/>
                  <w:rFonts w:ascii="Times New Roman;serif" w:hAnsi="Times New Roman;serif"/>
                  <w:b/>
                  <w:color w:val="0000FF"/>
                  <w:sz w:val="20"/>
                  <w:u w:val="single"/>
                </w:rPr>
                <w:t>PART II</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73">
              <w:r>
                <w:rPr>
                  <w:rStyle w:val="InternetLink"/>
                  <w:rFonts w:ascii="Times New Roman;serif" w:hAnsi="Times New Roman;serif"/>
                  <w:b w:val="false"/>
                  <w:strike w:val="false"/>
                  <w:dstrike w:val="false"/>
                  <w:color w:val="000000"/>
                  <w:sz w:val="20"/>
                  <w:u w:val="none"/>
                  <w:effect w:val="none"/>
                </w:rPr>
                <w:t>68</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76">
              <w:r>
                <w:rPr>
                  <w:rStyle w:val="InternetLink"/>
                  <w:rFonts w:ascii="Times New Roman;serif" w:hAnsi="Times New Roman;serif"/>
                  <w:b w:val="false"/>
                  <w:color w:val="0000FF"/>
                  <w:sz w:val="20"/>
                  <w:u w:val="single"/>
                </w:rPr>
                <w:t>Item 5.</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76">
              <w:r>
                <w:rPr>
                  <w:rStyle w:val="InternetLink"/>
                  <w:rFonts w:ascii="Times New Roman;serif" w:hAnsi="Times New Roman;serif"/>
                  <w:b w:val="false"/>
                  <w:color w:val="0000FF"/>
                  <w:sz w:val="20"/>
                  <w:u w:val="single"/>
                </w:rPr>
                <w:t>Market for Registrant’s Shares, Related Shareholder Matters and Issuer Purchases of Equity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76">
              <w:r>
                <w:rPr>
                  <w:rStyle w:val="InternetLink"/>
                  <w:rFonts w:ascii="Times New Roman;serif" w:hAnsi="Times New Roman;serif"/>
                  <w:b w:val="false"/>
                  <w:strike w:val="false"/>
                  <w:dstrike w:val="false"/>
                  <w:color w:val="000000"/>
                  <w:sz w:val="20"/>
                  <w:u w:val="none"/>
                  <w:effect w:val="none"/>
                </w:rPr>
                <w:t>68</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79">
              <w:r>
                <w:rPr>
                  <w:rStyle w:val="InternetLink"/>
                  <w:rFonts w:ascii="Times New Roman;serif" w:hAnsi="Times New Roman;serif"/>
                  <w:b w:val="false"/>
                  <w:color w:val="0000FF"/>
                  <w:sz w:val="20"/>
                  <w:u w:val="single"/>
                </w:rPr>
                <w:t>Item 6.</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79">
              <w:r>
                <w:rPr>
                  <w:rStyle w:val="InternetLink"/>
                  <w:rFonts w:ascii="Times New Roman;serif" w:hAnsi="Times New Roman;serif"/>
                  <w:b w:val="false"/>
                  <w:color w:val="0000FF"/>
                  <w:sz w:val="20"/>
                  <w:u w:val="single"/>
                </w:rPr>
                <w:t>Reserved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79">
              <w:r>
                <w:rPr>
                  <w:rStyle w:val="InternetLink"/>
                  <w:rFonts w:ascii="Times New Roman;serif" w:hAnsi="Times New Roman;serif"/>
                  <w:b w:val="false"/>
                  <w:strike w:val="false"/>
                  <w:dstrike w:val="false"/>
                  <w:color w:val="000000"/>
                  <w:sz w:val="20"/>
                  <w:u w:val="none"/>
                  <w:effect w:val="none"/>
                </w:rPr>
                <w:t>69</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82">
              <w:r>
                <w:rPr>
                  <w:rStyle w:val="InternetLink"/>
                  <w:rFonts w:ascii="Times New Roman;serif" w:hAnsi="Times New Roman;serif"/>
                  <w:b w:val="false"/>
                  <w:color w:val="0000FF"/>
                  <w:sz w:val="20"/>
                  <w:u w:val="single"/>
                </w:rPr>
                <w:t>Item 7.</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82">
              <w:r>
                <w:rPr>
                  <w:rStyle w:val="InternetLink"/>
                  <w:rFonts w:ascii="Times New Roman;serif" w:hAnsi="Times New Roman;serif"/>
                  <w:b w:val="false"/>
                  <w:strike w:val="false"/>
                  <w:dstrike w:val="false"/>
                  <w:color w:val="000000"/>
                  <w:sz w:val="20"/>
                  <w:u w:val="none"/>
                  <w:effect w:val="none"/>
                </w:rPr>
                <w:t>70</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06">
              <w:r>
                <w:rPr>
                  <w:rStyle w:val="InternetLink"/>
                  <w:rFonts w:ascii="Times New Roman;serif" w:hAnsi="Times New Roman;serif"/>
                  <w:b w:val="false"/>
                  <w:color w:val="0000FF"/>
                  <w:sz w:val="20"/>
                  <w:u w:val="single"/>
                </w:rPr>
                <w:t>Item 7A.</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06">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06">
              <w:r>
                <w:rPr>
                  <w:rStyle w:val="InternetLink"/>
                  <w:rFonts w:ascii="Times New Roman;serif" w:hAnsi="Times New Roman;serif"/>
                  <w:b w:val="false"/>
                  <w:strike w:val="false"/>
                  <w:dstrike w:val="false"/>
                  <w:color w:val="000000"/>
                  <w:sz w:val="20"/>
                  <w:u w:val="none"/>
                  <w:effect w:val="none"/>
                </w:rPr>
                <w:t>92</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09">
              <w:r>
                <w:rPr>
                  <w:rStyle w:val="InternetLink"/>
                  <w:rFonts w:ascii="Times New Roman;serif" w:hAnsi="Times New Roman;serif"/>
                  <w:b w:val="false"/>
                  <w:color w:val="0000FF"/>
                  <w:sz w:val="20"/>
                  <w:u w:val="single"/>
                </w:rPr>
                <w:t>Item 8.</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09">
              <w:r>
                <w:rPr>
                  <w:rStyle w:val="InternetLink"/>
                  <w:rFonts w:ascii="Times New Roman;serif" w:hAnsi="Times New Roman;serif"/>
                  <w:b w:val="false"/>
                  <w:color w:val="0000FF"/>
                  <w:sz w:val="20"/>
                  <w:u w:val="single"/>
                </w:rPr>
                <w:t>Financial Statements and Supplementary Data</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09">
              <w:r>
                <w:rPr>
                  <w:rStyle w:val="InternetLink"/>
                  <w:rFonts w:ascii="Times New Roman;serif" w:hAnsi="Times New Roman;serif"/>
                  <w:b w:val="false"/>
                  <w:strike w:val="false"/>
                  <w:dstrike w:val="false"/>
                  <w:color w:val="000000"/>
                  <w:sz w:val="20"/>
                  <w:u w:val="none"/>
                  <w:effect w:val="none"/>
                </w:rPr>
                <w:t>93</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12">
              <w:r>
                <w:rPr>
                  <w:rStyle w:val="InternetLink"/>
                  <w:rFonts w:ascii="Times New Roman;serif" w:hAnsi="Times New Roman;serif"/>
                  <w:b w:val="false"/>
                  <w:color w:val="0000FF"/>
                  <w:sz w:val="20"/>
                  <w:u w:val="single"/>
                </w:rPr>
                <w:t>Item 9.</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12">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12">
              <w:r>
                <w:rPr>
                  <w:rStyle w:val="InternetLink"/>
                  <w:rFonts w:ascii="Times New Roman;serif" w:hAnsi="Times New Roman;serif"/>
                  <w:b w:val="false"/>
                  <w:strike w:val="false"/>
                  <w:dstrike w:val="false"/>
                  <w:color w:val="000000"/>
                  <w:sz w:val="20"/>
                  <w:u w:val="none"/>
                  <w:effect w:val="none"/>
                </w:rPr>
                <w:t>93</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15">
              <w:r>
                <w:rPr>
                  <w:rStyle w:val="InternetLink"/>
                  <w:rFonts w:ascii="Times New Roman;serif" w:hAnsi="Times New Roman;serif"/>
                  <w:b w:val="false"/>
                  <w:color w:val="0000FF"/>
                  <w:sz w:val="20"/>
                  <w:u w:val="single"/>
                </w:rPr>
                <w:t>Item 9A.</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15">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15">
              <w:r>
                <w:rPr>
                  <w:rStyle w:val="InternetLink"/>
                  <w:rFonts w:ascii="Times New Roman;serif" w:hAnsi="Times New Roman;serif"/>
                  <w:b w:val="false"/>
                  <w:strike w:val="false"/>
                  <w:dstrike w:val="false"/>
                  <w:color w:val="000000"/>
                  <w:sz w:val="20"/>
                  <w:u w:val="none"/>
                  <w:effect w:val="none"/>
                </w:rPr>
                <w:t>93</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18">
              <w:r>
                <w:rPr>
                  <w:rStyle w:val="InternetLink"/>
                  <w:rFonts w:ascii="Times New Roman;serif" w:hAnsi="Times New Roman;serif"/>
                  <w:b w:val="false"/>
                  <w:color w:val="0000FF"/>
                  <w:sz w:val="20"/>
                  <w:u w:val="single"/>
                </w:rPr>
                <w:t>Item 9B.</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18">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18">
              <w:r>
                <w:rPr>
                  <w:rStyle w:val="InternetLink"/>
                  <w:rFonts w:ascii="Times New Roman;serif" w:hAnsi="Times New Roman;serif"/>
                  <w:b w:val="false"/>
                  <w:strike w:val="false"/>
                  <w:dstrike w:val="false"/>
                  <w:color w:val="000000"/>
                  <w:sz w:val="20"/>
                  <w:u w:val="none"/>
                  <w:effect w:val="none"/>
                </w:rPr>
                <w:t>94</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21">
              <w:r>
                <w:rPr>
                  <w:rStyle w:val="InternetLink"/>
                  <w:rFonts w:ascii="Times New Roman;serif" w:hAnsi="Times New Roman;serif"/>
                  <w:b w:val="false"/>
                  <w:color w:val="0000FF"/>
                  <w:sz w:val="20"/>
                  <w:u w:val="single"/>
                </w:rPr>
                <w:t>Item 9C.</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21">
              <w:r>
                <w:rPr>
                  <w:rStyle w:val="InternetLink"/>
                  <w:rFonts w:ascii="Times New Roman;serif" w:hAnsi="Times New Roman;serif"/>
                  <w:b w:val="false"/>
                  <w:color w:val="0000FF"/>
                  <w:sz w:val="20"/>
                  <w:u w:val="single"/>
                </w:rPr>
                <w:t>Disclosure Regarding Foreign Jurisdictions that Prevent Inspections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21">
              <w:r>
                <w:rPr>
                  <w:rStyle w:val="InternetLink"/>
                  <w:rFonts w:ascii="Times New Roman;serif" w:hAnsi="Times New Roman;serif"/>
                  <w:b w:val="false"/>
                  <w:strike w:val="false"/>
                  <w:dstrike w:val="false"/>
                  <w:color w:val="000000"/>
                  <w:sz w:val="20"/>
                  <w:u w:val="none"/>
                  <w:effect w:val="none"/>
                </w:rPr>
                <w:t>94</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15c301e2e1454884c7405821cd32fa_124">
              <w:r>
                <w:rPr>
                  <w:rStyle w:val="InternetLink"/>
                  <w:rFonts w:ascii="Times New Roman;serif" w:hAnsi="Times New Roman;serif"/>
                  <w:b/>
                  <w:color w:val="0000FF"/>
                  <w:sz w:val="20"/>
                  <w:u w:val="single"/>
                </w:rPr>
                <w:t>PART III</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24">
              <w:r>
                <w:rPr>
                  <w:rStyle w:val="InternetLink"/>
                  <w:rFonts w:ascii="Times New Roman;serif" w:hAnsi="Times New Roman;serif"/>
                  <w:b w:val="false"/>
                  <w:strike w:val="false"/>
                  <w:dstrike w:val="false"/>
                  <w:color w:val="000000"/>
                  <w:sz w:val="20"/>
                  <w:u w:val="none"/>
                  <w:effect w:val="none"/>
                </w:rPr>
                <w:t>95</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27">
              <w:r>
                <w:rPr>
                  <w:rStyle w:val="InternetLink"/>
                  <w:rFonts w:ascii="Times New Roman;serif" w:hAnsi="Times New Roman;serif"/>
                  <w:b w:val="false"/>
                  <w:color w:val="0000FF"/>
                  <w:sz w:val="20"/>
                  <w:u w:val="single"/>
                </w:rPr>
                <w:t>Item 10.</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27">
              <w:r>
                <w:rPr>
                  <w:rStyle w:val="InternetLink"/>
                  <w:rFonts w:ascii="Times New Roman;serif" w:hAnsi="Times New Roman;serif"/>
                  <w:b w:val="false"/>
                  <w:color w:val="0000FF"/>
                  <w:sz w:val="20"/>
                  <w:u w:val="single"/>
                </w:rPr>
                <w:t>Directors and Executive Officers of Our General Partner and Corporate Governance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27">
              <w:r>
                <w:rPr>
                  <w:rStyle w:val="InternetLink"/>
                  <w:rFonts w:ascii="Times New Roman;serif" w:hAnsi="Times New Roman;serif"/>
                  <w:b w:val="false"/>
                  <w:strike w:val="false"/>
                  <w:dstrike w:val="false"/>
                  <w:color w:val="000000"/>
                  <w:sz w:val="20"/>
                  <w:u w:val="none"/>
                  <w:effect w:val="none"/>
                </w:rPr>
                <w:t>95</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30">
              <w:r>
                <w:rPr>
                  <w:rStyle w:val="InternetLink"/>
                  <w:rFonts w:ascii="Times New Roman;serif" w:hAnsi="Times New Roman;serif"/>
                  <w:b w:val="false"/>
                  <w:color w:val="0000FF"/>
                  <w:sz w:val="20"/>
                  <w:u w:val="single"/>
                </w:rPr>
                <w:t>Item 11.</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30">
              <w:r>
                <w:rPr>
                  <w:rStyle w:val="InternetLink"/>
                  <w:rFonts w:ascii="Times New Roman;serif" w:hAnsi="Times New Roman;serif"/>
                  <w:b w:val="false"/>
                  <w:color w:val="0000FF"/>
                  <w:sz w:val="20"/>
                  <w:u w:val="single"/>
                </w:rPr>
                <w:t>Executive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30">
              <w:r>
                <w:rPr>
                  <w:rStyle w:val="InternetLink"/>
                  <w:rFonts w:ascii="Times New Roman;serif" w:hAnsi="Times New Roman;serif"/>
                  <w:b w:val="false"/>
                  <w:strike w:val="false"/>
                  <w:dstrike w:val="false"/>
                  <w:color w:val="000000"/>
                  <w:sz w:val="20"/>
                  <w:u w:val="none"/>
                  <w:effect w:val="none"/>
                </w:rPr>
                <w:t>95</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33">
              <w:r>
                <w:rPr>
                  <w:rStyle w:val="InternetLink"/>
                  <w:rFonts w:ascii="Times New Roman;serif" w:hAnsi="Times New Roman;serif"/>
                  <w:b w:val="false"/>
                  <w:color w:val="0000FF"/>
                  <w:sz w:val="20"/>
                  <w:u w:val="single"/>
                </w:rPr>
                <w:t>Item 12.</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33">
              <w:r>
                <w:rPr>
                  <w:rStyle w:val="InternetLink"/>
                  <w:rFonts w:ascii="Times New Roman;serif" w:hAnsi="Times New Roman;serif"/>
                  <w:b w:val="false"/>
                  <w:color w:val="0000FF"/>
                  <w:sz w:val="20"/>
                  <w:u w:val="single"/>
                </w:rPr>
                <w:t>Security Ownership of Certain Beneficial Owners and Management and Related Shareholder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33">
              <w:r>
                <w:rPr>
                  <w:rStyle w:val="InternetLink"/>
                  <w:rFonts w:ascii="Times New Roman;serif" w:hAnsi="Times New Roman;serif"/>
                  <w:b w:val="false"/>
                  <w:strike w:val="false"/>
                  <w:dstrike w:val="false"/>
                  <w:color w:val="000000"/>
                  <w:sz w:val="20"/>
                  <w:u w:val="none"/>
                  <w:effect w:val="none"/>
                </w:rPr>
                <w:t>95</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36">
              <w:r>
                <w:rPr>
                  <w:rStyle w:val="InternetLink"/>
                  <w:rFonts w:ascii="Times New Roman;serif" w:hAnsi="Times New Roman;serif"/>
                  <w:b w:val="false"/>
                  <w:color w:val="0000FF"/>
                  <w:sz w:val="20"/>
                  <w:u w:val="single"/>
                </w:rPr>
                <w:t>Item 13.</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36">
              <w:r>
                <w:rPr>
                  <w:rStyle w:val="InternetLink"/>
                  <w:rFonts w:ascii="Times New Roman;serif" w:hAnsi="Times New Roman;serif"/>
                  <w:b w:val="false"/>
                  <w:color w:val="0000FF"/>
                  <w:sz w:val="20"/>
                  <w:u w:val="single"/>
                </w:rPr>
                <w:t>Certain Relationships and Related Transactions, and Director Independence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36">
              <w:r>
                <w:rPr>
                  <w:rStyle w:val="InternetLink"/>
                  <w:rFonts w:ascii="Times New Roman;serif" w:hAnsi="Times New Roman;serif"/>
                  <w:b w:val="false"/>
                  <w:strike w:val="false"/>
                  <w:dstrike w:val="false"/>
                  <w:color w:val="000000"/>
                  <w:sz w:val="20"/>
                  <w:u w:val="none"/>
                  <w:effect w:val="none"/>
                </w:rPr>
                <w:t>96</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39">
              <w:r>
                <w:rPr>
                  <w:rStyle w:val="InternetLink"/>
                  <w:rFonts w:ascii="Times New Roman;serif" w:hAnsi="Times New Roman;serif"/>
                  <w:b w:val="false"/>
                  <w:color w:val="0000FF"/>
                  <w:sz w:val="20"/>
                  <w:u w:val="single"/>
                </w:rPr>
                <w:t>Item 14.</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39">
              <w:r>
                <w:rPr>
                  <w:rStyle w:val="InternetLink"/>
                  <w:rFonts w:ascii="Times New Roman;serif" w:hAnsi="Times New Roman;serif"/>
                  <w:b w:val="false"/>
                  <w:color w:val="0000FF"/>
                  <w:sz w:val="20"/>
                  <w:u w:val="single"/>
                </w:rPr>
                <w:t>Principal Accountant Fees and Services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39">
              <w:r>
                <w:rPr>
                  <w:rStyle w:val="InternetLink"/>
                  <w:rFonts w:ascii="Times New Roman;serif" w:hAnsi="Times New Roman;serif"/>
                  <w:b w:val="false"/>
                  <w:strike w:val="false"/>
                  <w:dstrike w:val="false"/>
                  <w:color w:val="000000"/>
                  <w:sz w:val="20"/>
                  <w:u w:val="none"/>
                  <w:effect w:val="none"/>
                </w:rPr>
                <w:t>96</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15c301e2e1454884c7405821cd32fa_142">
              <w:r>
                <w:rPr>
                  <w:rStyle w:val="InternetLink"/>
                  <w:rFonts w:ascii="Times New Roman;serif" w:hAnsi="Times New Roman;serif"/>
                  <w:b/>
                  <w:color w:val="0000FF"/>
                  <w:sz w:val="20"/>
                  <w:u w:val="single"/>
                </w:rPr>
                <w:t>PART IV</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42">
              <w:r>
                <w:rPr>
                  <w:rStyle w:val="InternetLink"/>
                  <w:rFonts w:ascii="Times New Roman;serif" w:hAnsi="Times New Roman;serif"/>
                  <w:b w:val="false"/>
                  <w:strike w:val="false"/>
                  <w:dstrike w:val="false"/>
                  <w:color w:val="000000"/>
                  <w:sz w:val="20"/>
                  <w:u w:val="none"/>
                  <w:effect w:val="none"/>
                </w:rPr>
                <w:t>97</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45">
              <w:r>
                <w:rPr>
                  <w:rStyle w:val="InternetLink"/>
                  <w:rFonts w:ascii="Times New Roman;serif" w:hAnsi="Times New Roman;serif"/>
                  <w:b w:val="false"/>
                  <w:color w:val="0000FF"/>
                  <w:sz w:val="20"/>
                  <w:u w:val="single"/>
                </w:rPr>
                <w:t>Item 15.</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45">
              <w:r>
                <w:rPr>
                  <w:rStyle w:val="InternetLink"/>
                  <w:rFonts w:ascii="Times New Roman;serif" w:hAnsi="Times New Roman;serif"/>
                  <w:b w:val="false"/>
                  <w:color w:val="0000FF"/>
                  <w:sz w:val="20"/>
                  <w:u w:val="single"/>
                </w:rPr>
                <w:t>Exhibits and Financial Statement Schedules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45">
              <w:r>
                <w:rPr>
                  <w:rStyle w:val="InternetLink"/>
                  <w:rFonts w:ascii="Times New Roman;serif" w:hAnsi="Times New Roman;serif"/>
                  <w:b w:val="false"/>
                  <w:strike w:val="false"/>
                  <w:dstrike w:val="false"/>
                  <w:color w:val="000000"/>
                  <w:sz w:val="20"/>
                  <w:u w:val="none"/>
                  <w:effect w:val="none"/>
                </w:rPr>
                <w:t>97</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51">
              <w:r>
                <w:rPr>
                  <w:rStyle w:val="InternetLink"/>
                  <w:rFonts w:ascii="Times New Roman;serif" w:hAnsi="Times New Roman;serif"/>
                  <w:b w:val="false"/>
                  <w:color w:val="0000FF"/>
                  <w:sz w:val="20"/>
                  <w:u w:val="single"/>
                </w:rPr>
                <w:t>Item 16.</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51">
              <w:r>
                <w:rPr>
                  <w:rStyle w:val="InternetLink"/>
                  <w:rFonts w:ascii="Times New Roman;serif" w:hAnsi="Times New Roman;serif"/>
                  <w:b w:val="false"/>
                  <w:color w:val="0000FF"/>
                  <w:sz w:val="20"/>
                  <w:u w:val="single"/>
                </w:rPr>
                <w:t>Form 10-K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51">
              <w:r>
                <w:rPr>
                  <w:rStyle w:val="InternetLink"/>
                  <w:rFonts w:ascii="Times New Roman;serif" w:hAnsi="Times New Roman;serif"/>
                  <w:b w:val="false"/>
                  <w:strike w:val="false"/>
                  <w:dstrike w:val="false"/>
                  <w:color w:val="000000"/>
                  <w:sz w:val="20"/>
                  <w:u w:val="none"/>
                  <w:effect w:val="none"/>
                </w:rPr>
                <w:t>102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pStyle w:val="TextBody"/>
        <w:bidi w:val="0"/>
        <w:spacing w:before="0" w:after="0"/>
        <w:jc w:val="left"/>
        <w:rPr/>
      </w:pPr>
      <w:r>
        <w:rPr/>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our expected receipt of, and amounts of, distributions from Plains AAP, L.P., and the effect thereof on our ability to pay distributions to our Class A shareholders;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risks related to the Canadian NGL Business divestiture (as defined herein), including the risk that the Canadian NGL Business divestiture is not consummated on the terms expected or on the anticipated schedule, or at all, and the effect of the announcement or pendency of the Canadian NGL Business divestiture on our business relationships, operating results, employees, stakeholders and business generally;</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fluctuations in refinery capacity and other factors affecting demand for various grades of crude oil and NGL and resulting changes in pricing conditions or transportation throughput requirements;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unanticipated changes in crude oil and NGL market structure, grade differentials and volatility (or lack thereof);</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availability of, and our ability to consummate, acquisitions, divestitures, joint ventures or other strategic opportunities and realize benefits therefrom, including the Canadian NGL Business divestiture (as defined herein);</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successful operation of joint ventures and joint operating arrangements PAA enters into from time to time, whether relating to assets operated by PAA or by third parties, and the successful integration and future performance of acquired assets or businesses;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environmental liabilities, litigation or other events that are not covered by an indemnity, insurance or existing reserves;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negative societal sentiment regarding the hydrocarbon energy industry and the continued development and consumption of hydrocarbons, which could influence consumer preferences and governmental or regulatory actions that adversely impact our business;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occurrence of a natural disaster, catastrophe, terrorist attack (including eco-terrorist attacks) or other event that materially impacts our operations, including cyber or other attacks on our or our service providers’ electronic and computer systems;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weather interference with business operations or project construction, including the impact of extreme weather events or conditions (including hurricanes, floods, wildfires and drought);</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 xml:space="preserve">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our pipelines, (ii) negatively impact our ability to develop, operate or repair midstream assets, or (iii) otherwise negatively impact our business or increase our exposure to risk;</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pace of development of natural gas or other infrastructure and its impact on expected crude oil production growth in the Permian Basin;</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loss of key personnel and inability to attract and retain new talent;</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disruptions to futures markets for crude oil, NGL and other petroleum products, which may impair our ability to execute our commercial or hedging strategies;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effectiveness of our risk management activities;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shortages or cost increases of supplies, materials or labor;</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maintenance of PAA’s credit ratings and ability to receive open credit from our suppliers and trade counterparties;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incurrence of costs and expenses related to unexpected or unplanned capital or maintenance expenditures, third-party claims or other factors;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failure to implement or capitalize, or delays in implementing or capitalizing, on investment capital projects, whether due to permitting delays, permitting withdrawals or other factors;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failure to implement or realize anticipated benefits from operational and organizational streamlining and efficiency efforts and initiatives;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amplification of other risks caused by volatile or closed financial markets, capital constraints, liquidity concerns and inflation;</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use or availability of third-party assets upon which our operations depend and over which we have little or no control;</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currency exchange rate of the Canadian dollar to the United States dollar;</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deferral of current revenue recognition attributable to deficiency payments received from customers who fail to ship or move their minimum contracted volumes;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significant under-utilization of our assets and facilities;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increased costs, or lack of availability, of insurance;</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fluctuations in the debt and equity markets, including the price of PAA’s units at the time of vesting under its long-term incentive plans;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 xml:space="preserve">risks related to the development and operation of our assets; and </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other factors and uncertainties inherent in the transportation, storage, terminalling and marketing of crude oil, as well as in the processing, transportation, fractionation, storage and marketing of NGL.</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Items 1 and 2.  </w:t>
      </w:r>
      <w:r>
        <w:rPr>
          <w:rFonts w:ascii="Times New Roman;serif" w:hAnsi="Times New Roman;serif"/>
          <w:b/>
          <w:i/>
          <w:color w:val="000000"/>
          <w:sz w:val="20"/>
        </w:rPr>
        <w:t>Business and Properties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Plains GP Holdings, L.P. is a publicly traded Delaware limited partnership that has elected to be taxed as a corporation for United States federal income tax purposes. PAGP’s Class A shares are listed on the Nasdaq Global Select Market (“Nasdaq”) under the ticker symbol “PAGP.” PAGP does not directly own any operating assets; as of December 31, 2025, its sole source of cash flow is derived from an indirect investment in Plains All American Pipeline, L.P. (“PAA”), a publicly traded Delaware limited partnership, through its limited partner interest in Plains AAP, L.P. (“AAP”). We also own a 100% managing member interest in Plains All American GP LLC (“GP LLC”), a Delaware limited liability company that holds the non-economic general partner interest in AAP.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and NGL producing basins (including the Permian Basin) and transportation corridors and at major market hubs in the United States and Canada.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assets are owned, and its operations are conducted, directly and indirectly through its primary operating subsidiaries. As used in this Form 10-K and unless the context indicates otherwise (taking into account the fact that PAGP has no operating activities apart from those conducted by PAA and its subsidiaries), the terms “Partnership,” “Plains,” “we,” “us,” “our,” “ours” and similar terms refer to PAGP and its subsidiaries.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References to the “PAGP Entities” include PAA GP Holdings LLC (“PAGP GP”), PAGP, GP LLC, AAP and PAA GP LLC (“PAA GP”). References to the “Plains Entities” include the PAGP Entities and PAA and its subsidiaries.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2025, a subsidiary of PAA entered into a definitive Share Purchase Agreement (“SPA”) with Keyera Corp. (“Keyera”), an Alberta corporation, pursuant to which Keyera agreed to acquire all of the issued and outstanding shares of Plains Midstream Canada ULC, PAA’s wholly-owned subsidiary that owns substantially all of our NGL business in Canada (the “Canadian NGL Business”), for cash consideration of approximately $5.15 billion CAD (approximately $3.75 billion USD), subject to certain post-closing adjustments, as defined in the SPA. This transaction is expected to close around the end of the first quarter of 2026, subject to the satisfaction or waiver of customary closing conditions, including receipt of regulatory approvals. The operations of the Canadian NGL Business meet the criteria for classification as held for sale and for discontinued operations reporting. We will divest the Canadian NGL Business as part of the sale, which includes substantially all of our NGL assets; the assets that we will retain are located in the United States.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is based on the fundamental thesis that hydrocarbons are essential to the security and advancement of human quality of life and will continue to play a major long-term role in the world economy. Midstream energy infrastructure provides a critical link between energy supply and demand, and is fundamental to the maintenance and advancement of our modern-day standard of living. Acknowledging the need for multiple forms of energy to meet growing world-wide demand, we believe absolute hydrocarbon demand will increase over time, driven by global population growth and a desire to improve quality of life in lesser developed countries throughout the world, and that North American crude oil and NGL production will be required to support the growth in demand. Furthermore, we believe existing energy infrastructure will play a critical role in supporting emerging energy and energy transition initiatives. As a result, we believe that midstream energy infrastructure will remain a critical and valuable component of the energy industry value chain.</w:t>
      </w:r>
    </w:p>
    <w:p>
      <w:pPr>
        <w:pStyle w:val="TextBody"/>
        <w:bidi w:val="0"/>
        <w:spacing w:before="0" w:after="0"/>
        <w:ind w:left="0" w:right="0" w:firstLine="72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Organizational Structure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diagram below shows our organizational structure as of December 31, 2025 in a summarized format:</w:t>
      </w:r>
    </w:p>
    <w:p>
      <w:pPr>
        <w:pStyle w:val="TextBody"/>
        <w:bidi w:val="0"/>
        <w:spacing w:before="0" w:after="0"/>
        <w:ind w:left="0" w:right="0" w:firstLine="720"/>
        <w:jc w:val="left"/>
        <w:rPr/>
      </w:pPr>
      <w:r>
        <w:rPr/>
      </w:r>
    </w:p>
    <w:p>
      <w:pPr>
        <w:pStyle w:val="TextBody"/>
        <w:bidi w:val="0"/>
        <w:spacing w:before="0" w:after="0"/>
        <w:ind w:left="0" w:right="0" w:firstLine="720"/>
        <w:jc w:val="center"/>
        <w:rPr/>
      </w:pPr>
      <w:r>
        <w:rPr/>
        <w:drawing>
          <wp:inline distT="0" distB="0" distL="0" distR="0">
            <wp:extent cx="6057900" cy="72675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6057900" cy="726757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Each Class C share represents a non-economic limited partner interest in us. The Class C shares function as a “pass-through” voting mechanism through which PAA votes at the direction of and as proxy for the PAA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unitholders (other than AAP) and Series A preferred unitholders on the election of directors. The number of Class C shares that PAA owns is equal to the number of outstanding PAA common units and Series A Preferred units (“PAA Common Unit Equivalents”) that are entitled to vote, pro rata with the holders of our Class A and Class B shares, for the election of eligible PAGP GP directors. PAA Series B preferred units, which are non-voting securities, and PAA common units held by AAP, which already participate in such elections through our Class A and Class B shares, are not entitled to vote in the election of directors.</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PAA holds (i) direct and indirect ownership interests in consolidated operating subsidiaries including, but not limited to, Plains Marketing, L.P., Plains Pipeline, L.P., Plains Midstream Canada ULC (“PMC ULC”), Plains Oryx Permian Basin LLC (the “Permian JV”), Cactus II Pipeline LLC (“Cactus II”) and Red River Pipeline Company LLC (“Red River”) and (ii) indirect equity interests in unconsolidated entities including, but not limited to, BridgeTex Pipeline Company, LLC, Capline Pipeline Company LLC, Diamond Pipeline LLC, Eagle Ford Pipeline LLC, Eagle Ford Terminals Corpus Christi LLC, Saddlehorn Pipeline Company, LLC, White Cliffs Pipeline, L.L.C. and Wink to Webster Pipeline LLC.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Business Strategy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we directly acquire and hold assets or businesses in the future, our cash flows will be generated solely from the cash distributions we receive on the Class A units of AAP (“AAP units”) we own. AAP currently receives all of its cash flows from distributions on the PAA common units it owns.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our primary business objective is to increase our cash available for distribution to our Class A shareholders through the execution by PAA of its business strategy. In addition, we may facilitate PAA’s growth activities through various means, including, but not limited to, making loans, purchasing equity interests or providing other forms of financial support to PAA.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 one-to-one relationship between our Class A shares and the underlying PAA common units in which we have an indirect economic interest through our ownership interest in AAP (referred to as “Economic Parity”), such that the number of our outstanding Class A shares equals the number of AAP units we own, which in turn equals the number of PAA common units held by AAP attributable to our ownership interest in AAP.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PAA’s Business Strategy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principal business strategy is to provide competitive and efficient midstream infrastructure and logistics services to producers, refiners and other customers. PAA strives to address regional supply and demand imbalances for crude oil and NGL in the United States and Canada by combining the strategic location and capabilities of its transportation, terminalling, storage, processing and fractionation assets with its commercial expertise. PAA intends to execute its strategy by:</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Focusing on operational excellence, continuous improvement and running a safe, reliable, and environmentally and socially responsible operation;</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Using its well-positioned network of midstream infrastructure in conjunction with its commercial capabilities to provide its customers with market access, flexibility and value chain solutions, capture market opportunities, address physical market imbalances and generate and grow sustainable cash flow and margin while maintaining an acceptable risk profile;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Optimizing and enhancing its asset portfolio and operations (through disciplined and accretive capital investments and the pursuit of emerging energy opportunities) to maximize returns on invested capital;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Pursuing a balanced, long-term financial strategy that is focused on maintaining an investment grade credit profile and enhancing financial flexibility by making disciplined capital allocation decisions.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PAA’s successful execution of this strategy will enable it to generate and grow sustainable earnings and cash flow, and will position PAA to maintain an investment grade credit profile and increase returns to equity holders over time. As PAA continues to position itself for the future, PAA strives to be the premier North American crude oil midstream provider as it transitions to a crude oil pure play business, pending the completion of the Canadian NGL Business divestiture.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pPr>
      <w:r>
        <w:rPr>
          <w:rFonts w:ascii="Times New Roman;serif" w:hAnsi="Times New Roman;serif"/>
          <w:b/>
          <w:color w:val="000000"/>
          <w:sz w:val="20"/>
        </w:rPr>
        <w:t>PAA’s Competitive Strengths</w:t>
      </w:r>
      <w:r>
        <w:rPr>
          <w:color w:val="0A2299"/>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the following competitive strengths position PAA to successfully execute its principal business strategy:</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i/>
          <w:color w:val="000000"/>
          <w:sz w:val="20"/>
        </w:rPr>
        <w:t>PAA owns a strategically located, geographically diverse and interconnected large-scale asset base that provides operational flexibility and commercial optionality.</w:t>
      </w:r>
      <w:r>
        <w:rPr>
          <w:color w:val="000000"/>
        </w:rPr>
        <w:t xml:space="preserve"> </w:t>
      </w:r>
      <w:r>
        <w:rPr>
          <w:rFonts w:ascii="Times New Roman;serif" w:hAnsi="Times New Roman;serif"/>
          <w:b w:val="false"/>
          <w:color w:val="000000"/>
          <w:sz w:val="20"/>
        </w:rPr>
        <w:t>The majority of PAA’s transportation assets are in crude oil service, are located in well-established crude oil producing regions (with PAA’s largest asset presence in the Permian Basin) and other transportation corridors and are connected, directly or indirectly, with PAA’s terminals and facilities assets. The majority of PAA’s terminals and facilities assets are located at major trading locations and premium markets that serve as gateways to major North American refinery and distribution markets and key export terminals where PAA has strong business relationships. In addition, PAA’s pipeline, storage, rail and truck assets provide PAA’s customers and PAA with significant flexibility and optionality to satisfy demand, balance markets, and participate in emerging energy opportunities.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i/>
          <w:color w:val="000000"/>
          <w:sz w:val="20"/>
        </w:rPr>
        <w:t>PAA’s full-service integrated model and long-term focus attracts a broad, diverse and high-quality customer base that supports sustainable fee-based cash flow generation.</w:t>
      </w:r>
      <w:r>
        <w:rPr>
          <w:color w:val="000000"/>
        </w:rPr>
        <w:t xml:space="preserve"> </w:t>
      </w:r>
      <w:r>
        <w:rPr>
          <w:rFonts w:ascii="Times New Roman;serif" w:hAnsi="Times New Roman;serif"/>
          <w:b w:val="false"/>
          <w:color w:val="000000"/>
          <w:sz w:val="20"/>
        </w:rPr>
        <w:t xml:space="preserve">PAA’s strategically located and interconnected asset base enables it to provide its customers with a wide variety of services, including supply aggregation, quality segregation, flow assurance and market access. PAA focuses on building long-term relationships and alignment of interests with its customers. PAA believes this approach has helped it build a high-quality portfolio of customers and contracts (including long-term, third-party transportation contracts and acreage dedication contracts) that provide long-term volume support for its assets and, in turn, support long-term fee-based cash flow generation from its assets. </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i/>
          <w:color w:val="000000"/>
          <w:sz w:val="20"/>
        </w:rPr>
        <w:t>PAA possesses specialized crude oil and NGL market knowledge. </w:t>
      </w:r>
      <w:r>
        <w:rPr>
          <w:color w:val="000000"/>
        </w:rPr>
        <w:t xml:space="preserve"> </w:t>
      </w:r>
      <w:r>
        <w:rPr>
          <w:rFonts w:ascii="Times New Roman;serif" w:hAnsi="Times New Roman;serif"/>
          <w:b w:val="false"/>
          <w:color w:val="000000"/>
          <w:sz w:val="20"/>
        </w:rPr>
        <w:t>We believe PAA’s business relationships with participants in various phases of the crude oil and NGL distribution chain, from producers to refiners, as well as PAA’s own industry expertise (including PAA’s knowledge of North American crude oil and NGL flows), provide PAA with extensive market insight and an understanding of the North American physical crude oil and NGL markets that enables PAA to provide value chain solutions for its customers.</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i/>
          <w:color w:val="000000"/>
          <w:sz w:val="20"/>
        </w:rPr>
        <w:t>PAA’s merchant activities provide it with the opportunity to realize incremental margins. </w:t>
      </w:r>
      <w:r>
        <w:rPr>
          <w:rFonts w:ascii="Times New Roman;serif" w:hAnsi="Times New Roman;serif"/>
          <w:b w:val="false"/>
          <w:color w:val="000000"/>
          <w:sz w:val="20"/>
        </w:rPr>
        <w:t xml:space="preserve">We believe the variety of its merchant activities provides PAA with a low-risk opportunity to generate incremental margin, the amount of which may vary depending on market conditions (such as differentials and certain competitive factors). </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i/>
          <w:color w:val="000000"/>
          <w:sz w:val="20"/>
        </w:rPr>
        <w:t>PAA has the financial, strategic and technical skills needed to execute strategic transactions that support its business and financial objectives, including joint ventures, joint ownership arrangements, acquisitions and divestitures.</w:t>
      </w:r>
      <w:r>
        <w:rPr>
          <w:color w:val="000000"/>
        </w:rPr>
        <w:t xml:space="preserve"> </w:t>
      </w:r>
      <w:r>
        <w:rPr>
          <w:rFonts w:ascii="Times New Roman;serif" w:hAnsi="Times New Roman;serif"/>
          <w:b w:val="false"/>
          <w:color w:val="000000"/>
          <w:sz w:val="20"/>
        </w:rPr>
        <w:t>PAA is a party to more than 25 joint ventures and/or joint ownership arrangements with strategic partners that support the success of the applicable project or investment.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PAA has an experienced management team whose interests are aligned with those of its equity holders.</w:t>
      </w:r>
      <w:r>
        <w:rPr>
          <w:color w:val="000000"/>
        </w:rPr>
        <w:t xml:space="preserve"> </w:t>
      </w:r>
      <w:r>
        <w:rPr>
          <w:rFonts w:ascii="Times New Roman;serif" w:hAnsi="Times New Roman;serif"/>
          <w:b w:val="false"/>
          <w:color w:val="000000"/>
          <w:sz w:val="20"/>
        </w:rPr>
        <w:t>PAA’s executive management team has an average of 30+ years of experience spanning across all sectors of the energy industry and an average of over 15 years of experience with PAA or its predecessors and affiliates. In addition, through their ownership of PAA equity interests and grants of long-term equity incentive awards, PAA’s management team has a vested interest in PAA’s continued success that is aligned with the interests of PAA’s equity 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Financial Strategy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financial strategy is designed to be complementary to PAA’s financial and business strategies. Our only cash-generating asset is our limited partner interest in AAP, which currently receives all of its cash flows from distributions on the PAA common units it owns.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an Omnibus Agreement with the Plains Entities which provides for (i) our ability to issue additional Class A shares and use the net proceeds therefrom to purchase a like number of AAP units from AAP, and the corresponding ability of AAP to use the net proceeds therefrom to purchase a like number of PAA common units from PAA and (ii) our ability to lend proceeds of any future indebtedness we incur to AAP, and AAP’s corresponding ability to lend such proceeds to PAA, in each case on substantially the same terms as we incur.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Accordingly, we may access the equity capital markets from time to time to enhance the financial position of PAA and its ability to compete for incremental capital opportunities (including organic investments and third-party acquisitions) to drive future growth. We currently do not intend to incur any indebtedness in the near term. We would expect to fund direct acquisitions made by us, if any, with a combination of debt and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PAA’s Financial Strategy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 Since the completion of its initial public offering in 1998, PAA has completed and integrated over 100 acquisitions with an aggregate purchase price of approximately $17.5 billion, implemented investment capital projects totaling approximately $18.7 billion, returned approximately $21.0 billion to its equity holders, primarily in the form of distributions, and enhanced its credit rating to investment grade from non-investment grade. Additionally, since 2016 PAA has completed more than $5.0 billion of divestitures of non-core assets and/or strategic sales of partial interests in selected assets, and anticipates the pending Canadian NGL Business divestiture to close in the first quarter of 2026.</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Targeted Credit Profile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PAA’s financial strategy, it intends to maintain a credit profile that it believes is consistent with investment grade credit ratings. PAA targets a credit profile with the following attributes:</w:t>
      </w:r>
    </w:p>
    <w:p>
      <w:pPr>
        <w:pStyle w:val="TextBody"/>
        <w:bidi w:val="0"/>
        <w:spacing w:before="0" w:after="0"/>
        <w:ind w:left="0" w:right="0" w:firstLine="72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 leverage multiple averaging between 3.25x to 3.75x, which is calculated as total debt plus 50% of the value of preferred units, divided by Adjusted EBITDA attributable to PAA (this is roughly equivalent to a long-term debt-to-Adjusted EBITDA attributable to PAA multiple of between 2.5x and 3.0x);</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average long-term debt-to-total capitalization ratio of approximately 50% or less;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 average total debt-to-total capitalization ratio of approximately 60% or less;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 average Adjusted EBITDA-to-interest coverage multiple of approximately 3.3x or better.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Item 7. “Management’s Discussion and Analysis of Financial Condition and Results of Operations—Results of Operations—Non-GAAP Financial Measures” for our definition of Adjusted EBITDA and Adjusted EBITDA attributable to PAA.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PAA’s publicly-traded senior notes comprised approximately 85% of its long-term debt. Additionally, PAA routinely incurs short-term debt primarily in connection with its merchant activities that involve the simultaneous purchase and forward sale of crude oil and NGL. The crude oil and NGL purchased in these transactions are volumetrically hedged. These borrowings are self-liquidating as they are repaid with sales proceeds. PAA also incurs short-term debt to fund New York Mercantile Exchange (“NYMEX”) and Intercontinental Exchange (“ICE”) margin requirements. In certain market conditions, these routine short-term debt levels may increase above baseline levels. Similar to PAA’s working capital borrowings, these borrowings are self-liquidating. PAA does not consider the working capital borrowings or margin requirements associated with these activities to be part of its long-term capital structure.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Values and Sustainability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Core Values include Safety and Environmental Stewardship; Ownership and Accountability; Respect, Fairness, and Inclusion; Ethics and Integrity; Teamwork; and Entrepreneurship and Innovation. Our Code of Business Conduct sets forth the ways in which these Core Values govern how our officers and employees conduct themselves and engage in business relationships. Our approach to sustainability involves integrating prudent environmental, social and governance practices throughout the organization with a focus on transparency and building trust among stakeholders, managing operating and business risks and minimizing environmental impacts, and utilizing our people, assets and systems to maximize long-term value for our stakeholders. Annual environmental and safety performance targets help us measure progress toward meeting our sustainability objectives. Performance against such targets is also a factor in determining annual bonus compensation for our employees, which further incentivizes desired behaviors and outcomes. In addition, our Health, Safety, Environmental and Sustainability (“HSES”) Committee of the Board assists the Board in its evaluation and oversight of our management of HSES matters. Through the discharge of its oversight responsibilities, the HSES Committee facilitates the efforts of management to further strengthen our focus on sustainability matters. Additional information regarding our Core Values and our commitment to environmental and social responsibility, including our annual Sustainability Report, is available in the Sustainability section of our website. See “—Available Information” below.</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Description of Segments and Associated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GAAP, we consolidate GP LLC, AAP and PAA and its subsidiaries. We currently have no separate operating activities apart from those conducted by PAA. As such, our segment analysis, presentation and discussion is the same as that of PAA, which conducts its operations through two segments — Crude Oil and NGL. Accordingly, any references to “we,” “us,” “our,” and similar terms describing assets, business characteristics or other related matters are references to assets, business characteristics or other matters involving PAA’s assets and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an extensive network of pipeline transportation, terminalling, storage and gathering assets in key crude oil and NGL producing basins and transportation corridors and at major market hubs in the United States and Canada.</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before="0" w:after="0"/>
        <w:jc w:val="center"/>
        <w:rPr/>
      </w:pPr>
      <w:r>
        <w:rPr/>
        <w:drawing>
          <wp:inline distT="0" distB="0" distL="0" distR="0">
            <wp:extent cx="6515100" cy="5619750"/>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6515100" cy="5619750"/>
                    </a:xfrm>
                    <a:prstGeom prst="rect">
                      <a:avLst/>
                    </a:prstGeom>
                  </pic:spPr>
                </pic:pic>
              </a:graphicData>
            </a:graphic>
          </wp:inline>
        </w:drawing>
      </w:r>
      <w:bookmarkStart w:id="1" w:name="i-2"/>
      <w:bookmarkEnd w:id="1"/>
    </w:p>
    <w:p>
      <w:pPr>
        <w:pStyle w:val="TextBody"/>
        <w:bidi w:val="0"/>
        <w:spacing w:before="0" w:after="0"/>
        <w:ind w:left="0" w:right="0" w:firstLine="72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is a description of the activities and assets for each of our segments.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Crude Oil Segment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Crude Oil Market and Business 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Crude oil is a global commodity that serves as feedstock for many of the world’s essential refined products such as transportation fuels (gasoline, diesel, jet fuel) and heating oil, among others. While commodities are typically considered unspecialized, mass-produced and fungible, crude oil is neither unspecialized nor fungible. The crude slate available to North American and world-wide refineries consists of a substantial number of different grades and varieties.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of a particular grade or type of crude oil. In many cases, these factors result in the need for such grades to be batched or segregated in the transportation and storage processes, blended to precise specifications or adjusted in value.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lack of fungibility of the various grades of crude oil can create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combined with the value of finished goods created, drive a refinery’s choice of feedstock.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model integrates large-scale supply aggregation capabilities with the ownership and operation of critical infrastructure systems that connect major producing regions (supply) to key demand centers (refineries) and export terminals. Our assets and our business strategy are designed to serve our producer and refiner customers by addressing regional crude oil supply and demand imbalances that exist in the United States and Canada. The nature and extent of supply and demand imbalances change from time to time as a result of a variety of factors, including global demand for exports; regional production declines and/or increases; refinery expansions, modifications and shut-downs; available transportation and storage capacity; and government mandates and related regulatory factors.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figure below provides an illustrative and simplified overview of the assets and activities associated with our Crude Oil segment (within the shaded area):</w:t>
      </w:r>
    </w:p>
    <w:p>
      <w:pPr>
        <w:pStyle w:val="TextBody"/>
        <w:bidi w:val="0"/>
        <w:spacing w:before="0" w:after="0"/>
        <w:ind w:left="0" w:right="0" w:firstLine="720"/>
        <w:jc w:val="left"/>
        <w:rPr/>
      </w:pPr>
      <w:r>
        <w:rPr/>
      </w:r>
    </w:p>
    <w:p>
      <w:pPr>
        <w:pStyle w:val="TextBody"/>
        <w:bidi w:val="0"/>
        <w:spacing w:before="0" w:after="0"/>
        <w:jc w:val="center"/>
        <w:rPr/>
      </w:pPr>
      <w:r>
        <w:rPr/>
        <w:drawing>
          <wp:inline distT="0" distB="0" distL="0" distR="0">
            <wp:extent cx="6515100" cy="154305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6515100" cy="1543050"/>
                    </a:xfrm>
                    <a:prstGeom prst="rect">
                      <a:avLst/>
                    </a:prstGeom>
                  </pic:spPr>
                </pic:pic>
              </a:graphicData>
            </a:graphic>
          </wp:inline>
        </w:drawing>
      </w:r>
      <w:bookmarkStart w:id="2" w:name="i-3"/>
      <w:bookmarkEnd w:id="2"/>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respect to the transportation assets in this segment, we primarily generate revenue through a combination of tariffs, pipeline capacity agreements and other transportation fees. With respect to our crude oil terminal and condensate processing assets in this segment, we primarily generate revenue through a combination of month-to-month and multi-year agreements and arrangements which include storage, throughput and loading/unloading fees at our crude oil terminals and processing facilities. We also generate significant revenue through a variety of commercial and merchant activities that often result in increased utilization of our transportation and storage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Crude Oil Segment Assets 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assets utilized in our Crude Oil segment included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20,405 miles of active crude oil transportation pipelines and gathering systems;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76 million barrels of commercial crude oil storage capacity at our terminalling and storage locations;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42 million barrels of active, above-ground tank capacity used to facilitate pipeline throughput or support our rail assets and help maintain product quality segregation;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five marine facilities in the United States;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condensate processing facility with an aggregate processing capacity of 120,000 barrels per day;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eight crude oil rail terminals with aggregate loading and unloading capacity of 264,000 and 380,000 barrels per day, respectively;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375 crude oil railcars;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675 trucks and 1,200 trailers.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our assets include the linefill associated with our commercial activities, including approximately: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15 million barrels of crude oil linefill in pipelines and tanks owned by us;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4 million barrels of crude oil utilized as linefill in pipelines owned by third parties or otherwise required as long-term inventory.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additional information about our pipelines and terminals by geographic location, including active pipeline miles and commercial storage capacity as of December 31, 2025 and average daily volumes transported on our crude oil pipelines for the year ended December 31, 2025:</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50"/>
        <w:gridCol w:w="579"/>
        <w:gridCol w:w="557"/>
        <w:gridCol w:w="109"/>
        <w:gridCol w:w="109"/>
        <w:gridCol w:w="109"/>
        <w:gridCol w:w="509"/>
        <w:gridCol w:w="509"/>
        <w:gridCol w:w="511"/>
        <w:gridCol w:w="109"/>
        <w:gridCol w:w="109"/>
        <w:gridCol w:w="109"/>
        <w:gridCol w:w="644"/>
        <w:gridCol w:w="637"/>
        <w:gridCol w:w="639"/>
        <w:gridCol w:w="109"/>
        <w:gridCol w:w="109"/>
        <w:gridCol w:w="109"/>
        <w:gridCol w:w="471"/>
        <w:gridCol w:w="471"/>
        <w:gridCol w:w="473"/>
        <w:gridCol w:w="109"/>
        <w:gridCol w:w="109"/>
        <w:gridCol w:w="109"/>
        <w:gridCol w:w="626"/>
        <w:gridCol w:w="626"/>
        <w:gridCol w:w="895"/>
      </w:tblGrid>
      <w:tr>
        <w:trPr/>
        <w:tc>
          <w:tcPr>
            <w:tcW w:w="75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Region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 xml:space="preserve">Approximate System Miles </w:t>
            </w:r>
            <w:r>
              <w:rPr>
                <w:rFonts w:ascii="Times New Roman;serif" w:hAnsi="Times New Roman;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2025 Average</w:t>
            </w:r>
          </w:p>
          <w:p>
            <w:pPr>
              <w:pStyle w:val="TableContents"/>
              <w:bidi w:val="0"/>
              <w:spacing w:lineRule="auto" w:line="240" w:before="0" w:after="0"/>
              <w:jc w:val="center"/>
              <w:rPr/>
            </w:pPr>
            <w:r>
              <w:rPr>
                <w:rFonts w:ascii="Times New Roman;serif" w:hAnsi="Times New Roman;serif"/>
                <w:b/>
                <w:color w:val="000000"/>
                <w:sz w:val="17"/>
              </w:rPr>
              <w:t>Barrels per Day </w:t>
            </w:r>
            <w:r>
              <w:rPr>
                <w:rFonts w:ascii="Times New Roman;serif" w:hAnsi="Times New Roman;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 xml:space="preserve">Commercial Storage Capacity </w:t>
            </w:r>
            <w:r>
              <w:rPr>
                <w:rFonts w:ascii="Times New Roman;serif" w:hAnsi="Times New Roman;serif"/>
                <w:b/>
                <w:color w:val="000000"/>
                <w:sz w:val="11"/>
              </w:rPr>
              <w:t>(3)</w:t>
            </w:r>
          </w:p>
        </w:tc>
      </w:tr>
      <w:tr>
        <w:trPr/>
        <w:tc>
          <w:tcPr>
            <w:tcW w:w="1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 Basin: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Gathering pipelines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Intra-basin pipelines</w:t>
            </w:r>
            <w:r>
              <w:rPr>
                <w:color w:val="000000"/>
              </w:rPr>
              <w:t xml:space="preserve">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 - 100%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Long-haul pipelines </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 - 100%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 Basin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9,490 </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7,333 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Texas/Eagle Ford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 - 100%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Mid-Continent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 - 100%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Gulf Coast</w:t>
            </w:r>
            <w:r>
              <w:rPr>
                <w:color w:val="000000"/>
              </w:rPr>
              <w:t xml:space="preserve"> </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 - 100%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Rocky Mountain</w:t>
            </w:r>
            <w:r>
              <w:rPr>
                <w:color w:val="000000"/>
              </w:rPr>
              <w:t xml:space="preserve"> </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 - 100%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Canada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7" w:type="dxa"/>
            <w:gridSpan w:val="3"/>
            <w:tcBorders/>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20,405</w:t>
            </w:r>
            <w:r>
              <w:rPr>
                <w:color w:val="000000"/>
              </w:rPr>
              <w:t> </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9,680</w:t>
            </w:r>
            <w:r>
              <w:rPr>
                <w:color w:val="000000"/>
              </w:rPr>
              <w:t> </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w:t>
            </w:r>
            <w:r>
              <w:rPr>
                <w:color w:val="000000"/>
              </w:rPr>
              <w:t> </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Includes total mileage of pipelines in which we own less than 100%.</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average daily volumes for the entire year attributable to our interest for pipelines owned by consolidated entities, unconsolidated entities or through undivided joint interests (“UJI”). Average daily volumes are calculated as the total volumes (attributable to our interest) for the year divided by the number of days in the year. Volumes reflect tariff movements and thus may be included multiple times as volumes move through our integrated system. Volumes associated with assets acquired or sold during the year represent total volumes for the number of days we actually owned the assets divided by the number of days in the period.</w:t>
      </w:r>
    </w:p>
    <w:p>
      <w:pPr>
        <w:pStyle w:val="TextBody"/>
        <w:bidi w:val="0"/>
        <w:spacing w:lineRule="auto" w:line="288" w:before="120" w:after="283"/>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Commercial storage capacity in millions of barrels. Does not include operational storage capacity used to facilitate pipeline throughput and maintain product quality segregation.</w:t>
      </w:r>
    </w:p>
    <w:p>
      <w:pPr>
        <w:pStyle w:val="TextBody"/>
        <w:bidi w:val="0"/>
        <w:spacing w:lineRule="auto" w:line="288" w:before="120" w:after="283"/>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All of our gathering pipelines and a majority of our intra-basin pipelines in the Permian Basin are owned by the Permian JV, a consolidated entity in which we own a 65% interest. The Permian JV has a 63% UJI in one of the intra-basin pipelines in the Permian Basin.</w:t>
      </w:r>
    </w:p>
    <w:p>
      <w:pPr>
        <w:pStyle w:val="TextBody"/>
        <w:bidi w:val="0"/>
        <w:spacing w:lineRule="auto" w:line="288" w:before="120" w:after="283"/>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Includes pipelines operated by a third party.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Crude Oil Infrastructure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our crude oil assets are interconnected and are operated as a contiguous system. The following descriptions are organized by geographic location and asset type and represent our most significant assets. Pipeline capacities throughout these descriptions are based on our reasonable estimate of volumes that can be delivered from origin to final destination on our pipeline systems. We report pipeline volumes based on the tariffs charged for individual movements, some of which may only utilize a certain segment of a pipeline system (i.e. two short-haul movements on a pipeline from point A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point B and another from point B to point C would double the pipeline tariff volumes on a particular system versus a single point A to point C movement). As a result, at times, our reported tariff barrel movements may exceed our total capacity.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crude oil pipelines are comprised of:</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gathering pipelines</w:t>
      </w:r>
      <w:r>
        <w:rPr>
          <w:color w:val="000000"/>
        </w:rPr>
        <w:t xml:space="preserve"> </w:t>
      </w:r>
      <w:r>
        <w:rPr>
          <w:rFonts w:ascii="Times New Roman;serif" w:hAnsi="Times New Roman;serif"/>
          <w:b w:val="false"/>
          <w:color w:val="000000"/>
          <w:sz w:val="20"/>
        </w:rPr>
        <w:t>that move crude oil from wellhead or central battery connections to regional market hubs;</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intra-basin pipelines</w:t>
      </w:r>
      <w:r>
        <w:rPr>
          <w:color w:val="000000"/>
        </w:rPr>
        <w:t xml:space="preserve"> </w:t>
      </w:r>
      <w:r>
        <w:rPr>
          <w:rFonts w:ascii="Times New Roman;serif" w:hAnsi="Times New Roman;serif"/>
          <w:b w:val="false"/>
          <w:color w:val="000000"/>
          <w:sz w:val="20"/>
        </w:rPr>
        <w:t>that are used as a hub system allowing for a significant amount of flexibility by creating connections between regional hub locations; and</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long-haul pipelines</w:t>
      </w:r>
      <w:r>
        <w:rPr>
          <w:color w:val="000000"/>
        </w:rPr>
        <w:t xml:space="preserve"> </w:t>
      </w:r>
      <w:r>
        <w:rPr>
          <w:rFonts w:ascii="Times New Roman;serif" w:hAnsi="Times New Roman;serif"/>
          <w:b w:val="false"/>
          <w:color w:val="000000"/>
          <w:sz w:val="20"/>
        </w:rPr>
        <w:t>that move crude oil from (i) regional market hubs to major market hubs such as Cushing, Oklahoma or to export facilities, including our Corpus Christi terminal, or (ii) a refinery or other major market hubs, such as the Houston market.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crude oil terminals have significant flexibility and operational capabilities, including large-scale multi-grade handling and segregation capabilities and multiple marine transportation loading and unloading capabilities. Our largest crude oil terminals are located in key market hubs, including Cushing, Oklahoma; St. James, Louisiana; Midland, Texas; and Patoka, Illinois, and have connectivity to major inbound and outbound pipelines and other terminals at these hubs.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most significant assets are described further below by region.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Permian Basin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Gathering Pipelines. </w:t>
      </w:r>
      <w:r>
        <w:rPr>
          <w:rFonts w:ascii="Times New Roman;serif" w:hAnsi="Times New Roman;serif"/>
          <w:b w:val="false"/>
          <w:color w:val="000000"/>
          <w:sz w:val="20"/>
        </w:rPr>
        <w:t>We operate over 5,600 miles of gathering pipelines in both the Midland Basin and the Delaware Basin that in aggregate represent approximately 3.9 million barrels per day of pipeline capacity. This gathering capacity includes pipeline capacity that delivers volumes to regional market hubs. Approximately 75% of the capacity of our gathering systems is in the Delaware Basin. Our gathering pipelines are supported by long-term acreage dedications. All of our gathering pipelines in the Permian Basin are owned by the Permian JV, a consolidated entity in which we own a 65% interest. During the first quarter of 2025, the Permian JV acquired an additional Delaware Basin gathering system.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Intra-Basin Pipelines. </w:t>
      </w:r>
      <w:r>
        <w:rPr>
          <w:rFonts w:ascii="Times New Roman;serif" w:hAnsi="Times New Roman;serif"/>
          <w:b w:val="false"/>
          <w:color w:val="000000"/>
          <w:sz w:val="20"/>
        </w:rPr>
        <w:t>Our intra-basin pipeline system in the Permian Basin has a capacity of approximately 3.1 million barrels per day and connects gathering pipelines and truck injection volumes to our owned and operated as well as third-party mainline pipelines that transport crude oil to major market hubs. This interconnected pipeline system is designed to provide shippers with flow assurance, flexibility and access to multiple markets and support downstream movements on certain Permian Basin long-haul pipelines. A majority of the intra-basin pipeline system is owned by the Permian JV, a consolidated entity in which we own a 65% interest.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Long-Haul Pipelines. </w:t>
      </w:r>
      <w:r>
        <w:rPr>
          <w:rFonts w:ascii="Times New Roman;serif" w:hAnsi="Times New Roman;serif"/>
          <w:b w:val="false"/>
          <w:color w:val="000000"/>
          <w:sz w:val="20"/>
        </w:rPr>
        <w:t>We own interests in multiple long-haul pipeline systems that, on a combined basis, represent over 2.8 million barrels per day of currently operational takeaway capacity out of the Permian Basin to major market hubs in Corpus Christi and Houston, Texas and Cushing, Oklahoma. Our long-haul pipelines provide an integrated wellhead to demand center footprint and are supported by long-term commitments. Below is a description of some of our most significant long-haul pipeline systems originating from the Permian Basin region.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Permian to Cushing/Mid-Continent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Basin Pipeline (Permian to Cushing).</w:t>
      </w:r>
      <w:r>
        <w:rPr>
          <w:color w:val="000000"/>
        </w:rPr>
        <w:t xml:space="preserve"> </w:t>
      </w:r>
      <w:r>
        <w:rPr>
          <w:rFonts w:ascii="Times New Roman;serif" w:hAnsi="Times New Roman;serif"/>
          <w:b w:val="false"/>
          <w:color w:val="000000"/>
          <w:sz w:val="20"/>
        </w:rPr>
        <w:t>We own an approximate 87% UJI in and are the operator of Basin Pipeline. Basin Pipeline has three primary origination locations: Jal, New Mexico; Wink, Texas; and Midland, Texas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Sunrise II Pipeline.</w:t>
      </w:r>
      <w:r>
        <w:rPr>
          <w:color w:val="000000"/>
        </w:rPr>
        <w:t xml:space="preserve"> </w:t>
      </w:r>
      <w:r>
        <w:rPr>
          <w:rFonts w:ascii="Times New Roman;serif" w:hAnsi="Times New Roman;serif"/>
          <w:b w:val="false"/>
          <w:color w:val="000000"/>
          <w:sz w:val="20"/>
        </w:rPr>
        <w:t>We operate the Sunrise II Pipeline and, through a UJI arrangement, own 80% of the capacity of the pipeline, which equates to approximately 400,000 barrels of capacity. Our Sunrise II Pipeline transports crude oil from Midland and Colorado City to connecting carriers at Wichita Falls.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Permian to Gulf Coast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BridgeTex Pipeline (Permian to Houston).</w:t>
      </w:r>
      <w:r>
        <w:rPr>
          <w:color w:val="000000"/>
        </w:rPr>
        <w:t xml:space="preserve"> </w:t>
      </w:r>
      <w:r>
        <w:rPr>
          <w:rFonts w:ascii="Times New Roman;serif" w:hAnsi="Times New Roman;serif"/>
          <w:b w:val="false"/>
          <w:color w:val="000000"/>
          <w:sz w:val="20"/>
        </w:rPr>
        <w:t>We own a 40% interest in the entity that owns the BridgeTex Pipeline. The pipeline, operated by a subsidiary of ONEOK, Inc. (“ONEOK”), originates at Colorado City, Texas and extends to Houston, Texas. The BridgeTex pipeline has a capacity of approximately 440,000 barrels per day and is capable of receiving supply from both our Basin and Midland South pipelines.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Cactus Pipeline (Permian to Corpus Christi).</w:t>
      </w:r>
      <w:r>
        <w:rPr>
          <w:color w:val="000000"/>
        </w:rPr>
        <w:t xml:space="preserve"> </w:t>
      </w:r>
      <w:r>
        <w:rPr>
          <w:rFonts w:ascii="Times New Roman;serif" w:hAnsi="Times New Roman;serif"/>
          <w:b w:val="false"/>
          <w:color w:val="000000"/>
          <w:sz w:val="20"/>
        </w:rPr>
        <w:t>We own and operate the Cactus Pipeline, which has a capacity of 390,000 barrels per day, originates at McCamey, Texas and extends to Gardendale, Texas. The Cactus Pipeline connects to our Eagle Ford joint venture pipeline system at Gardendale for access to the Corpus Christi, Texas market. Movements to Corpus Christi are made on a joint tariff with the Eagle Ford joint venture pipeline.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Cactus II Pipeline (Permian to Corpus Christi).</w:t>
      </w:r>
      <w:r>
        <w:rPr>
          <w:color w:val="000000"/>
        </w:rPr>
        <w:t xml:space="preserve"> </w:t>
      </w:r>
      <w:r>
        <w:rPr>
          <w:rFonts w:ascii="Times New Roman;serif" w:hAnsi="Times New Roman;serif"/>
          <w:b w:val="false"/>
          <w:color w:val="000000"/>
          <w:sz w:val="20"/>
        </w:rPr>
        <w:t>The Cactus II Pipeline is a Permian mainline system that extends directly to the Corpus Christi market and has a capacity of approximately 670,000 barrels per day. We operate the Cactus II Pipeline and own a 70% interest in Cactus II, the entity that owns the Cactus II Pipeline, through a joint venture with Enbridge Inc.</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Cactus III Pipeline (Permian to Corpus Christi). </w:t>
      </w:r>
      <w:r>
        <w:rPr>
          <w:rFonts w:ascii="Times New Roman;serif" w:hAnsi="Times New Roman;serif"/>
          <w:b w:val="false"/>
          <w:color w:val="000000"/>
          <w:sz w:val="20"/>
        </w:rPr>
        <w:t>We own and operate the Cactus III Pipeline (formerly the EPIC Crude Oil Pipeline), which we acquired from EPIC Crude Holdings, LP (“EPIC”) in the fourth quarter of 2025. The Cactus III Pipeline has a capacity of over 600,000 barrels per day and connects Permian Basin and Eagle Ford area production to Corpus Christi, enhancing our existing platform and providing upstream connectivity and downstream market optionality.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Wink to Webster Pipeline (Permian to Houston).</w:t>
      </w:r>
      <w:r>
        <w:rPr>
          <w:color w:val="000000"/>
        </w:rPr>
        <w:t xml:space="preserve"> </w:t>
      </w:r>
      <w:r>
        <w:rPr>
          <w:rFonts w:ascii="Times New Roman;serif" w:hAnsi="Times New Roman;serif"/>
          <w:b w:val="false"/>
          <w:color w:val="000000"/>
          <w:sz w:val="20"/>
        </w:rPr>
        <w:t>We own an approximate 17% interest in the entity that owns the Wink to Webster Pipeline (“W2W Pipeline”), which in turn owns 100% of certain segments of the W2W Pipeline and a 71% UJI in the segment from Midland, Texas to Webster, Texas. The W2W Pipeline originates in the Permian Basin in West Texas and transports crude oil to multiple destinations in the Houston and Galveston market areas. The pipeline system provides approximately 1.5 million barrels per day of crude oil capacity (approximately 1.1 million barrels per day, net to the UJI interest).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Terminals</w:t>
      </w:r>
      <w:r>
        <w:rPr>
          <w:rFonts w:ascii="Times New Roman;serif" w:hAnsi="Times New Roman;serif"/>
          <w:b w:val="false"/>
          <w:color w:val="000000"/>
          <w:sz w:val="20"/>
        </w:rPr>
        <w:t>. Our Midland terminal has access to all of the Permian JV gathering pipelines, either through direct connections, or through the Permian JV intra-basin pipelines. Likewise, the terminal is also either directly connected, or connected through the Permian JV intra-basin pipelines, to all of our Permian Basin long-haul pipelines. Our Midland terminal also has connectivity to third-party inbound and outbound pipelines and terminals at the Midland, Texas hub.</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South Texas/Eagle Ford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South Texas/Eagle Ford assets provide customers with Western Eagle Ford and Permian supply access with connectivity to export and refining demand at Corpus Christi and Houston.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Gathering Pipelines. </w:t>
      </w:r>
      <w:r>
        <w:rPr>
          <w:rFonts w:ascii="Times New Roman;serif" w:hAnsi="Times New Roman;serif"/>
          <w:b w:val="false"/>
          <w:color w:val="000000"/>
          <w:sz w:val="20"/>
        </w:rPr>
        <w:t>We own and operate various gathering systems in the Eagle Ford producing region that connect into our Cactus III and Eagle Ford joint venture pipeline system or to third-party pipelines. We acquired an additional Eagle Ford gathering system in the first quarter of 2025 from Ironwood Midstream Energy Partners II, LLC (“Ironwood Midstream”).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Long-Haul Pipelines. </w:t>
      </w:r>
      <w:r>
        <w:rPr>
          <w:rFonts w:ascii="Times New Roman;serif" w:hAnsi="Times New Roman;serif"/>
          <w:b w:val="false"/>
          <w:color w:val="000000"/>
          <w:sz w:val="20"/>
        </w:rPr>
        <w:t>We own a 50% interest in the entity that owns the Eagle Ford Pipeline through a joint venture with a subsidiary of Enterprise Products Partners, L.P. (“Enterprise Products”). We serve as the operator of the Eagle Ford Pipeline, which has a total capacity of approximately 660,000 barrels per day and connects Permian Basin, through a connection with our Cactus Pipeline, and Eagle Ford area production to Corpus Christi, Texas refiners and terminals. Additionally, the Eagle Ford Pipeline has connectivity to Houston, Texas via a connection with Enterprise Products’ pipeline at Lyssy, Texas. The Eagle Ford Pipeline is supported by long-term shipper commitments.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Terminals</w:t>
      </w:r>
      <w:r>
        <w:rPr>
          <w:rFonts w:ascii="Times New Roman;serif" w:hAnsi="Times New Roman;serif"/>
          <w:b w:val="false"/>
          <w:color w:val="000000"/>
          <w:sz w:val="20"/>
        </w:rPr>
        <w:t>. We own a 50% interest in the entity that owns the Eagle Ford Corpus Christi terminal through a joint venture with a subsidiary of Enterprise Products. The Eagle Ford Corpus Christi terminal has a dock with the capacity to export crude oil and approximately one million barrels of commercial storage capacity. Additionally, our Cactus III terminal, which we acquired in the fourth quarter of 2025, provides over 3 million barrels of commercial storage capacity, along with dock capacity at Corpus Christi.</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Condensate Processing. </w:t>
      </w:r>
      <w:r>
        <w:rPr>
          <w:rFonts w:ascii="Times New Roman;serif" w:hAnsi="Times New Roman;serif"/>
          <w:b w:val="false"/>
          <w:color w:val="000000"/>
          <w:sz w:val="20"/>
        </w:rPr>
        <w:t>We own a 120,000 barrels per day condensate processing facility located in La Salle County, Texas that stabilizes condensate that is primarily sourced from our Eagle Ford area gathering systems. The processed NGL is delivered to a third-party pipeline that delivers into Mont Belvieu, Texas.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Mid-Continent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Mid-Continent assets connect refining customers with supply optionality through our Cushing terminal storage and connectivity.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Gathering Pipelines. </w:t>
      </w:r>
      <w:r>
        <w:rPr>
          <w:rFonts w:ascii="Times New Roman;serif" w:hAnsi="Times New Roman;serif"/>
          <w:b w:val="false"/>
          <w:color w:val="000000"/>
          <w:sz w:val="20"/>
        </w:rPr>
        <w:t>We own and operate gathering pipelines that source crude oil from Western and Central Oklahoma and Southwest Kansas for transportation and delivery into our terminal facilities at Cushing, Oklahoma.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Long-haul Pipelines. </w:t>
      </w:r>
      <w:r>
        <w:rPr>
          <w:rFonts w:ascii="Times New Roman;serif" w:hAnsi="Times New Roman;serif"/>
          <w:b w:val="false"/>
          <w:color w:val="000000"/>
          <w:sz w:val="20"/>
        </w:rPr>
        <w:t>We own and operate various pipeline systems that extend from our Cushing terminal in Oklahoma to various refineries and/or crude oil hubs. Below is a description of some of our most significant pipeline systems in the Mid-Continent region.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Diamond Pipeline</w:t>
      </w:r>
      <w:r>
        <w:rPr>
          <w:color w:val="000000"/>
        </w:rPr>
        <w:t xml:space="preserve"> </w:t>
      </w:r>
      <w:r>
        <w:rPr>
          <w:rFonts w:ascii="Times New Roman;serif" w:hAnsi="Times New Roman;serif"/>
          <w:b w:val="false"/>
          <w:i/>
          <w:color w:val="000000"/>
          <w:sz w:val="20"/>
        </w:rPr>
        <w:t>(Cushing to Memphis).</w:t>
      </w:r>
      <w:r>
        <w:rPr>
          <w:color w:val="000000"/>
        </w:rPr>
        <w:t xml:space="preserve"> </w:t>
      </w:r>
      <w:r>
        <w:rPr>
          <w:rFonts w:ascii="Times New Roman;serif" w:hAnsi="Times New Roman;serif"/>
          <w:b w:val="false"/>
          <w:color w:val="000000"/>
          <w:sz w:val="20"/>
        </w:rPr>
        <w:t xml:space="preserve">We own a 50% interest in the entity that owns the Diamond Pipeline through a joint venture with Valero Energy Corporation (“Valero”). We operate the Diamond Pipeline, which extends from our Cushing Terminal to Valero’s refinery in Memphis, Tennessee. The Diamond Pipeline has a total capacity of approximately 200,000 barrels per day.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Red River Pipeline (Cushing to Longview)</w:t>
      </w:r>
      <w:r>
        <w:rPr>
          <w:rFonts w:ascii="Times New Roman;serif" w:hAnsi="Times New Roman;serif"/>
          <w:b w:val="false"/>
          <w:color w:val="000000"/>
          <w:sz w:val="20"/>
        </w:rPr>
        <w:t>. We own 67% of the entity that owns the Red River Pipeline through a joint venture with Delek Logistics Partners, LP. The Red River Pipeline is an approximately 235,000 barrel per day capacity pipeline that extends from our Cushing Terminal in Oklahoma to Longview, Texas, where it connects with various pipelines. We serve as operator of the Red River Pipeline. The Red River joint venture owns an approximate 69% UJI in the pipeline segment from Cushing to Hewitt, Oklahoma and owns 100% of the segment of the pipeline extending from Hewitt to Longview, Texas.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Midway Pipeline and Cushing Connect Pipeline</w:t>
      </w:r>
      <w:r>
        <w:rPr>
          <w:rFonts w:ascii="Times New Roman;serif" w:hAnsi="Times New Roman;serif"/>
          <w:b w:val="false"/>
          <w:color w:val="000000"/>
          <w:sz w:val="20"/>
        </w:rPr>
        <w:t>. We own and operate the Midway pipeline and own a 50% interest in the Cushing Connect pipeline, both of which originate at our Cushing terminal and terminate at refineries in Coffeyville, Kansas and Tulsa, Oklahoma, respectively. Our partner in the Cushing Connect pipeline is the refiner customer at the terminus of the pipeline.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Terminals</w:t>
      </w:r>
      <w:r>
        <w:rPr>
          <w:rFonts w:ascii="Times New Roman;serif" w:hAnsi="Times New Roman;serif"/>
          <w:b w:val="false"/>
          <w:color w:val="000000"/>
          <w:sz w:val="20"/>
        </w:rPr>
        <w:t>. We are a large provider of crude oil terminalling services in Cushing, Oklahoma, which is one of the largest physical trading hubs in the United States and is the delivery point for the NYMEX light sweet crude oil futures contracts (the benchmark for United States (“U.S.”) crude oil). Our Cushing terminal has been designated by the NYMEX as an approved delivery location.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Cushing terminal, which had 27 million barrels of commercial storage capacity at December 31, 2025, is connected to our long-haul pipelines from the Permian Basin and Rocky Mountain regions, as well as to our Mid-Continent region gathering pipelines. Additionally, the terminal supplies crude oil to all of our joint venture, Mid-Continent region long-haul pipelines. Our Cushing terminal is also connected to a rail unloading facility. In January 2026, we acquired the Wildhorse crude terminal, which complements our existing Cushing terminal footprint and adds approximately 4 million barrels of storage capacity adjacent to our existing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crude oil terminal in Patoka, Illinois, which has 7 million barrels of commercial storage capacity, has connectivity to major inbound and outbound pipelines at this hub, including the Capline Pipeline (discussed further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Gulf Coast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Gulf Cost assets provide refining customers with access to local and foreign supply via terminal storage and connectivity.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Long-haul Pipelines. </w:t>
      </w:r>
      <w:r>
        <w:rPr>
          <w:rFonts w:ascii="Times New Roman;serif" w:hAnsi="Times New Roman;serif"/>
          <w:b w:val="false"/>
          <w:color w:val="000000"/>
          <w:sz w:val="20"/>
        </w:rPr>
        <w:t>We own an approximate 54% interest in the entity that owns the Capline Pipeline, which extends from Patoka, Illinois to various terminals in St. James, Louisiana. The Capline Pipeline is supported by long-term shipper commitments, and a subsidiary of Marathon Petroleum Corporation serves as the operator.</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pPr>
      <w:r>
        <w:rPr>
          <w:rFonts w:ascii="Times New Roman;serif" w:hAnsi="Times New Roman;serif"/>
          <w:b w:val="false"/>
          <w:i/>
          <w:color w:val="000000"/>
          <w:sz w:val="20"/>
        </w:rPr>
        <w:t>Terminals</w:t>
      </w:r>
      <w:r>
        <w:rPr>
          <w:rFonts w:ascii="Times New Roman;serif" w:hAnsi="Times New Roman;serif"/>
          <w:b w:val="false"/>
          <w:color w:val="000000"/>
          <w:sz w:val="20"/>
        </w:rPr>
        <w:t>. Our terminal at St. James, Louisiana, which has 15 million barrels of commercial storage capacity, is a destination facility connected to the Capline Pipeline and other third-party pipelines, and also has a rail unload facility that can move crude oil from rail cars to pipelines that service local refiners, or to our docks which can receive or export crude oil. Our terminals in and near Mobile, Alabama have 4 million barrels of commercial storage capacity, along with dock capacity to receive or export crude oil.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Rocky Mountain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Rocky Mountain assets, along with our Canadian crude assets, provide upstream supply access and cross-border connectivity, which drive pull-through benefits to downstream systems.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Gathering Pipelines</w:t>
      </w:r>
      <w:r>
        <w:rPr>
          <w:rFonts w:ascii="Times New Roman;serif" w:hAnsi="Times New Roman;serif"/>
          <w:b w:val="false"/>
          <w:color w:val="000000"/>
          <w:sz w:val="20"/>
        </w:rPr>
        <w:t>. We own and operate pipelines that provide gathering services in the Bakken and the Powder River Basin.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Long-haul Pipelines.</w:t>
      </w:r>
      <w:r>
        <w:rPr>
          <w:color w:val="000000"/>
        </w:rPr>
        <w:t xml:space="preserve"> </w:t>
      </w:r>
      <w:r>
        <w:rPr>
          <w:rFonts w:ascii="Times New Roman;serif" w:hAnsi="Times New Roman;serif"/>
          <w:b w:val="false"/>
          <w:color w:val="000000"/>
          <w:sz w:val="20"/>
        </w:rPr>
        <w:t>Our pipeline systems in the Rocky Mountain region provide access to our terminal in Cushing, Oklahoma as well as other major market hubs. We have two cross-border pipelines, each of which has the flexibility to move up to 30,000 barrels per day of crude oil, depending on the quality. We own and operate the Bakken North cross-border pipeline system that accommodates bidirectional flow and can move crude oil between the Bakken at Trenton, North Dakota and the Enbridge Mainline system at Regina, Saskatchewan. We own a UJI in the Western Corridor pipeline system that extends from the Canadian border to our terminal in Guernsey, Wyoming and receives crude oil from our cross-border Rangeland South pipeline. In addition to these assets, our largest Rocky Mountain region systems include the following joint venture pipelines, both of which connect to our terminal in Cushing, Oklahoma.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Saddlehorn Pipeline</w:t>
      </w:r>
      <w:r>
        <w:rPr>
          <w:rFonts w:ascii="Times New Roman;serif" w:hAnsi="Times New Roman;serif"/>
          <w:b w:val="false"/>
          <w:color w:val="000000"/>
          <w:sz w:val="20"/>
        </w:rPr>
        <w:t xml:space="preserve">. We own a 40% interest in the entity that owns the Saddlehorn Pipeline which, through a UJI arrangement, owns approximately 290,000 barrels per day of capacity in the Saddlehorn Pipeline. The pipeline extends from the Niobrara and Denver-Julesburg (“DJ”) Basin to Cushing and is operated by ONEOK. The Saddlehorn Pipeline is supported by minimum volume commitments.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White Cliffs Pipeline.</w:t>
      </w:r>
      <w:r>
        <w:rPr>
          <w:color w:val="000000"/>
        </w:rPr>
        <w:t xml:space="preserve"> </w:t>
      </w:r>
      <w:r>
        <w:rPr>
          <w:rFonts w:ascii="Times New Roman;serif" w:hAnsi="Times New Roman;serif"/>
          <w:b w:val="false"/>
          <w:color w:val="000000"/>
          <w:sz w:val="20"/>
        </w:rPr>
        <w:t>We own an approximate 36% interest in the entity that owns the White Cliffs Pipeline system through a joint venture with three other partners. The White Cliffs Pipeline system consists of one crude oil pipeline with approximately 100,000 barrels per day of capacity that extends from the DJ Basin to Cushing, Oklahoma and one NGL pipeline with approximately 90,000 barrels per day of capacity that extends from the DJ Basin to a tie-in location with the Southern Hills Pipeline in Oklahoma. The NGL pipeline is supported by a long-term capacity lease and long-term throughput agreements. A subsidiary of Energy Transfer LP serves as the operator of the pipelines.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Canada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Gathering Pipelines</w:t>
      </w:r>
      <w:r>
        <w:rPr>
          <w:rFonts w:ascii="Times New Roman;serif" w:hAnsi="Times New Roman;serif"/>
          <w:b w:val="false"/>
          <w:color w:val="000000"/>
          <w:sz w:val="20"/>
        </w:rPr>
        <w:t>. We own and operate gathering systems that source crude oil from truck terminals and pipeline-connected facilities to deliver to the Enbridge Mainline system at our Kerrobert and Regina terminals in Saskatchewan, Canada.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Intra-basin Pipelines. </w:t>
      </w:r>
      <w:r>
        <w:rPr>
          <w:rFonts w:ascii="Times New Roman;serif" w:hAnsi="Times New Roman;serif"/>
          <w:b w:val="false"/>
          <w:color w:val="000000"/>
          <w:sz w:val="20"/>
        </w:rPr>
        <w:t xml:space="preserve">We own and operate intra-basin pipelines with a capacity of approximately 300,000 barrels per day that deliver crude oil from northern and southern Alberta to the Edmonton, Alberta market hub. These pipelines provide shippers with flexibility to access the Enbridge and TransMountain long-haul pipelines along with the Imperial Oil Refinery.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Western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Gathering Pipelines.</w:t>
      </w:r>
      <w:r>
        <w:rPr>
          <w:color w:val="000000"/>
        </w:rPr>
        <w:t xml:space="preserve"> </w:t>
      </w:r>
      <w:r>
        <w:rPr>
          <w:rFonts w:ascii="Times New Roman;serif" w:hAnsi="Times New Roman;serif"/>
          <w:b w:val="false"/>
          <w:color w:val="000000"/>
          <w:sz w:val="20"/>
        </w:rPr>
        <w:t>We own and operate a pipeline in the San Joaquin Valley in California that gathers locally produced crude oil, which is then delivered via our Line 63 pipeline system and/or Line 2000 pipeline for transportation to Los Angeles area refiners.</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i/>
          <w:color w:val="000000"/>
          <w:sz w:val="20"/>
        </w:rPr>
        <w:t xml:space="preserve">Long-haul Pipelines. </w:t>
      </w:r>
      <w:r>
        <w:rPr>
          <w:rFonts w:ascii="Times New Roman;serif" w:hAnsi="Times New Roman;serif"/>
          <w:b w:val="false"/>
          <w:color w:val="000000"/>
          <w:sz w:val="20"/>
        </w:rPr>
        <w:t>We own and operate Line 63 and Line 2000 pipelines in California. Line 2000 is a mainline system that has the capacity to transport approximately 110,000 barrels per day from the San Joaquin Valley to refineries and terminal facilities in the Los Angeles area. Line 63 is used as a gathering and distribution system. The pipeline gathers crude oil in the San Joaquin Valley for delivery to Line 2000 and local refiners. In the Los Angeles area, the Line 63 distribution lines are used to move crude oil from Line 2000 to local refiners.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NGL Segment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NGL Market and Business 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NGL primarily includes ethane, propane, normal butane, iso-butane and natural gasoline, and is derived from natural gas production and processing activities, as well as crude oil refining processes. The individual NGL components are used for various purposes including heating, engine and industrial fuels, a component of motor gasoline and as the primary feedstock for petrochemical facilities that produce many everyday consumer products, including a wide range of plastics and synthetic rubber.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NGL segment operations involve NGL storage and terminalling from our NGL assets located primarily in the Southwestern United States. Our NGL segment revenues are primarily derived from (i) providing storage and/or terminalling services at these facilities to third-party customers for a fee and (ii) the transport, storage and sale of specification NGL products.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Canadian NGL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2025, we entered into a definitive SPA with Keyera, pursuant to which Keyera agreed to acquire all of the issued and outstanding shares of PMC ULC, our wholly-owned subsidiary that owns substantially all of our Canadian NGL Business. This transaction is expected to close around the end of the first quarter of 2026, subject to the satisfaction or waiver of customary closing conditions, including receipt of regulatory approvals. Prior to its classification as held for sale and presentation as discontinued operations, the Canadian NGL Business was part of our NGL reportable segment.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Canadian NGL Business operations involve natural gas processing and NGL fractionation, storage, transportation and terminalling. Our Canadian NGL Business revenues are primarily derived from a combination of (i) providing gathering, fractionation, storage, and/or terminalling services to third-party customers for a fee, and (ii) our merchant activities that support the assets. Our Canadian NGL Business merchant activities include the acquisition of extraction rights from producers and/or shippers of the gas streams that pass through our Empress facility. The extraction rights allow us to process that gas at our Empress facility and extract the higher valued NGL from the gas stream. We then purchase natural gas to replace the thermal content attributable to the NGL that was extracted. We use our assets to transport, store and fractionate NGL mix extracted from our Empress straddle plants, or NGL mix acquired from third parties, into finished products to sell to customers. We may also acquire finished NGL products to be seasonally stored in our storage caverns, which is then resold to third-party customers. Often times we will use derivative instruments to hedge the margins related to these merchant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figure below provides an illustrative and simplified overview of the assets and activities associated with our Canadian NGL Business (within the shaded area):</w:t>
      </w:r>
    </w:p>
    <w:p>
      <w:pPr>
        <w:pStyle w:val="TextBody"/>
        <w:bidi w:val="0"/>
        <w:spacing w:before="0" w:after="0"/>
        <w:ind w:left="0" w:right="0" w:firstLine="720"/>
        <w:jc w:val="left"/>
        <w:rPr/>
      </w:pPr>
      <w:r>
        <w:rPr/>
      </w:r>
    </w:p>
    <w:p>
      <w:pPr>
        <w:pStyle w:val="TextBody"/>
        <w:bidi w:val="0"/>
        <w:spacing w:before="0" w:after="0"/>
        <w:jc w:val="center"/>
        <w:rPr/>
      </w:pPr>
      <w:r>
        <w:rPr/>
        <w:drawing>
          <wp:inline distT="0" distB="0" distL="0" distR="0">
            <wp:extent cx="6515100" cy="1895475"/>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5"/>
                    <a:stretch>
                      <a:fillRect/>
                    </a:stretch>
                  </pic:blipFill>
                  <pic:spPr bwMode="auto">
                    <a:xfrm>
                      <a:off x="0" y="0"/>
                      <a:ext cx="6515100" cy="1895475"/>
                    </a:xfrm>
                    <a:prstGeom prst="rect">
                      <a:avLst/>
                    </a:prstGeom>
                  </pic:spPr>
                </pic:pic>
              </a:graphicData>
            </a:graphic>
          </wp:inline>
        </w:drawing>
      </w:r>
      <w:bookmarkStart w:id="3" w:name="i-4"/>
      <w:bookmarkEnd w:id="3"/>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operate a highly integrated network of assets, strategically positioned across Canada and the United States, with a particular focus on serving production from the liquids-rich Western Canadian Sedimentary Basin. As of December 31, 2025, the assets associated with our Canadian NGL Business included the following:</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four natural gas processing plants;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six fractionation plants located throughout Canada with an aggregate usable capacity of approximately 180,000 barrels per day;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NGL storage facilities with approximately 24 million barrels of capacity;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approximately 1,785 miles of active NGL transportation pipelines;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14 NGL rail terminals and approximately 4,100 NGL rail cars;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approximately 220 trailers.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the Canadian NGL Business assets include the linefill associated with our commercial activities, including as of December 31, 2025, approximately: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2 million barrels of NGL linefill in pipelines and storage owned by us;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1 million barrels of NGL utilized as linefill in pipelines owned by third parties or otherwise required as long-term inventory.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tables below present approximate volumes and capacities for our Canadian NGL Business assets and activities as of December 31, 2025 and our natural gas processing and NGL infrastructure and activities are described further below.</w:t>
      </w:r>
    </w:p>
    <w:p>
      <w:pPr>
        <w:pStyle w:val="TextBody"/>
        <w:bidi w:val="0"/>
        <w:spacing w:before="0" w:after="0"/>
        <w:jc w:val="left"/>
        <w:rPr/>
      </w:pPr>
      <w:r>
        <w:rPr/>
      </w:r>
    </w:p>
    <w:tbl>
      <w:tblPr>
        <w:tblW w:w="6946" w:type="dxa"/>
        <w:jc w:val="center"/>
        <w:tblInd w:w="0" w:type="dxa"/>
        <w:tblLayout w:type="fixed"/>
        <w:tblCellMar>
          <w:top w:w="28" w:type="dxa"/>
          <w:left w:w="28" w:type="dxa"/>
          <w:bottom w:w="28" w:type="dxa"/>
          <w:right w:w="28" w:type="dxa"/>
        </w:tblCellMar>
      </w:tblPr>
      <w:tblGrid>
        <w:gridCol w:w="914"/>
        <w:gridCol w:w="803"/>
        <w:gridCol w:w="804"/>
        <w:gridCol w:w="109"/>
        <w:gridCol w:w="109"/>
        <w:gridCol w:w="109"/>
        <w:gridCol w:w="331"/>
        <w:gridCol w:w="331"/>
        <w:gridCol w:w="824"/>
        <w:gridCol w:w="109"/>
        <w:gridCol w:w="109"/>
        <w:gridCol w:w="109"/>
        <w:gridCol w:w="290"/>
        <w:gridCol w:w="290"/>
        <w:gridCol w:w="291"/>
        <w:gridCol w:w="109"/>
        <w:gridCol w:w="109"/>
        <w:gridCol w:w="109"/>
        <w:gridCol w:w="274"/>
        <w:gridCol w:w="274"/>
        <w:gridCol w:w="276"/>
        <w:gridCol w:w="109"/>
        <w:gridCol w:w="154"/>
      </w:tblGrid>
      <w:tr>
        <w:trPr/>
        <w:tc>
          <w:tcPr>
            <w:tcW w:w="9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Natural Gas Processing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Processing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Capacity </w:t>
            </w:r>
          </w:p>
          <w:p>
            <w:pPr>
              <w:pStyle w:val="TableContents"/>
              <w:bidi w:val="0"/>
              <w:spacing w:lineRule="auto" w:line="240" w:before="0" w:after="0"/>
              <w:jc w:val="center"/>
              <w:rPr/>
            </w:pPr>
            <w:r>
              <w:rPr>
                <w:rFonts w:ascii="Times New Roman;serif" w:hAnsi="Times New Roman;serif"/>
                <w:b/>
                <w:color w:val="000000"/>
                <w:sz w:val="16"/>
              </w:rPr>
              <w:t>(Bcf/d)</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Inlet</w:t>
            </w:r>
          </w:p>
          <w:p>
            <w:pPr>
              <w:pStyle w:val="TableContents"/>
              <w:bidi w:val="0"/>
              <w:spacing w:lineRule="auto" w:line="240" w:before="0" w:after="0"/>
              <w:jc w:val="center"/>
              <w:rPr/>
            </w:pPr>
            <w:r>
              <w:rPr>
                <w:rFonts w:ascii="Times New Roman;serif" w:hAnsi="Times New Roman;serif"/>
                <w:b/>
                <w:color w:val="000000"/>
                <w:sz w:val="16"/>
              </w:rPr>
              <w:t xml:space="preserve">Volume </w:t>
            </w:r>
            <w:r>
              <w:rPr>
                <w:rFonts w:ascii="Times New Roman;serif" w:hAnsi="Times New Roman;serif"/>
                <w:b/>
                <w:color w:val="000000"/>
                <w:sz w:val="10"/>
              </w:rPr>
              <w:t>(2)</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(Bcf/d)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Empress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459" w:type="dxa"/>
        <w:jc w:val="center"/>
        <w:tblInd w:w="0" w:type="dxa"/>
        <w:tblLayout w:type="fixed"/>
        <w:tblCellMar>
          <w:top w:w="28" w:type="dxa"/>
          <w:left w:w="28" w:type="dxa"/>
          <w:bottom w:w="28" w:type="dxa"/>
          <w:right w:w="28" w:type="dxa"/>
        </w:tblCellMar>
      </w:tblPr>
      <w:tblGrid>
        <w:gridCol w:w="821"/>
        <w:gridCol w:w="722"/>
        <w:gridCol w:w="723"/>
        <w:gridCol w:w="109"/>
        <w:gridCol w:w="109"/>
        <w:gridCol w:w="109"/>
        <w:gridCol w:w="331"/>
        <w:gridCol w:w="331"/>
        <w:gridCol w:w="824"/>
        <w:gridCol w:w="109"/>
        <w:gridCol w:w="109"/>
        <w:gridCol w:w="109"/>
        <w:gridCol w:w="413"/>
        <w:gridCol w:w="413"/>
        <w:gridCol w:w="371"/>
        <w:gridCol w:w="109"/>
        <w:gridCol w:w="109"/>
        <w:gridCol w:w="109"/>
        <w:gridCol w:w="447"/>
        <w:gridCol w:w="447"/>
        <w:gridCol w:w="635"/>
      </w:tblGrid>
      <w:tr>
        <w:trPr/>
        <w:tc>
          <w:tcPr>
            <w:tcW w:w="8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NGL Fractionation Facilities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Fractionation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Capacity</w:t>
            </w:r>
          </w:p>
          <w:p>
            <w:pPr>
              <w:pStyle w:val="TableContents"/>
              <w:bidi w:val="0"/>
              <w:spacing w:lineRule="auto" w:line="240" w:before="0" w:after="0"/>
              <w:jc w:val="center"/>
              <w:rPr/>
            </w:pPr>
            <w:r>
              <w:rPr>
                <w:rFonts w:ascii="Times New Roman;serif" w:hAnsi="Times New Roman;serif"/>
                <w:b/>
                <w:color w:val="000000"/>
                <w:sz w:val="16"/>
              </w:rPr>
              <w:t>(Bbls/d)</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Volume </w:t>
            </w:r>
            <w:r>
              <w:rPr>
                <w:rFonts w:ascii="Times New Roman;serif" w:hAnsi="Times New Roman;serif"/>
                <w:b/>
                <w:color w:val="000000"/>
                <w:sz w:val="10"/>
              </w:rPr>
              <w:t>(2)</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(Bbls/d)</w:t>
            </w:r>
          </w:p>
        </w:tc>
      </w:tr>
      <w:tr>
        <w:trPr/>
        <w:tc>
          <w:tcPr>
            <w:tcW w:w="2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Empress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26,000 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24,800 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Fort Saskatchewan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51,800 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Sarnia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76,000 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64,000 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147,400 </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4915" w:type="dxa"/>
        <w:jc w:val="center"/>
        <w:tblInd w:w="0" w:type="dxa"/>
        <w:tblLayout w:type="fixed"/>
        <w:tblCellMar>
          <w:top w:w="28" w:type="dxa"/>
          <w:left w:w="28" w:type="dxa"/>
          <w:bottom w:w="28" w:type="dxa"/>
          <w:right w:w="28" w:type="dxa"/>
        </w:tblCellMar>
      </w:tblPr>
      <w:tblGrid>
        <w:gridCol w:w="647"/>
        <w:gridCol w:w="569"/>
        <w:gridCol w:w="570"/>
        <w:gridCol w:w="109"/>
        <w:gridCol w:w="109"/>
        <w:gridCol w:w="109"/>
        <w:gridCol w:w="331"/>
        <w:gridCol w:w="331"/>
        <w:gridCol w:w="824"/>
        <w:gridCol w:w="109"/>
        <w:gridCol w:w="109"/>
        <w:gridCol w:w="109"/>
        <w:gridCol w:w="289"/>
        <w:gridCol w:w="289"/>
        <w:gridCol w:w="411"/>
      </w:tblGrid>
      <w:tr>
        <w:trPr/>
        <w:tc>
          <w:tcPr>
            <w:tcW w:w="6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NGL Storage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Storage</w:t>
            </w:r>
          </w:p>
          <w:p>
            <w:pPr>
              <w:pStyle w:val="TableContents"/>
              <w:bidi w:val="0"/>
              <w:spacing w:lineRule="auto" w:line="240" w:before="0" w:after="0"/>
              <w:jc w:val="center"/>
              <w:rPr/>
            </w:pPr>
            <w:r>
              <w:rPr>
                <w:rFonts w:ascii="Times New Roman;serif" w:hAnsi="Times New Roman;serif"/>
                <w:b/>
                <w:color w:val="000000"/>
                <w:sz w:val="16"/>
              </w:rPr>
              <w:t>Capacity</w:t>
            </w:r>
            <w:r>
              <w:rPr>
                <w:color w:val="000000"/>
              </w:rPr>
              <w:t xml:space="preserve"> </w:t>
            </w:r>
            <w:r>
              <w:rPr>
                <w:rFonts w:ascii="Times New Roman;serif" w:hAnsi="Times New Roman;serif"/>
                <w:b/>
                <w:color w:val="000000"/>
                <w:sz w:val="10"/>
              </w:rPr>
              <w:t>(1)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(MMBbls)</w:t>
            </w:r>
          </w:p>
        </w:tc>
      </w:tr>
      <w:tr>
        <w:trPr/>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Fort Saskatchewan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Sarnia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Empress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566" w:type="dxa"/>
        <w:jc w:val="center"/>
        <w:tblInd w:w="0" w:type="dxa"/>
        <w:tblLayout w:type="fixed"/>
        <w:tblCellMar>
          <w:top w:w="28" w:type="dxa"/>
          <w:left w:w="28" w:type="dxa"/>
          <w:bottom w:w="28" w:type="dxa"/>
          <w:right w:w="28" w:type="dxa"/>
        </w:tblCellMar>
      </w:tblPr>
      <w:tblGrid>
        <w:gridCol w:w="473"/>
        <w:gridCol w:w="415"/>
        <w:gridCol w:w="417"/>
        <w:gridCol w:w="109"/>
        <w:gridCol w:w="109"/>
        <w:gridCol w:w="109"/>
        <w:gridCol w:w="495"/>
        <w:gridCol w:w="495"/>
        <w:gridCol w:w="496"/>
        <w:gridCol w:w="109"/>
        <w:gridCol w:w="109"/>
        <w:gridCol w:w="109"/>
        <w:gridCol w:w="734"/>
        <w:gridCol w:w="734"/>
        <w:gridCol w:w="736"/>
        <w:gridCol w:w="109"/>
        <w:gridCol w:w="109"/>
        <w:gridCol w:w="109"/>
        <w:gridCol w:w="466"/>
        <w:gridCol w:w="466"/>
        <w:gridCol w:w="658"/>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 xml:space="preserve">Approximate System Miles </w:t>
            </w:r>
            <w:r>
              <w:rPr>
                <w:rFonts w:ascii="Times New Roman;serif" w:hAnsi="Times New Roman;serif"/>
                <w:b/>
                <w:color w:val="000000"/>
                <w:sz w:val="11"/>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Average Volumes </w:t>
            </w:r>
            <w:r>
              <w:rPr>
                <w:rFonts w:ascii="Times New Roman;serif" w:hAnsi="Times New Roman;serif"/>
                <w:b/>
                <w:color w:val="000000"/>
                <w:sz w:val="11"/>
              </w:rPr>
              <w:t>(2)</w:t>
            </w:r>
          </w:p>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(MBbls/d)</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NGL Pipelines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6249" w:type="dxa"/>
        <w:jc w:val="center"/>
        <w:tblInd w:w="0" w:type="dxa"/>
        <w:tblLayout w:type="fixed"/>
        <w:tblCellMar>
          <w:top w:w="28" w:type="dxa"/>
          <w:left w:w="28" w:type="dxa"/>
          <w:bottom w:w="28" w:type="dxa"/>
          <w:right w:w="28" w:type="dxa"/>
        </w:tblCellMar>
      </w:tblPr>
      <w:tblGrid>
        <w:gridCol w:w="619"/>
        <w:gridCol w:w="545"/>
        <w:gridCol w:w="546"/>
        <w:gridCol w:w="109"/>
        <w:gridCol w:w="109"/>
        <w:gridCol w:w="109"/>
        <w:gridCol w:w="495"/>
        <w:gridCol w:w="495"/>
        <w:gridCol w:w="496"/>
        <w:gridCol w:w="109"/>
        <w:gridCol w:w="109"/>
        <w:gridCol w:w="109"/>
        <w:gridCol w:w="305"/>
        <w:gridCol w:w="305"/>
        <w:gridCol w:w="306"/>
        <w:gridCol w:w="109"/>
        <w:gridCol w:w="109"/>
        <w:gridCol w:w="109"/>
        <w:gridCol w:w="338"/>
        <w:gridCol w:w="338"/>
        <w:gridCol w:w="480"/>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Rack Spots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Storage Spots</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NGL Rail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total capacity of the facilities, net to our ownership interest.</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Average daily volumes are calculated as the total volumes for the year, net to our interest, divided by the number of days in the year.</w:t>
      </w:r>
    </w:p>
    <w:p>
      <w:pPr>
        <w:pStyle w:val="TextBody"/>
        <w:bidi w:val="0"/>
        <w:spacing w:lineRule="auto" w:line="288" w:before="120" w:after="283"/>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Includes total mileage of pipelines in which we own a less than 100% interest.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6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Natural Gas Processing and NGL Infrastructure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network of liquids infrastructure related to our Canadian NGL Business includes NGL fractionation facilities, underground NGL storage caverns, above ground storage tanks, NGL pipelines, and rail and truck terminals. With these assets, we process, fractionate, store and transport NGL such as ethane, propane, butane and condensate. The unique integrated and geographically diverse nature of our Canadian NGL Business infrastructure provides the opportunity to maximize margins across the NGL value chain for both us and our customers. The most significant of these assets include the following: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Empress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own and operate four gas processing facilities near Empress, Alberta. These facilities, referred to as straddle plants because they “straddle” gas transportation pipelines, process natural gas to extract ethane and NGL mix entrained in the gas stream before returning the gas to the transportation pipelines. We acquire the rights to extract the NGL from producers and/or shippers of the gas streams that pass through our Empress facility and then purchase natural gas to replace the thermal content attributable to the NGL that was extracted. The NGL mix can be fractionated at our Empress facility or transported along the Enbridge pipeline system for fractionation at our Sarnia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Empress plants are capable of processing up to 5.7 Bcf of natural gas per day; however, supply available to these plants is typically in the 3.5 to 4.5 Bcf per day range. These plants produce approximately 65,000 to 100,000 barrels per day of ethane, and 40,000 to 60,000 barrels per day of NGL mix. Our Empress fractionation facility is capable of processing and producing up to 26,000 barrels per day of NGL products and is connected to rail loading infrastructure at Empress and our PPTC pipeline system, which enables NGL to be transported to storage and loading terminals in Saskatchewan and Manitoba.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Co-Ed Pipeline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NGL transportation supply system, the Co-Ed NGL pipeline system, has transportation capacity of approximately 70,000 barrels per day and gathers NGL from Southwest and Central Alberta (Cardium, Deep Basin, and Alberta Montney) for delivery to our Fort Saskatchewan, Alberta NGL fractionation facilities.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Fort Saskatchewan Complex</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Fort Saskatchewan facility is located near Edmonton, Alberta in one of the key North American NGL hubs. The facility is a receipt, storage, fractionation and delivery facility for NGL and is connected to other major NGL plants and pipeline systems in the area. The facility’s primary assets include a fractionation plant, 12 storage caverns, and truck and rail loading capability. Our multi-year fractionation debottleneck project at our Fort Saskatchewan facility was placed into service during the second quarter of 2025, which further enhances our integrated NGL value chain. Our Fort Saskatchewan fractionation facility now has an inlet design capacity of 112,000 barrels per day of which there is 57,000 barrels per day of full C3+ fractionation capability. The remaining throughput capacity can produce additional spec products (propane and condensate) or a propane and butane mix, which is transported via the Enbridge pipeline system to our Sarnia facility for further fractionation.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Sarnia Area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Sarnia Area assets in Southwestern Ontario consist of (i) our Sarnia facility, (ii) our Windsor storage terminal and (iii) our St. Clair, Michigan terminal. The Sarnia facility is a large NGL fractionation and storage facility with rail and truck loading capabilities. The Sarnia Area facilities are served by a network of multiple pipelines connected to various refineries, chemical plants, and other pipeline and railroad systems in the area. This pipeline network also delivers product between our Sarnia facility and our Windsor and St. Clair storage facilities. The Sarnia fractionator, which we operate and have a partial ownership interest in, receives NGL feedstock primarily from the Enbridge pipeline system and, to a lesser extent, from our rail unloading facility. The fractionation unit is able to process an average of approximately 100,000 barrels per day of NGL products. Our ownership in the various processing units at the Sarnia fractionator ranges from 61% to 85%.</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Impact of Commodity Price Volatility and Dynamic Market Conditions on Our Business Model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Crude oil, NGL and natural gas commodity prices have historically been very volatile. For example, in 2025, the prompt month NYMEX light, sweet futures contract (commonly referred to as “WTI”) price ranged from a low of approximately $55 per barrel to a high of approximately $80 per barrel. Similarly, there has also been volatility within the propane and butane markets as seen through the North American benchmark price located at Mont Belvieu, Texas, as well as with the basis differentials between Mont Belvieu prices and prices realized at various market hubs in North America.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our objective is to position the Partnership such that our overall annual cash flow is not materially adversely affected by the absolute level of energy prices, market volatility associated with shifts between demand-driven markets and supply-driven markets or other similar dynamics may create market conditions that are more challenging to our business model. In extended periods of lower crude oil and/or NGL prices, or periods where the supply and demand fundamentals compress regional location differentials, our financial results may be adversely impacted. Under such market conditions, product flows on our pipelines or through our facilities may be adversely impacted. Alternatively, in periods where supply exceeds regional demand and/or pipeline egress, product flows on our pipelines or through our facilities may be favorably impacted. In executing our business model, we employ a variety of financial risk management tools and techniques to manage our financial risk, predominantly related to our merchant activities. These are discussed in greater detail in the “—Risk Management”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relative contribution levels will vary from quarter-to-quarter due to seasonality, particularly with respect to our NGL merchant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Risk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enterprise-level risks and trading-related risks. Enterprise-level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enterprise-level risks inherent in our core businesses by using financial derivatives to protect our ability to generate cash flow and optimize asset profitability, rather than trying to profit from trading activities.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merchant activities, we purchase crude oil, NGL and natural gas from thousands of locations and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and managed to a balanced position over a reasonable period of time. This activity is monitored independently by our risk management function and must take place within predefined limits and authorizations.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Credit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merchant activities in our Crude Oil and NGL segments require significant extensions of credit by our suppliers. To assure our ability to perform our obligations under purchase agreements, various credit arrangements are negotiated with our suppliers. These arrangements include open lines of credit and, to a lesser extent, standby letters of credit issued under our hedged inventory facility or our senior unsecured revolving credit facility. In addition, storing crude oil, NGL or spec products in a contango market, or otherwise, requires us to have credit facilities to finance both the purchase of these products in the prompt month as well as margin requirements that may be required for the derivative instruments used to hedge our price exposure.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 we sell crude oil and NGL, we must determine the amount, if any, of credit to be extended to any given customer. Because our typical sales transactions can involve large volumes of crude oil or NGL, the risk of nonpayment and nonperformance by customers is a major consideration in our business. We believe our sales are made to creditworthy entities or entities with adequate credit support. See Note 4 to our Consolidated Financial Statements for further discussion of our credit review process and risk management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ExxonMobil Corporation and its subsidiaries accounted for approximately 31%, 31% and 27% of our revenues for the years ended December 31, 2025, 2024 and 2023, respectively. BP p.l.c. and its subsidiaries accounted for approximately 10% of our revenues for the year ended December 31, 2023. No other customers accounted for 10% or more of our revenues during any of the three years ended December 31, 2025.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 For a discussion of credit and industry concentration risk, see Note 16 to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Competition among pipelines is based primarily on transportation charges, access to producing areas and supply regions and demand for crude oil and NGL by end users. Although new pipeline projects represent a source of competition for our business, existing third-party owned pipelines with excess capacity in the vicinity of our operations also expose us to significant competition based on the relatively low operating cost associated with moving an incremental barrel of crude oil or NGL through such unutilized capacity. In areas where additional infrastructure is being built or has been built to accommodate new or increased production or changing product flows, we face competition in providing the required infrastructure solutions as well as the risk that capacity in the area will be overbuilt until production grows sufficiently or pipelines are retired or converted to alternate service. As a result of multiple pipeline expansions in the Permian Basin and other areas, together with meaningful changes and delays in expected production growth due to a variety of factors, we continue to experience heightened competition for uncommitted barrels and contract renewals, which puts downward pressure on tariffs and margins. Further slowing of production growth or production declines could exacerbate these risks, but we believe that the current duration of our contracts and structure of our integrated business model, combined with expected crude oil production growth in the Permian Basin and other areas, should partially mitigate these risks.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pipelines may also face competition from other forms of transportation, such as truck, rail and barge. Although these alternative forms of transportation typically cost more, they can provide access to alternative markets at which a higher price may be realized for the commodity being transported, thereby overcoming the increased transportation cost.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face competition with respect to our merchant activities and facilities services. Our competitors include other crude oil and NGL pipeline and terminalling companies, other NGL processing and fractionation companies, major integrated oil companies and their marketing affiliates, independent gatherers, private equity backed entities, banks that have established a trading platform, and brokers and marketers of widely varying sizes, financial resources and experience. Some of these competitors have capital resources greater than ours. In addition, relatively new pipelines supported by minimum volume commitments and/or acreage dedications could also amplify the level of competition for purchasing wellhead barrels, especially in the Permian Basin, and thus impact our margins.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Ongoing Activities Related to Strategic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Business—Acquisitions and divestitures involve risks that may adversely affect PAA’s business</w:t>
      </w:r>
      <w:r>
        <w:rPr>
          <w:rFonts w:ascii="Times New Roman;serif" w:hAnsi="Times New Roman;serif"/>
          <w:b w:val="false"/>
          <w:i/>
          <w:color w:val="000000"/>
          <w:sz w:val="20"/>
        </w:rPr>
        <w:t>.</w:t>
      </w:r>
      <w:r>
        <w:rPr>
          <w:color w:val="000000"/>
        </w:rPr>
        <w: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Joint Venture and Joint Ownership Arrangements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party to more than 25 joint venture and UJI arrangements with long-term partners throughout the industry value chain spanning across multiple North American basins. We believe that these capital-efficient arrangements provide strategic alignment with long-term industry partners while adding volume commitments to our systems and improving returns.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significant joint ventures as of December 31, 2025: </w:t>
      </w:r>
    </w:p>
    <w:p>
      <w:pPr>
        <w:pStyle w:val="TextBody"/>
        <w:bidi w:val="0"/>
        <w:spacing w:before="0" w:after="0"/>
        <w:ind w:left="0" w:right="0" w:firstLine="720"/>
        <w:jc w:val="left"/>
        <w:rPr/>
      </w:pPr>
      <w:r>
        <w:rPr/>
      </w:r>
    </w:p>
    <w:tbl>
      <w:tblPr>
        <w:tblW w:w="8843" w:type="dxa"/>
        <w:jc w:val="center"/>
        <w:tblInd w:w="0" w:type="dxa"/>
        <w:tblLayout w:type="fixed"/>
        <w:tblCellMar>
          <w:top w:w="28" w:type="dxa"/>
          <w:left w:w="28" w:type="dxa"/>
          <w:bottom w:w="28" w:type="dxa"/>
          <w:right w:w="28" w:type="dxa"/>
        </w:tblCellMar>
      </w:tblPr>
      <w:tblGrid>
        <w:gridCol w:w="1288"/>
        <w:gridCol w:w="1126"/>
        <w:gridCol w:w="1140"/>
        <w:gridCol w:w="109"/>
        <w:gridCol w:w="109"/>
        <w:gridCol w:w="109"/>
        <w:gridCol w:w="1159"/>
        <w:gridCol w:w="1159"/>
        <w:gridCol w:w="1162"/>
        <w:gridCol w:w="109"/>
        <w:gridCol w:w="109"/>
        <w:gridCol w:w="109"/>
        <w:gridCol w:w="338"/>
        <w:gridCol w:w="338"/>
        <w:gridCol w:w="479"/>
      </w:tblGrid>
      <w:tr>
        <w:trPr/>
        <w:tc>
          <w:tcPr>
            <w:tcW w:w="128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Entity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Type of Operation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Joint Venture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Ownership</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3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BridgeTex Pipeline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Cactus II Pipeline LLC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Crude Oil Pipeline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Capline Pipeline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Diamond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Crude Oil Pipeline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Eagle Ford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Crude Oil Pipeline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Eagle Ford Terminals Corpus Christi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Crude Oil Terminal and Dock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Plains Oryx Permian Basin LLC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Crude Oil Pipelines and Related Assets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Red River Pipeline Company LLC </w:t>
            </w:r>
            <w:r>
              <w:rPr>
                <w:rFonts w:ascii="Times New Roman;serif" w:hAnsi="Times New Roman;serif"/>
                <w:b w:val="false"/>
                <w:color w:val="000000"/>
                <w:sz w:val="13"/>
              </w:rPr>
              <w:t>(2)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Crude Oil Pipeline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Saddlehorn Pipeline Company, LLC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White Cliffs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Wink to Webster Pipeline LLC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Assets are operated by Plains.</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We consolidate the entity based on control, with our partner’s interest accounted for as a noncontrolling interest.</w:t>
      </w:r>
    </w:p>
    <w:p>
      <w:pPr>
        <w:pStyle w:val="TextBody"/>
        <w:bidi w:val="0"/>
        <w:spacing w:lineRule="auto" w:line="288" w:before="120" w:after="283"/>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Entity owns a UJI in the crude oil pipeline.</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significant UJIs as of December 31, 2025, excluding UJIs that are indirectly owned by us through joint ventures (e.g., Wink to Webster, Saddlehorn and Red River joint ventures):</w:t>
      </w:r>
    </w:p>
    <w:tbl>
      <w:tblPr>
        <w:tblW w:w="7658" w:type="dxa"/>
        <w:jc w:val="left"/>
        <w:tblInd w:w="0" w:type="dxa"/>
        <w:tblLayout w:type="fixed"/>
        <w:tblCellMar>
          <w:top w:w="28" w:type="dxa"/>
          <w:left w:w="28" w:type="dxa"/>
          <w:bottom w:w="28" w:type="dxa"/>
          <w:right w:w="28" w:type="dxa"/>
        </w:tblCellMar>
      </w:tblPr>
      <w:tblGrid>
        <w:gridCol w:w="1303"/>
        <w:gridCol w:w="1149"/>
        <w:gridCol w:w="1162"/>
        <w:gridCol w:w="109"/>
        <w:gridCol w:w="109"/>
        <w:gridCol w:w="109"/>
        <w:gridCol w:w="744"/>
        <w:gridCol w:w="744"/>
        <w:gridCol w:w="747"/>
        <w:gridCol w:w="109"/>
        <w:gridCol w:w="109"/>
        <w:gridCol w:w="109"/>
        <w:gridCol w:w="338"/>
        <w:gridCol w:w="338"/>
        <w:gridCol w:w="479"/>
      </w:tblGrid>
      <w:tr>
        <w:trPr/>
        <w:tc>
          <w:tcPr>
            <w:tcW w:w="130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Type of</w:t>
              <w:br/>
              <w:t>Operation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UJI</w:t>
              <w:br/>
              <w:t>Ownership</w:t>
              <w:br/>
              <w:t>Percentage</w:t>
            </w:r>
          </w:p>
        </w:tc>
      </w:tr>
      <w:tr>
        <w:trPr/>
        <w:tc>
          <w:tcPr>
            <w:tcW w:w="3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Basin Pipeline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Fort Saskatchewan NGL Storage </w:t>
            </w:r>
            <w:r>
              <w:rPr>
                <w:rFonts w:ascii="Times New Roman;serif" w:hAnsi="Times New Roman;serif"/>
                <w:b w:val="false"/>
                <w:color w:val="000000"/>
                <w:sz w:val="13"/>
              </w:rPr>
              <w:t>(2)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NGL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Kerrobert Storage and Pipeline Assets </w:t>
            </w:r>
            <w:r>
              <w:rPr>
                <w:rFonts w:ascii="Times New Roman;serif" w:hAnsi="Times New Roman;serif"/>
                <w:b w:val="false"/>
                <w:color w:val="000000"/>
                <w:sz w:val="13"/>
              </w:rPr>
              <w:t>(1)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NGL Pipeline and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Sarnia NGL Storage and Fractionation </w:t>
            </w:r>
            <w:r>
              <w:rPr>
                <w:rFonts w:ascii="Times New Roman;serif" w:hAnsi="Times New Roman;serif"/>
                <w:b w:val="false"/>
                <w:color w:val="000000"/>
                <w:sz w:val="13"/>
              </w:rPr>
              <w:t>(2)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NGL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 to 85%</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Sunrise II Pipeline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Asset is operated by Plains.</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Certain of these assets are operated by Plains.</w:t>
      </w:r>
    </w:p>
    <w:p>
      <w:pPr>
        <w:pStyle w:val="TextBody"/>
        <w:bidi w:val="0"/>
        <w:spacing w:lineRule="auto" w:line="288" w:before="120" w:after="283"/>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Asset is part of the pending Canadian NGL Business divestiture.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Acquisitions and Divestitures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PAA’s initial public offering in 1998, the acquisition of midstream assets and businesses has been an important component of our business strategy. On a regular basis, we selectively analyze and pursue the acquisition of assets and businesses that are strategic and complementary to our existing operations. We also routinely review our asset portfolio to evaluate potential sales of non-core assets and/or sales of partial interests in assets to strategic joint venture partners to optimize our asset portfolio and strengthen our balance sheet and leverage metrics. For example, from 2016 through December 31, 2025, we have completed several acquisitions for an aggregate of over $5.7 billion, which included approximately $2.8 billion completed during 2025. In addition, we have completed asset sales and sales of partial interests in assets to strategic joint venture partners totaling more than $5.0 billion, and we anticipate the pending Canadian NGL Business divestiture to close around the end of the first quarter of 2026. See Note 8 to our Consolidated Financial Statements for additional information regarding our recent acquisition and divestiture activity. See Note 1 to our Consolidated Financial Statements for additional information regarding the pending Canadian NGL Business divestiture.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Capital Projects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extensive asset base and our relationships with long-term industry partners across the value chain provide us with opportunities for organic growth through the construction of additional assets that are complementary to, and expand or extend, our existing asset base. Our 2026 capital plan consists of capital-efficient, highly contracted projects that help address industry needs.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investment capital for the year ending December 31, 2026 is currently projected to be approximately $440 million ($350 million net to our interest), which includes approximately $15 million related to the Canadian NGL Business. Approximately half of our projected investment capital expenditures are expected to be invested in the Permian JV assets. Additionally, maintenance capital for 2026 is currently projected to be approximately $185 million ($165 million net to our interest). Note that potential variation to current capital cost estimates may result from (i) changes to project design, (ii) final cost of materials and labor, (iii) timing of incurrence of costs due to uncontrollable factors such as receipt of permits or regulatory approvals and weather and (iv) timely closing of the Canadian NGL Business divestiture.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energy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Factors—Risks Related to Laws and Regulations Impacting PAA’s Business—PAA’s operations are subject to laws and regulations relating to protection of the environment (people, property and natural resources), operational safety, climate change and related matters that may expose it to significant costs and liabilities. The current laws and regulations affecting PAA’s business are subject to change and in the future PAA may be subject to additional laws, executive orders and regulations, which could adversely impact PAA’s business.”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certain, but not all, of the laws and regulations affecting our operations. Unless the context requires otherwise, references herein to our “facilities” includes all of the pipelines, terminals, storage and other assets owned by us.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Health, Safety and Environmental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involving the storage, treatment, processing and transportation of liquid and gaseous hydrocarbons, including crude oil and NGL, are subject to stringent federal, state, provincial and local laws and regulations governing the discharge of materials into the environment or otherwise relating to protection of the environment and natural resources, operational safety and related matters.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or remedial obligations or the incurrence of capital expenditures, imposition of restrictions, delays or cancellations in the permitting or performance of projects, and the issuance of injunctions or other orders that may subject us to additional operational constraints or costs.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or other materials into the environment could, to the extent such event is not insured, subject us to substantial expense, including the cost to respond, repair and remediate any impact from releases, the cost to comply with applicable laws and regulations and liabilities or costs arising out of any claims made by third parties. The following is a summary of some of the environmental, health and safety laws and regulations to which our operations are subject.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Pipeline Safety/Integrity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with respect to crude oil and NGL.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Our operations in Canada are also subject to comparable regulations promulgated by the Canada Energy Regulator (“CER”) and provincial regulators and agencies.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United States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authority under the HLPSA, as amended from time to time, PHMSA has promulgated regulations that require transportation pipeline operators to implement integrity management programs, including frequent inspections, correction of certain identified anomalies and other measures, to ensure pipeline safety in locations where a pipeline leak or rupture could affect high risk areas known as high consequence areas (“HCAs”). The HCAs for crude oil and NGL pipelines are based on high population areas, areas unusually sensitive to environmental damage, and commercially navigable waterways. In the United States, our costs associated with the inspection, testing and correction of identified anomalies were approximately $40 million in 2025. Based on currently available information, our preliminary estimate for 2026 is that we will incur approximately $55 million in expenditures associated with our required pipeline integrity management program. However,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$10 million in 2025, and our preliminary estimate for 2026 is that we will incur approximately $15 million of such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 federal legislation has resulted in more stringent mandates for pipeline safety and PHMSA has been charged with developing and adopting regulations that impose increased pipeline safety requirements on pipeline operators. In particular, Congress has amended the HLPSA several times over the past decade and to the extent those regulations impose practices that exceed our operating standards, they increase our cost to operate.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DOT has also generally adopted American Petroleum Institute Standard 653 (“API 653”) as the standard for the inspection, repair, alteration and reconstruction of above ground petroleum storage tanks subject to DOT jurisdiction. API 653 requires regularly scheduled inspection and repair of tanks remaining in service. In the United States, our costs associated with this program were approximately $30 million in 2025. For 2026, we have budgeted approximately $45 million in connection with continued compliance activities with respect to API 653 and similar Environmental Protection Agency (“EPA”) regulations for tanks not regulated by the DOT. Certain storage tanks may be taken out of service if we believe the cost of compliance will exceed the value of the storage tanks and replacement tankage may be constructed.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operations are also subject to state pipeline safety and integrity regulations. For example, to protect state waters and wildlife, California has adopted legislation that requires operators of hazardous liquid pipelines located near environmentally and ecologically sensitive areas to use best available technologies to minimize the amount of oil released in an oil spill. These technologies include, but are not limited to, installation of leak detection technologies, automatic shutoff systems, or remote controlled sectionalized block valves.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Canada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Canada, the CER and provincial regulators regulate the safety and integrity management of pipelines and facilities used for hydrocarbon transmission and storage. We have incurred and will continue to incur costs related to compliance with such regulatory requirements. For example, we continue to implement Pipeline, Facility and Cavern Integrity Management Programs in Canada to comply with applicable regulatory requirements and assist in our efforts to mitigate risk. Costs incurred for such integrity management activities were approximately $90 million in 2025, including amounts related to the Canadian NGL Business. Our preliminary estimate for the full year of 2026 is approximately $85 million of costs on such projects, which includes approximately $40 million associated with the Canadian NGL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predict the potential costs associated with additional, future regulations in Canada or the United States. Significant additional expenses could be incurred, and additional operational requirements and constraints could be imposed, if new or more stringently interpreted pipeline safety and integrity management requirements are implemented.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Occupational Safety and Health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United States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United States, we are subject to the requirements of the Occupational Safety and Health Act, as amended, and comparable state statutes that regulate the protection of the health and safety of workers. In addition, the U.S. Occupational Safety and Health Administration (“OSHA”) hazard communication standard and the Emergency Planning and Community Right-to-Know Act require that certain information be maintained about hazardous materials used or produced in operations and that this information be provided to employees, state and local government authorities and citizens. Certain of our facilities are also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Canada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violations without the company first being prosecuted. Additionally, under the Criminal Code of Canada, organizations, corporations and individuals may be prosecuted criminally for violating the duty to protect employees and the public.</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Solid Waste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generate wastes, including hazardous wastes, that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the exclusion for oil and gas waste under RCRA may be revisited and our wastes may become subject to more rigorous and costly disposal requirements, resulting in additional capital expenditures or operating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Hazardous Substances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federal Comprehensive Environmental Response, Compensation and Liability Act, as amended (“CERCLA”), also known as “Superfund,” and comparable state laws impose liability, without regard to fault or the legality of the original act, on certain classes of persons that contribute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the EPA’s Risk Management Plan regulations at certain facilities. These regulations are intended to work with OSHA’s PSM regulations to minimize the offsite consequences of catastrophic releases. The regulations require us to develop and implement a risk management program that includes a five-year accident history, an offsite consequence analysis process, a prevention program and an emergency response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Environmental Remediation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own or lease, and in the past have owned or leased, properties where potentially hazardous liquids, including hydrocarbons, are or have been handled. These properties may be subject to CERCLA, RCRA and state and Canadian federal and provincial laws and regulations. Under such laws and regulations, we could be required to remove or remediate potentially hazardous liquids or associated wastes (including wastes disposed of or released by prior owners or operators) and to clean up contaminated property (including contaminated groundwater).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Air Emissions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United States operations are subject to the United States Clean Air Act, comparable state laws and associated federal, state and local regulations. Our Canadian operations are also subject to federal and provincial air emission regulations, which are discussed in subsequent sections.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Climate Change Initiatives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United States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threat of climate change continues to attract considerable attention in the United States and around the world. Numerous proposals have been made and could continue to be made at the international, national, regional and state levels of government to monitor and limit emissions of carbon dioxide, methane and other greenhouse gases (“GHG”). These efforts have included consideration of cap-and-trade programs, carbon taxes, climate-related disclosure obligations, climate-related mitigation funds, and regulations that directly limit GHG emissions from certain sources. Additionally, certain laws, like the Inflation Reduction Act of 2022 (“IRA”), were enacted to advance climate-related objectives and provide substantial financial support for alternative or lower GHG-emitting energy production. Although many of these provisions in the IRA were weakened, delayed or rescinded in the 2025 One Big Beautiful Bill Act, these proposals and related federal, state and provincial legislation and policy initiatives could increase operating costs within the oil and gas industry and accelerate the transition away from fossil fuels, which could in turn reduce demand for our products and services and adversely affect our business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Federal policy towards GHG emissions, and regulation thereunder, has varied significantly between the past several U.S. presidential administrations. The current U.S. presidential administration recently eliminated the GHG “Endangerment Finding” and rescinded federal regulations associated with GHG emissions. It remains unclear whether these actions will survive any potential legal challenges, or whether future administrations or Congress may pursue new regulations relating to GHG emissions, which could adversely impact Plains.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other states where we operate, such as California and Colorado, have also adopted, or are considering adopting, regulations related to GHG emissions. While it is not possible at this time to predict how federal or state governments may choose to regulate GHG emissions, any new regulatory restrictions on GHG emissions could result in material increased compliance costs, additional operating restrictions, an increase in the cost of feedstock and products produced by our refinery customers, and a reduced demand for petroleum-based fuels.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Canada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Large emitters of GHG have been required to report their emissions under the Canadian Greenhouse Gas Emissions Reporting Program since 2004. Effective January 1, 2018, the Federal Department of Environment and Climate Change lowered the reporting threshold for all facilities from 50 thousand tonnes per year (“kt/y”) to 10 kt/y GHG emissions. Four of our facilities are currently required to prepare annual emissions reports. The associated cost of complying with this reporting requirement is not considered to be material. Several Canadian Provinces, including some in which we operate, have implemented additional climate-related initiatives and regulations.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Water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U.S. Oil Pollution Act of 1990 (“OPA”) amended certain provisions of the CWA as they relate to the release of petroleum products into navigable waters. OPA subjects owners of facilities to strict, joint and potentially significant liability for containment and removal costs, natural resource damages and certain other consequences of an oil spill. State and Canadian federal and provincial laws also impose requirements relating to the prevention of oil releases and the remediation of impacted areas.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construction or expansion of pipelines often requires authorizations under the CWA, which authorizations may be subject to challenge. For over 35 years, the U.S. Army Corps of Engineers (the “Corps”) has authorized construction, maintenance and repair of pipelines under a streamlined nationwide permit program known as Nationwide Permit 12 (“NWP 12”). From time to time, environmental groups have challenged the use of NWP 12 for oil and gas pipeline projects. Due to these types of challenges along with new directives that come along with administrative changes, the Corps will review and make updates to their programs as well.</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2025, the Corps proposed to renew and revise its nationwide permits program, and in January 2026, the Corps finalized the reissuance of the nationwide permits, including NWP 12, with only limited clarifying changes made. The current proposal could be subject to future legal challenges and any future suspension, narrowing, or disruption in our ability to obtain coverage under NWP 12 or other general permits could result in increased costs and project delays.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Also, there continues to be uncertainty on the federal government’s applicable jurisdictional reach under the CWA over waters of the United States, including wetlands and groundwater. To the extent any new rule or judicial decision expands the scope of the CWA’s jurisdiction in areas where we or our customers conduct operations, such developments could delay, restrict or halt permitting or development of projects, result in longer permitting timelines, or increased compliance expenditures or mitigation costs for our and our customers’ operations, which may reduce the rate of production from operators.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Endangered Species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federal Endangered Species Act (the “ESA”) and comparable state laws may restrict exploration, development and production activities that may affect endangered and threatened species or their habitats. The ESA provides broad protection for species of fish, wildlife and plants that are listed as threatened or endangered in the United States and prohibits the taking of protected species. Similar protections are offered to migratory birds under the Migratory Bird Treaty Act, Canada’s Species at Risk Act, and other analogous state and provincial laws and regulations. Under the ESA, federal agencies are required to ensure that any action authorized, funded or carried out by them is not likely to jeopardize the continued existence of listed or endangered species or modify their critical habitats. New projects may require approvals and environmental analysis under these and other laws, including the National Environmental Policy Act. The resulting costs and liabilities associated with lengthy regulatory review and approval requirements could materially and negatively affect the viability of such projects.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Regulations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Transportation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Interstate Liquids Regulation in the United States.</w:t>
      </w:r>
      <w:r>
        <w:rPr>
          <w:color w:val="000000"/>
        </w:rPr>
        <w:t xml:space="preserve">  </w:t>
      </w:r>
      <w:r>
        <w:rPr>
          <w:rFonts w:ascii="Times New Roman;serif" w:hAnsi="Times New Roman;serif"/>
          <w:b w:val="false"/>
          <w:color w:val="000000"/>
          <w:sz w:val="20"/>
        </w:rPr>
        <w:t>Our common carrier pipeline operations with interstate movements of liquids are subject to rate regulation by the U.S. Federal Energy Regulatory Commission (“FERC”) under the Interstate Commerce Act (“ICA”). Unless covered by a waiver, the ICA requires that we maintain tariffs on file with FERC for interstate movements of liquids on our pipelines. Those tariffs set forth the rates we charge for providing transportation services as well as the rules and regulations governing these services. The ICA requires that tariff rates for liquids pipelines, which include both crude oil pipelines and petroleum products pipelines, be just and reasonable and not unduly discriminatory. Failure to comply with the requirements of the ICA could result in the imposition of civil or criminal penalties, as described below.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Under the Energy Policy Act of 1992 (“EPAct”), liquids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liquids pipeline or in the nature of the services provided that were a basis for the rate. EPAct places no such limit on challenges to a provision of a liquids pipeline tariff rate or rules that are unduly discriminatory or preferential. In certain specified circumstances, FERC allows regulated liquids pipelines to utilize cost-of-service ratemaking, market-based rates and settlement rates as alternatives to the FERC indexing methodology utilized by many regulated liquid pipeline to change their rates. For those pipelines that use the FERC indexing methodology, every five years FERC reviews and determines the appropriate index formula to be utilized for the subsequent five-year period. For the five-year period July 1, 2021 through June 30, 2026, FERC initially issued one index rate (the “Initial Index Rate”) and subsequently revised the Initial Index Rate down by approximately 1%, effective March 1, 2022 (the “Revised Index Rate”). Both the Initial Index Rate and the Revised Index Rate were the subject of legal challenges filed with the U.S. Court of Appeals for the District of Columbia (“D.C. Circuit”) in </w:t>
      </w:r>
      <w:r>
        <w:rPr>
          <w:rFonts w:ascii="Times New Roman;serif" w:hAnsi="Times New Roman;serif"/>
          <w:b w:val="false"/>
          <w:i/>
          <w:color w:val="000000"/>
          <w:sz w:val="20"/>
        </w:rPr>
        <w:t>LEPA v. FERC</w:t>
      </w:r>
      <w:r>
        <w:rPr>
          <w:rFonts w:ascii="Times New Roman;serif" w:hAnsi="Times New Roman;serif"/>
          <w:b w:val="false"/>
          <w:color w:val="000000"/>
          <w:sz w:val="20"/>
        </w:rPr>
        <w:t xml:space="preserve">. On July 26, 2024, the D.C. Circuit issued an order vacating the Revised Index Rate and on September 17, 2024, FERC re-issued the Initial Index Rate for the full period from July 1, 2021 through June 30, 2026.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222222"/>
          <w:sz w:val="20"/>
        </w:rPr>
        <w:t xml:space="preserve">Several shippers filed petitions for review of the September 17, 2024 FERC order as well as several other subsequent FERC orders issued in connection with the </w:t>
      </w:r>
      <w:r>
        <w:rPr>
          <w:rFonts w:ascii="Times New Roman;serif" w:hAnsi="Times New Roman;serif"/>
          <w:b w:val="false"/>
          <w:i/>
          <w:color w:val="222222"/>
          <w:sz w:val="20"/>
        </w:rPr>
        <w:t>LEPA v. FERC</w:t>
      </w:r>
      <w:r>
        <w:rPr>
          <w:color w:val="222222"/>
        </w:rPr>
        <w:t xml:space="preserve"> </w:t>
      </w:r>
      <w:r>
        <w:rPr>
          <w:rFonts w:ascii="Times New Roman;serif" w:hAnsi="Times New Roman;serif"/>
          <w:b w:val="false"/>
          <w:color w:val="222222"/>
          <w:sz w:val="20"/>
        </w:rPr>
        <w:t>lawsuit, including an order allowing pipeline operators to recover rate differences for the period that the Revised Index Rates were in place, all of which are currently pending at the D.C. Circuit. The final resolution of these petitions could have an adverse effect on our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the indexing methodology for the next five-year indexing period is tied in part to an inflation index and is not based on our specific costs, the indexing methodology could hamper our ability to recover cost increases. The majority of our pipeline profits in the United States are based on rates that are either grandfathered in part or set by agreement with one or more shippers. These rates remain regulated by FERC and are subject to challenge or review and modification by FERC under the ICA. Changes in FERC’s methodologies for approving rates could adversely affect us. In addition, challenges to our regulated rates could be filed with FERC and future decisions by FERC regarding our regulated rates could adversely affect our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Energy Policy Act of 2005 authorized FERC to impose civil penalties for violations of the ICA and FERC regulations thereunder, up to a maximum amount that is adjusted annually for inflation, which for 2026 equals approximately $17 thousand per day, per violation. Should we fail to comply with applicable statutes, rules, regulations and orders administered by FERC, we could be subject to substantial penalties and fines.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Intrastate Regulation in the United States.</w:t>
      </w:r>
      <w:r>
        <w:rPr>
          <w:color w:val="000000"/>
        </w:rPr>
        <w:t xml:space="preserve"> </w:t>
      </w:r>
      <w:r>
        <w:rPr>
          <w:rFonts w:ascii="Times New Roman;serif" w:hAnsi="Times New Roman;serif"/>
          <w:b w:val="false"/>
          <w:color w:val="000000"/>
          <w:sz w:val="20"/>
        </w:rPr>
        <w:t>Our intrastate liquids pipeline transportation activities are subject to various state laws and regulations, as well as orders of state regulatory bodies, including the Railroad Commission of Texas and the California Public Utility Commission (“CPUC”). The CPUC prohibits certain of our subsidiaries from acting as guarantors of our senior notes and credit facilities.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Canadian Regulation.</w:t>
      </w:r>
      <w:r>
        <w:rPr>
          <w:color w:val="000000"/>
        </w:rPr>
        <w:t xml:space="preserve">  </w:t>
      </w:r>
      <w:r>
        <w:rPr>
          <w:rFonts w:ascii="Times New Roman;serif" w:hAnsi="Times New Roman;serif"/>
          <w:b w:val="false"/>
          <w:color w:val="000000"/>
          <w:sz w:val="20"/>
        </w:rPr>
        <w:t>Our Canadian pipeline assets are subject to regulation by the CER and by provincial regulators. With respect to pipelines over which it has jurisdiction, the relevant regulatory authority has the power, upon application by a third party, to determine reasonability of the rates we are allowed to charge for transportation on, and set other terms of access to, such pipelines. In such circumstances, if the relevant regulatory authority determines that the applicable terms and conditions of service are not just and reasonable, the regulatory authority can impose conditions it considers appropriate.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Trucking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United States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Federal Motor Carrier Safety Association of the DOT. These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U.S. trucking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Canada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Canadian trucking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Railcar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own and operate a number of railcar loading and unloading facilities in the United States and Canada. In connection with these operations, we own and lease a significant number of railcars, primarily associated with the Canadian NGL Business. Our railcar operations are subject to the regulatory jurisdiction of the Federal Railroad Administration of the DOT, OSHA, as well as other federal and state regulatory agencies and Canadian regulatory agencies for operations in Canada. From time to time, these regulatory bodies may enact new regulations or revise and update existing regulations related to the transportation of oil and NGL by railcar. For example, PHMSA has issued safety advisory warnings and compliance initiatives to reinforce requirements to properly test, characterize, classify, describe, label and, where appropriate, sufficiently degasify hazardous materials prior to and during transportation. We believe our railcar fleet is in compliance in all material respects with current standards for crude oil moved by rail.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Indigenous Protections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Part of our operations cross land that has historically been apportioned to various Native American/First Nations tribes (“Indigenous Peoples”), who may exercise significant jurisdiction and sovereignty over their lands. Indigenous Peoples may also have certain treaty rights and rights to consultation on projects that may affect such lands. Our operations may be impacted to the extent these tribal governments are found to have and choose to act upon such jurisdiction over lands where we operate.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Transportation Security Administration Security Directives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response to cybersecurity incidents affecting the pipeline industry, the United States Department of Homeland Security’s Transportation Security Administration has issued comprehensive security directives that include various cybersecurity and reporting requirements for critical infrastructure pipeline owners and/or operators. Compliance with these security directives may have a significant impact on our operations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Cross Border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our cross border activities, including the transportation and importation of crude oil and NGL between the United States and Canada, we are subject to a variety of legal requirements including export license requirements, trade tariffs, Canadian and U.S. customs and taxes, and requirements relating to toxic substances. U.S. legal requirements relating to these activities include the United States-Mexico-Canada Agreement (“USMCA”) and the Toxic Substances Control Act (“TSCA”), as well as presidential permit requirements of the U.S. Department of State. Violations of these licensing, trade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Market Anti-Manipulation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Federal Trade Commission (“FTC”) has issued regulations pursuant to the Energy Independence and Security Act of 2007 intended to prohibit market manipulation in the petroleum industry. Violators of the regulations face civil penalties of up to approximately $1.5 million per violation per day, subject to the FTC’s annual inflation adjustment. The Dodd-Frank Act incorporates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CFTC rules subject violators to a civil penalty of up to the greater of approximately $1.5 million, subject to the CFTC’s annual inflation adjustment, or triple the monetary gain to the person for each violation.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Operational Hazards and Insurance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To the extent we do maintain insurance coverage, such insurance does not cover every potential risk that might occur in connection with operating pipelines, terminals and other facilities and equipment, including the potential loss of significant revenues and cash flows.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occurrence of a significant event not fully insured, indemnified or reserved against, or the failure of a party to meet its insurance or indemnification obligations, could materially and adversely affect our operations and financial condition. While we strive to maintain adequate insurance coverage, our actual costs may exceed our coverage levels and insurance will not cover many types of interruptions or losses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or that the insurance companies that currently insure companies in the energy industry will continue to do so. As a result, we may elect to self-insure or utilize higher deductibles in certain other insurance programs. In addition, although we believe that we have established adequate reserves and that we have sufficient liquidity to the extent such risks are not insured, costs incurred in excess of these reserves may be higher or we may not receive insurance proceeds in a timely manner, which may potentially have a material adverse effect on our financial condition, results of operations or cash flows. See Note 19 to our Consolidated Financial Statements for a discussion regarding the Line 901 incident and our related insurance claims.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Title to Properties and Rights-of-Way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real property holdings generally consist of: (i) parcels of land that we own in fee; (ii) surface leases and underground storage leases; and (iii) 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(a) customary liens, restrictions or encumbrances and (b) challenges that we do not regard as material relative to our overall operations. Some of our real property rights may be subject to termination under agreements that provide for one or more of: periodic payments, term periods, renewal rights, abandonment of use, continuous operation requirements, revocation by the licensor or grantor and possible relocation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primary human capital management objective is to retain, attract and develop a high quality workforce that will enable us to maintain and enhance a culture that is consistent with our Core Values. To support this objective, we seek to reward and support our employees through competitive pay, benefits and other programs; develop employees and encourage internal talent mobility to prepare employees for critical roles and leadership positions for the future; facilitate the development of a workplace culture that is engaging and inclusive; and promote efficiency and a high performance culture by investing in technology and systems and providing tools and resources that enable employees at work.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Neither we nor our general partner have officers or employees. All of our officers and other personnel necessary for our business to function are employed by GP LLC or PMC ULC. As of December 31, 2025, GP LLC and PMC ULC employed approximately 3,900 people in North America, of which approximately 2,800 were employed in the U.S. and approximately 1,100 were employed in Canada. Approximately 70% of our workforce (approximately 2,750 employees) are field employees, which includes approximately 550 employees in our trucking division. Our employees are located in 23 states in the U.S. and in four provinces in Canada. Approximately 200 employees (all of whom are associated with the Canadian NGL Business) are covered by six separate collective bargaining agreements, which are open for renegotiation in 2026 through 2028.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Health and Safety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people are our most valuable asset. We prioritize the health and safety of our employees and we are committed to protecting our employees and conducting our operations in a safe, reliable and responsible manner. We support our commitment to health and safety through extensive education and training and investment in necessary equipment, systems, processes and other resources, and we have a number of safety programs and campaigns that are shared across our operations, periodic and situation specific safety stand-downs, lessons learned sharing and stop work authorization for all employees. We also have a number of programs that are focused on employee wellness, including an employee assistance program that provides free mental and behavioral support for employees. In addition, in order to incentivize performance in the areas of safety and environmental responsibility, our performance-based annual bonus program includes a component that is tied to safety and environmental performance targets.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Training and Leadership Development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committed to providing a professional work environment where all employees are treated with respect and dignity and provided with opportunities for growth and development. To foster the continued development of our people, we provide a comprehensive set of training programs covering subjects such as field operations, health and safety, regulatory compliance, technical training, management and leadership skills, and professional development. We also operate a number of internal development programs at all levels of the workforce that are designed to identify and develop future leaders of the organization. The Board receives reports from senior management on a periodic basis regarding the status of succession plans with respect to executive leadership of the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Benefits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compensation and benefits programs are designed to retain, attract and motivate our employees and to reward them for their contributions and success. In addition to providing competitive salaries and other compensation opportunities, we offer comprehensive and competitive benefits to our eligible employees including, depending on location, health (medical, dental and vision) insurance, prescription drug benefits, flexible spending accounts, parental leave, disability coverage, mental and behavioral health resources, paid time off, retirement savings plan, education reimbursement program, a disaster relief fund, life insurance and accidental death and dismemberment insurance.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Summary of Tax Considerations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following is a brief summary of certain material U.S. federal income tax consequences and tax considerations related to the purchase, ownership and disposition of our Class A shares by a taxpayer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or differing interpretations,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This summary does not address all aspects of U.S. federal income taxation or the tax considerations arising under the laws of any non-U.S., state, or local jurisdiction, or under U.S. federal estate and gift tax laws. In addition, this summary does not address tax considerations applicable to investors that may be subject to special treatment under the U.S. federal income tax laws. The tax consequences of ownership of Class A shares depends in part on the owner’s individual tax circumstances. It is the responsibility of each shareholder, either individually or through a tax advisor, to investigate the legal and tax consequences of the shareholder’s investment in us under applicable U.S. federal, state and local law, as well as the law applicable in Canada and the Canadian provinces. Further, it is the responsibility of each shareholder to file all U.S. federal, Canadian, state, provincial and local tax returns that may be required of the shareholder. Also see Item 1A. “Risk Factors—Tax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Corporate Status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or a broker with respect to distributions received on our Class A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Consequences to U.S. 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individual who is a citizen or resident of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corporation (or other entity treated as a corporation for U.S. federal income tax purposes) created or organized in or under the laws of the United States, any state thereof or the District of Columbia;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estate the income of which is subject to U.S. federal income tax regardless of its source;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Distributions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w:t>
      </w:r>
      <w:r>
        <w:rPr>
          <w:color w:val="000000"/>
        </w:rPr>
        <w:t>—</w:t>
      </w:r>
      <w:r>
        <w:rPr>
          <w:rFonts w:ascii="Times New Roman;serif" w:hAnsi="Times New Roman;serif"/>
          <w:b w:val="false"/>
          <w:color w:val="000000"/>
          <w:sz w:val="20"/>
        </w:rPr>
        <w:t>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Both AAP and PAA have made elections permitted by Section 754 of the Code. As a result, our acquisition of AAP units in connection with our initial public offering (“IPO”) and in connection with exchanges since the IPO by the holders of our Class B shares and the AAP units not held by us (“Legacy Owners”) and their permitted transferees of their AAP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units and Class B shares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the Class A shares at the time of the exchange.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the basis adjustments described above, we may not have sufficient earnings and profits for distributions on our Class A shares to qualify as dividends for U.S. federal income tax purposes. If a distribution on our Class A shares fails to qualify as a dividend for U.S. federal income tax purposes, such distribution will be treated first as a tax-free return of capital to the extent of the U.S. holder’s adjusted tax basis in our Class A shares and thereafter as capital gain from the sale or exchange of our Class A shares. As a result, U.S. corporate holders will be unable to utilize the corporate dividends-received deduction with respect to such distribution.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Investors in our Class A shares are encouraged to consult their tax advisors as to the tax consequences of receiving distributions on our Class A shares that do not qualify as dividends for U.S. federal income tax purposes, including, in the case of corporate investors, the inability to claim the corporate dividends received deduction with respect to such distributions.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Gain on Disposition of Class A Shares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our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Backup Withholding and Information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Consequences to Non-U.S. 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Distributions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Distributions with respect to our Class A shares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to the extent of the non-U.S. holder’s tax basis in our common stock and thereafter as capital gain from the sale or exchange of such common stock. See “—Gain on Disposition of Class A Shares.” 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 income tax treaty provides for a lower rate.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specified by an applicable income tax treaty for distributions from a USRPHC) may be withheld from distributions received by non-U.S. holders that exceed our current and accumulated earnings and profits. To receive the benefit of a reduced treaty rate, a non-U.S. holder must provide the applicable withholding agent with an IRS Form W-8BEN or IRS Form W-8BEN-E (or other applicable or successor form) certifying qualification for the reduced 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Distributions treated as dividends that are paid to a non-U.S. holder and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Gain on Disposition of Class A Shares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Subject to the discussion below under “</w:t>
      </w:r>
      <w:r>
        <w:rPr>
          <w:color w:val="000000"/>
        </w:rPr>
        <w:t>—</w:t>
      </w:r>
      <w:r>
        <w:rPr>
          <w:rFonts w:ascii="Times New Roman;serif" w:hAnsi="Times New Roman;serif"/>
          <w:b w:val="false"/>
          <w:color w:val="000000"/>
          <w:sz w:val="20"/>
        </w:rPr>
        <w:t>Backup Withholding and Information Reporting,” a non-U.S. holder generally will not be subject to U.S. federal income or withholding tax on any gain realized upon the sale or other disposition of our Class A shares unless: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non-U.S. holder is an individual who is present in the United States for a period or periods aggregating 183 days or more during the calendar year in which the sale or disposition occurs and certain other conditions are met;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Class A shares constitute a United States real property interest by reason of our status as a USRPHC for U.S. federal income tax purposes and as a result such gain is treated as effectively connected with a trade or business conducted by the non-U.S. holder in the United States.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pStyle w:val="TextBody"/>
        <w:bidi w:val="0"/>
        <w:spacing w:before="0" w:after="0"/>
        <w:ind w:left="0" w:right="0" w:firstLine="720"/>
        <w:jc w:val="left"/>
        <w:rPr/>
      </w:pPr>
      <w:r>
        <w:rPr/>
      </w:r>
    </w:p>
    <w:p>
      <w:pPr>
        <w:pStyle w:val="TextBody"/>
        <w:bidi w:val="0"/>
        <w:spacing w:lineRule="auto" w:line="288" w:before="0" w:after="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United States real property interest and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treated as disposing of a United States real property interest and would be subject to U.S. federal income tax on a taxable disposition of our Class A shares (as described in the preceding paragraph), and a 15% withholding tax would apply to the gross proceeds from such disposition.</w:t>
      </w:r>
    </w:p>
    <w:p>
      <w:pPr>
        <w:pStyle w:val="TextBody"/>
        <w:bidi w:val="0"/>
        <w:spacing w:before="0" w:after="0"/>
        <w:ind w:left="0" w:right="0" w:firstLine="810"/>
        <w:jc w:val="left"/>
        <w:rPr/>
      </w:pPr>
      <w:r>
        <w:rPr/>
      </w:r>
    </w:p>
    <w:p>
      <w:pPr>
        <w:pStyle w:val="TextBody"/>
        <w:bidi w:val="0"/>
        <w:spacing w:lineRule="auto" w:line="288" w:before="0" w:after="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Non-U.S. holders should consult their tax advisors with respect to the application of the foregoing rules to their ownership and disposition of our Class A shares, including regarding potentially applicable income tax treaties that may provide for different rules.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Backup Withholding and Information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distributions paid to a non-U.S. holder must be reported annually to the IRS and to each non-U.S. holder. Copies of these information returns may be made available to the tax authorities in the country in which the non-U.S. holder resides or is established. Payments of distributions to a non-U.S. holder generally will not be subject to backup withholding if the non-U.S. holder establishes an exemption by properly certifying its non-U.S. status on an IRS Form W-8BEN, or IRS Form W-8BEN-E (or other applicable or successor form).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Additional Withholding Requirements under FATCA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Sections 1471 through 1474 of the Code, and the U.S. Treasury Regulations and administrative guidance issued thereunder (“FATCA”), impose a 30% withholding tax on any dividends paid on our Class A shares and, subject to the proposed U.S. Treasury Regulations discussed below, on proceeds from sales or other dispositions of our Class A shares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While gross proceeds from a sale or other disposition of our Class A shares paid after January 1, 2019 would have originally been subject to withholding under FATCA, proposed U.S. Treasury Regulations provide that such payments of gross proceeds do not constitute withholdable payments. Taxpayers may generally rely on these proposed U.S. Treasury Regulations until they are revoked or final U.S. Treasury Regulations are issued. Non-U.S. holders are encouraged to consult their own tax advisors regarding the effects of FATCA on an investment in our Class A shares.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rPr>
        <w:t xml:space="preserve">We make available, free of charge on our Internet website at </w:t>
      </w:r>
      <w:r>
        <w:rPr>
          <w:rFonts w:ascii="Times New Roman;serif" w:hAnsi="Times New Roman;serif"/>
          <w:b w:val="false"/>
          <w:i/>
          <w:color w:val="000000"/>
          <w:sz w:val="20"/>
        </w:rPr>
        <w:t>www.plains.com</w:t>
      </w:r>
      <w:r>
        <w:rPr>
          <w:rFonts w:ascii="Times New Roman;serif" w:hAnsi="Times New Roman;serif"/>
          <w:b w:val="false"/>
          <w:color w:val="000000"/>
          <w:sz w:val="20"/>
        </w:rPr>
        <w:t xml:space="preserve">, our annual reports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SEC maintains an Internet site that contains reports, proxy and information statements, and other information regarding issuers that file electronically with the SEC at </w:t>
      </w:r>
      <w:r>
        <w:rPr>
          <w:rFonts w:ascii="Times New Roman;serif" w:hAnsi="Times New Roman;serif"/>
          <w:b w:val="false"/>
          <w:i/>
          <w:color w:val="000000"/>
          <w:sz w:val="20"/>
        </w:rPr>
        <w:t>http://www.sec.gov</w:t>
      </w:r>
      <w:r>
        <w:rPr>
          <w:rFonts w:ascii="Times New Roman;serif" w:hAnsi="Times New Roman;serif"/>
          <w:b w:val="false"/>
          <w:color w:val="000000"/>
          <w:sz w:val="20"/>
        </w:rPr>
        <w:t>. Our website includes a significant amount of information about us, including financial, sustainability and other information that could be deemed material to investors. Investors and others are encouraged to review the information posted on our website. The information posted on our website is not incorporated by reference into this Annual Report on Form 10-K or any of our other filings with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pPr>
      <w:r>
        <w:rPr>
          <w:rFonts w:ascii="Times New Roman;serif" w:hAnsi="Times New Roman;serif"/>
          <w:b/>
          <w:color w:val="000000"/>
          <w:sz w:val="20"/>
        </w:rPr>
        <w:t>Item 1A.</w:t>
      </w:r>
      <w:r>
        <w:rPr>
          <w:color w:val="000000"/>
        </w:rPr>
        <w:t xml:space="preserve">  </w:t>
      </w:r>
      <w:r>
        <w:rPr>
          <w:rFonts w:ascii="Times New Roman;serif" w:hAnsi="Times New Roman;serif"/>
          <w:b/>
          <w:i/>
          <w:color w:val="000000"/>
          <w:sz w:val="20"/>
        </w:rPr>
        <w:t>Risk Factors</w:t>
      </w:r>
    </w:p>
    <w:p>
      <w:pPr>
        <w:pStyle w:val="TextBody"/>
        <w:bidi w:val="0"/>
        <w:spacing w:before="0" w:after="0"/>
        <w:ind w:left="0" w:right="0" w:firstLine="72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Risks Inherent in an Investment in Us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partnership structure carries inherent risks, including but not limited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cash flow will be entirely dependent upon the ability of PAA to make cash distributions to AAP, and the ability of AAP to make cash distributions to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distributions AAP is entitled to receive may fluctuate, which may reduce cash distributions to our Class A shareholders;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distributions on our Class A shares are not paid with respect to any fiscal quarter, our Class A shareholders will not be entitled to receive that quarter’s payments in the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amount of cash that we and PAA distribute each quarter may limit our ability to grow;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Class B shareholders own a significant number of shares, which may make the removal of our general partner difficult;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Conflicts of Interest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existing organizational structure and the current and future relationships among us, PAA, our respective general partners, the Legacy Owners and affiliated entities present the potential for conflicts of interest.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PAA’s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PAA’s business, results of operations, financial condition, cash flows and unit price can be adversely affected by many factors including but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volume of crude oil, natural gas and NGL shipped, processed, purchased, stored, fractionated and/or gathered at or through the use of PAA’s pipelines and facilities, which can be negatively impacted by a variety of factors outside of its control;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competition in PAA’s industry, including recontracting and other risks associated with the general capacity overbuild of midstream energy infrastructure in some of the areas where PAA operates;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changes in supply and demand for the products PAA handles and the services it provides, which can be caused by a variety of factors outside of its control;</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natural disasters, catastrophes, terrorist attacks (including eco-terrorist attacks), process safety failures, equipment failures or other events, including pipeline or facility accidents;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information or operations technology failures, including cybersecurity attacks, data breaches and other disruptions affecting PAA or its service providers;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risks arising from climate change, energy conservation measures, or initiatives that stimulate demand for alternative forms of energy;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societal and political pressures from various groups, including opposition to the development or operation of PAA’s pipelines and facilities;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increased concern by financial stakeholders with respect to PAA’s governance structure and the perceived social and environmental cost of PAA’s industry;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overall forward market for crude oil and NGL, and certain market structures, the absence of pricing volatility and other market factors;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an inability to fully implement or realize expected returns or other anticipated benefits associated with acquisitions/divestitures, joint venture and joint ownership arrangements, and other projects;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entering into new businesses in connection with PAA’s strategy to participate in emerging energy opportunities;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loss of PAA’s investment grade credit rating or a significant reduction in the ability of PAA to receive open credit;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credit risk of PAA’s customers and other counterparties it transacts with in the ordinary course of business activities;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tightened capital markets or other factors that increase PAA’s cost of capital or otherwise limit its access to capital;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insufficiency of, or non-compliance with, PAA’s risk policies;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PAA’s insurance coverage may not fully cover its losses and it may in the future encounter increased costs related to, and lack of availability of, insurance;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trade tariffs, duties, quotas, inflation, supply disruptions or other factors affecting the commodities and materials PAA uses in its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pandemics, epidemics or other public health events;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PAA’s current or future debt levels, or inability to borrow additional funds or capitalize on business opportunities;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changes in interest rates and currency exchange rates;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difficulties recruiting and retaining PAA’s workforce;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an impairment of long-term assets;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significant under-utilization of certain assets due to fixed costs incurred to obtain the right to use such assets;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cost to repair and maintain PAA’s assets;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PAA does not own all of the land on which its pipelines and facilities are located, which could result in disruptions to its operations;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pace of development of natural gas infrastructure could have an adverse impact on expected crude oil production growth in the Permian Basin.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Laws and Regulations Impacting PAA’s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PAA’s business may be adversely impacted by existing or new laws, executive orders and regulations relating to protection of the environment and wildlife, operational safety, cross-border import/export and tax matters, financial and hedging activities, climate change and related matters.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Inherent in an Investment in PAA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PAA’s partnership structure carries inherent risks, including but not limited to:</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cost reimbursements due to PAA’s general partner may be substantial and will reduce PAA’s cash available for distribution to its unitholders;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cash distributions are not guaranteed and may fluctuate with PAA’s performance and the establishment of financial reserves;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PAA’s preferred units have rights, preferences and privileges that are not the same as, and are preferential to, the rights of holders of PAA’s common units.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Tax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shares are subject to tax risks, which may adversely impact the value of or market for our shares and may reduce our cash available for distribution or debt service, including but not limited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tax treatment of PAA depends on its status as a partnership for U.S. federal income tax purposes and not being subject to a material amount of entity-level taxation. The cash available for distribution to us from PAA may be substantially reduced if PAA were to become subject to entity-level taxation as a result of the Internal Revenue Service (“IRS”) treating PAA as a corporation or legislative, judicial or administrative changes, and may also be reduced by any audit adjustments if imposed directly on PAA. Additionally, the treatment of PAA as a corporation would increase the portion of our distributions treated as taxable dividends;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current tax treatment may change, which could affect the value of our Class A shares or reduce our cash available for distribution, and any decrease in our Class A share price could adversely affect our amount of cash available for distribution.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Risks Inherent in an Investment in Us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cash flow will be entirely dependent upon the ability of PAA to make cash distributions to AAP, and the ability of AAP to make cash distributions to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source of our earnings and cash flow currently consists exclusively of cash distributions from AAP, which currently consist exclusively of cash distributions from PAA. The amount of cash that PAA will be able to distribute to its partners, including AAP, each quarter principally depends upon the amount of cash it generates from its business. For a description of certain factors that can cause fluctuations in the amount of cash that PAA generates from its business, please read “—Risks Related to PAA’s Business,” “—Risks Related to Laws and Regulations Impacting PAA’s Business,” “—Risks Inherent in an Investment in PAA” and Item 7. “Management’s Discussion and Analysis of Financial Condition and Results of Operations.” PAA may not have sufficient available cash each quarter to continue paying distributions at its current level or at all. If PAA reduces its per unit distribution, either because of reduced operating cash flow, higher expenses, capital requirements or otherwise, we will have less cash available for distribution and would likely be required to reduce our per share distribution. The amount of cash PAA has available for distribution depends primarily upon PAA’s cash flow, including cash flow from the release of financial reserves as well as borrowings, and is not solely a function of profitability, which will be affected by non-cash items. As a result, PAA may make cash distributions during periods when it records losses and may not make cash distributions during periods when it records profits.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AAP’s ability to distribute cash to us and our ability to distribute cash received from AAP to our Class A shareholders is limited by a number of factors,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payment of any income taxes;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restrictions on distributions contained in PAA’s credit facilities and any future debt agreements entered into by AAP, PAA or us;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reserves our general partner establishes for, among other things, the proper conduct of our business or to comply with applicable law or any agreement binding on us or our subsidiaries (exclusive of PAA and its subsidiaries).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material increase in amounts paid or reserved with respect to any of these factors could restrict our ability to pay quarterly distributions to our Class A shareholders. See Item 5. “Market for Registrant’s Shares, Related Shareholder Matters and Issuer Purchases of Equity Securities—Cash Distribution Policy.”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distributions AAP is entitled to receive may fluctuate, which may reduce cash distributions to our Class A shareholders.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we owned an approximate 85% limited partner interest in AAP, which owned approximately 233.0 million PAA common units. All of the cash flow we receive from AAP is derived from its ownership of these PAA common units. Because distributions on PAA common units are dependent on the amount of cash PAA generates, distributions may fluctuate based on PAA’s performance. The actual amount of cash that is available to be distributed each quarter will depend on numerous factors, some of which are beyond our control and the control of PAA. Cash distributions are dependent primarily on cash flow, including cash flow from financial reserves and working capital borrowings, and not solely on profitability, which is affected by non-cash items. Therefore, PAA’s cash distributions might be made during periods when PAA records losses and might not be made during periods when PAA record profits.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distributions on our Class A shares are not paid with respect to any fiscal quarter, our Class A shareholders will not be entitled to receive that quarter’s payments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distributions to our Class A shareholders are not cumulative. Consequently, if distributions on our Class A shares are not paid with respect to any fiscal quarter, our Class A shareholders will not be entitled to receive that quarter’s payments in the future.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amount of cash that we and PAA distribute each quarter may limit our ability to grow.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we distribute all of our available cash, our growth may not be as fast as the growth of businesses that reinvest their available cash to expand ongoing operations. In fact, because currently our cash flow is generated solely from distributions we receive from AAP, which are derived from AAP’s partnership interests in PAA, our growth will be completely dependent upon PAA. The amount of distributions received by AAP is based on PAA’s per unit distribution paid on each PAA common unit and the number of PAA common units that AAP owns. If we issue additional Class A shares or we were to incur debt or are required to pay taxes, the payment of distributions on those additional Class A shares, or interest on such debt or payment of such taxes, could increase the risk that we will be unable to maintain or increase our cash distribution levels.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Restrictions in PAA’s credit facilities could limit AAP’s ability to make distributions to us, thereby limiting our ability to make distributions to our Class A shareholders.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PAA’s credit facilities contain various operating and financial restrictions and covenants. PAA’s ability to comply with these restrictions and covenants may be affected by events beyond its control, including prevailing economic, financial and industry conditions. If PAA is unable to comply with these restrictions and covenants, any indebtedness under these credit facilities may become immediately due and payable and PAA’s lenders’ commitment to make further loans under these credit facilities may terminate. PAA might not have, or be able to obtain, sufficient funds to make these accelerated payments.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more information regarding PAA’s credit facilities, please read “Management’s Discussion and Analysis of Financial Condition and Results of Operations—Liquidity and Capital Resources.” For information regarding risks related to PAA’s credit facilities, please see “—Risks Related to PAA’s Business—The terms of PAA’s indebtedness may limit its ability to borrow additional funds or capitalize on business opportunities. In addition, PAA’s future debt level may limit its future financial and operating flexibility.”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Class B shareholders own a significant number of shares, which may make the removal of our general partner difficult.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Our shareholders have only limited voting rights on matters affecting our business and, therefore, limited ability to influence management’s decisions regarding our business. If our Class A shareholders are dissatisfied with the performance of our general partner, it may be difficult for them to remove our general partner. Our general partner may only be removed by vote of the holders of at least 66 </w:t>
      </w:r>
      <w:r>
        <w:rPr>
          <w:rFonts w:ascii="Times New Roman;serif" w:hAnsi="Times New Roman;serif"/>
          <w:b w:val="false"/>
          <w:color w:val="000000"/>
          <w:sz w:val="14"/>
        </w:rPr>
        <w:t>2</w:t>
      </w:r>
      <w:r>
        <w:rPr>
          <w:rFonts w:ascii="Times New Roman;serif" w:hAnsi="Times New Roman;serif"/>
          <w:b w:val="false"/>
          <w:color w:val="000000"/>
          <w:sz w:val="20"/>
        </w:rPr>
        <w:t>/</w:t>
      </w:r>
      <w:r>
        <w:rPr>
          <w:rFonts w:ascii="Times New Roman;serif" w:hAnsi="Times New Roman;serif"/>
          <w:b w:val="false"/>
          <w:color w:val="000000"/>
          <w:sz w:val="14"/>
        </w:rPr>
        <w:t>3</w:t>
      </w:r>
      <w:r>
        <w:rPr>
          <w:rFonts w:ascii="Times New Roman;serif" w:hAnsi="Times New Roman;serif"/>
          <w:b w:val="false"/>
          <w:color w:val="000000"/>
          <w:sz w:val="20"/>
        </w:rPr>
        <w:t>% of our outstanding shares (including both Class A and Class B shares). At December 31, 2025, the Legacy Owners owned approximately 15% of our outstanding Class A and Class B shares. Without the support of our Legacy Owners, such ownership level may make it more difficult for our Class A shareholders to obtain the requisite vote level required to remove our general partner.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these provisions, the price at which our shares trade may be lower because of the absence or reduction of a control or takeover premium in the trading price.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general partner may cause us to issue an unlimited number of additional Class A shares or other equity securities of equal rank with the Class A shares, or cause AAP to issue additional securities, in each case without shareholder approval. In addition, we may issue an unlimited number of shares that are senior to our Class A shares in right of distribution, liquidation and voting. Except for Class A shares issued in connection with the exercise of an Exchange Right, which will result in the cancellation of an equivalent number of Class B shares and therefore have no effect on the total number of outstanding shares, the issuance of additional Class A shares or our other equity securities of equal or senior rank, or the issuance by AAP of additional securities, will have the following effects: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each shareholder’s proportionate ownership interest in us may decrease;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amount of cash available for distribution on each Class A share may decrease;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relative voting strength of each previously outstanding Class A share may be diminished;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ratio of taxable income to distributions may increase;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market price of the Class A shares may decline.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PAA’s unitholders remove PAA GP as PAA’s general partner, AAP may be required to sell or exchange its indirect general partner interest and we may lose our ability to manage and control PAA.</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We currently manage our investment in PAA through our indirect ownership of PAA GP, which serves as PAA’s general partner. PAA’s partnership agreement gives unitholders of PAA the right to remove PAA GP as general partner upon the affirmative vote of holders of 66 </w:t>
      </w:r>
      <w:r>
        <w:rPr>
          <w:rFonts w:ascii="Times New Roman;serif" w:hAnsi="Times New Roman;serif"/>
          <w:b w:val="false"/>
          <w:color w:val="000000"/>
          <w:sz w:val="14"/>
        </w:rPr>
        <w:t>2</w:t>
      </w:r>
      <w:r>
        <w:rPr>
          <w:rFonts w:ascii="Times New Roman;serif" w:hAnsi="Times New Roman;serif"/>
          <w:b w:val="false"/>
          <w:color w:val="000000"/>
          <w:sz w:val="20"/>
        </w:rPr>
        <w:t>/</w:t>
      </w:r>
      <w:r>
        <w:rPr>
          <w:rFonts w:ascii="Times New Roman;serif" w:hAnsi="Times New Roman;serif"/>
          <w:b w:val="false"/>
          <w:color w:val="000000"/>
          <w:sz w:val="14"/>
        </w:rPr>
        <w:t>3</w:t>
      </w:r>
      <w:r>
        <w:rPr>
          <w:rFonts w:ascii="Times New Roman;serif" w:hAnsi="Times New Roman;serif"/>
          <w:b w:val="false"/>
          <w:color w:val="000000"/>
          <w:sz w:val="20"/>
        </w:rPr>
        <w:t>% of PAA’s outstanding units. If PAA GP withdraws as general partner or is removed without cause (as defined in PAA’s partnership agreement) and a successor general partner is elected, AAP will receive cash in exchange for its indirect general partner interest. If PAA GP withdraws under circumstances other than those described in the preceding sentence and a successor general partner is elected, the successor general partner will purchase the general partner interest for its fair market value. If PAA GP’s interests are not purchased, they will be converted into common units. In either case, we could lose our ability to manage and control PAA.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if PAA GP is removed or withdraws as general partner of PAA, we could face an increased risk of being deemed an investment company. Please read “—If in the future we cease to manage and control PAA, we may be deemed to be an investment company under the Investment Company Act of 1940.”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Shareholders may not have limited liability if a court finds that shareholder action constitutes control of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Delaware law, our shareholders could be held liable for our obligations to the same extent as a general partner if a court determined that the right or the exercise of the right by our shareholders as a group to remove or replace our general partner, to approve some amendments to the partnership agreement or to take other action under our partnership agreement constituted participation in the “control” of our business. Additionally, the limitations on the liability of holders of limited partner interests for the liabilities of a limited partnership have not been clearly established in many jurisdictions.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Section 17-607 of the Delaware Revised Uniform Limited Partnership Act provides that, under some circumstances, a shareholder may be liable to us for the amount of a distribution for a period of three years from the date of the distribution.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in the future we cease to manage and control PAA, we may be deemed to be an investment company under the Investment Company Act of 1940.</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cease to indirectly manage and control PAA and are deemed to be an investment company under the Investment Company Act of 1940, we would either have to register as an investment company under the Investment Company Act of 1940, obtain exemptive relief from the SEC or modify our organizational structure or our contractual rights to fall outside the definition of an investment company. Registering as an investment company could, among other things, materially limit our ability to engage in transactions with affiliates, including the purchase and sale of certain securities or other property to or from our affiliates, restrict the ability of PAA and us to borrow funds or engage in other transactions involving leverage, require us to add additional directors who are independent of us and our affiliates, and adversely affect the price of our Class A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partnership agreement restricts the rights of shareholders owning 20% or more of our shares.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shareholders’ voting rights are restricted by the provision in our partnership agreement generally providing that any shares held by a person or group that owns 20% or more of any class of shares then outstanding, other than our general partner, the Legacy Owners (or certain transferees in private, non-exchange transactions), their respective affiliates and persons who acquired such shares with the prior approval of our general partner’s board of directors, cannot be voted on any matter, except that such shares constituting up to 19.9% of the total shares outstanding may be voted in the election of directors. In addition, our partnership agreement contains provisions limiting the ability of our shareholders to call meetings or to acquire information about our operations, as well as other provisions limiting our shareholders’ ability to influence the manner or direction of our management. As a result, the price at which our Class A shares will trade may be lower because of the absence or reduction of a takeover premium in the trading price.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PAA’s general partner, which is owned by AAP, is not fully reimbursed or indemnified for obligations and liabilities it incurs in managing the business and affairs of PAA, its value, and, therefore, the value of our Class A shares, could decline.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AAP, GP LLC and their affiliates may make expenditures on behalf of PAA for which PAA GP will seek reimbursement from PAA. Under Delaware partnership law, PAA GP has unlimited liability for the obligations of PAA, such as its debts and environmental liabilities, except for those contractual obligations of PAA that are expressly made without recourse to the general partner. To the extent PAA GP incurs obligations on behalf of PAA, it is entitled to be reimbursed or indemnified by PAA. If PAA is unable or unwilling to reimburse or indemnify PAA GP, PAA GP may be required to satisfy those liabilities or obligations, which would reduce AAP’s cash flows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price of our Class A shares may be volatile, and holders of our Class A shares could lose a significant portion of their investments.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 price of our Class A shares could be volatile, and our shareholders may not be able to resell their Class A shares at or above the price at which they purchased such Class A shares due to fluctuations in the market price of the Class A shares, including changes in price caused by factors unrelated to our operating performance or prospects or the operating performance or prospects of PAA. The following factors, among others, could affect our Class A share price: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PAA’s operating and financial performance and prospects and the trading price of its common units;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level of PAA’s quarterly distributions and our quarterly distributions;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quarterly variations in the rate of growth of our financial indicators, such as distributable cash flow per Class A share, net income and revenues;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revenue or earnings and distribution estimates or publication of research reports by analysts;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speculation by the press or investment community;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sales of our Class A shares by our shareholders;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exercise by the Legacy Owners of their exchange rights with respect to any retained AAP units;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announcements by PAA or its competitors of significant contracts, acquisitions, strategic partnerships, joint ventures, securities offerings or capital commitments;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general market conditions, including conditions in financial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accounting standards, policies, guidance, interpretations or principles;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adverse changes in tax laws or regulations;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domestic and international economic, legal and regulatory factors related to PAA’s performance;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other factors described in these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An increase in interest rates may cause the market price of our shares to decline.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Like all equity investments, an investment in our Class A shares is subject to certain risks. In exchange for accepting these risks, investors may expect to receive a higher rate of return than would otherwise be obtainable from lower-risk investments. Accordingly, as interest rates rise, the ability of investors to obtain higher risk-adjusted rates of return by purchasing government-backed debt securities may cause a corresponding decline in demand for riskier investments generally, including yield-based equity investments such as publicly traded limited partnership interests. Reduced demand for our Class A shares resulting from investors seeking other more favorable investment opportunities may cause the trading price of our Class A shares to decline.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Future sales of our Class A shares in the public market could reduce our Class A share price, and any additional capital raised by us through the sale of equity or convertible securities may have a dilutive effect on our shareholders.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certain limitations and exceptions, holders of AAP units may exchange their AAP units (together with a corresponding number of Class B shares) for Class A shares (on a one-for-one basis, subject to customary conversion rate adjustments for equity splits and reclassification and other similar transactions) and then sell those Class A shares. We may also issue additional Class A shares or convertible securities in subsequent public or private offerings.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predict the size of future issuances of our Class A shares or securities convertible into Class A shares or the effect, if any, that future issuances and sales of our Class A shares will have on the market price of our Class A shares. Sales of substantial amounts of our Class A shares (including shares issued in connection with an acquisition), or the perception that such sales could occur, may adversely affect prevailing market prices of our Class A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Legacy Owners hold a meaningful portion of the combined voting power of our Class A and Class B shares.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through their ownership of Class B shares, the Legacy Owners held approximately 15% of the combined voting power of our Class A and Class B shares. The Legacy Owners are entitled to act separately in their own respective interests with respect to their partnership interests in us, and collectively they currently have the ability to influence (although not the ability to block outright) (i) the outcome of any matters requiring shareholder approval, including certain mergers and other material transactions and (ii) a change in the composition of our board of directors or a change in control of our company that could deprive our shareholders of an opportunity to receive a premium for their Class A shares as part of a sale of our company. So long as the Legacy Owners continue to own a meaningful amount of our outstanding shares, even if such amount is less than 50%, they will continue to be able to influence any matters requiring shareholder approval, regardless of whether or not other shareholders believe that such matters are in their own best interests.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 valuation allowance on our deferred tax asset could reduce our earnings.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a gross deferred tax asset of approximately $1.2 billion. Generally accepted accounting principles in the United States (“GAAP”) requires that a valuation allowance must be established for deferred tax assets when it is more likely than not that they will not be realized. We believe that the deferred tax asset we recorded through 2025 will be realized and that a valuation allowance is not required. However, if we were to determine that a valuation allowance was appropriate for our deferred tax asset, we would be required to take an immediate charge to earnings with a corresponding reduction of partners’ capital and increase in balance sheet leverage as measured by debt-to-total capitalization. In light of the Tax Cuts and Jobs Act of 2017, a valuation allowance will not be required for any U.S. federal deferred tax asset created after 2017.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incur liability as a result of our ownership of our and PAA’s general partner.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Delaware law, a general partner of a limited partnership is generally liable for the debts and liabilities of the partnership for which it serves as general partner, subject to the terms of any indemnification agreements contained in the partnership agreement and except to the extent the partnership’s contracts are non-recourse to the general partner. As a result of our structure, we indirectly own and control the general partner of PAA and own a portion of our general partner’s membership interests. Our percentage ownership of our general partner is expected to increase over time as the Legacy Owners exercise their exchange rights. To the extent the indemnification provisions in the applicable partnership agreement or non-recourse provisions in our contracts are not sufficient to protect us from such liability, we may in the future incur liabilities as a result of our ownership of these general partner entities.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Conflicts of Interest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existing organizational structure and the current and future relationships among us, PAA, our respective general partners, the Legacy Owners and affiliated entities present the potential for conflicts of interest.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Conflicts of interest may arise as a result of our organizational structure and the current and future relationships among us, PAA, our respective general partners, the Legacy Owners and affiliated entities.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partnership agreement defines the duties of our general partner (and, by extension, its officers and directors). Our general partner’s board of directors or its conflicts committee will have authority on our behalf to resolve any conflict involving us and they have broad latitude to consider the interests of all parties to the conflict.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Conflicts of interest may arise between us and our shareholders, on the one hand, and our general partner and its owners and affiliated entities, on the other hand, or between us and our shareholders, on the one hand, and PAA and its unitholders, on the other hand. The resolution of these conflicts may not always be in our best interest or that of our shareholders.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partnership agreement defines our general partner’s duties to us and contains provisions that reduce the remedies available to our shareholders for actions that might otherwise be challenged as breaches of fiduciary or other duties under state law.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partnership agreement contains provisions that substantially reduce the standards to which our general partner would otherwise be held by state fiduciary duty law. For example, our partnership agreement: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the Legacy Owners, our affiliates or any limited partner. Examples include its right to vote membership interests in our general partner held by us, the exercise of its limited call right, its rights to transfer or vote any shares it may own, and its determination whether or not to consent to any merger or consolidation of our partnership or amendment to our partnership agreement;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generally provides that our general partner will not have any liability to us or our shareholders for decisions made in its capacity as a general partner so long as it acted in good faith which, pursuant to our partnership agreement, requires a subjective belief that the determination, or other action or anticipated result thereof is in, or not opposed to, our best interests;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generally provides that any resolution or course of action adopted by our general partner and its affiliates in respect of a conflict of interest will be permitted and deemed approved by all of our partners, and will not constitute a breach of our partnership agreement or any duty stated or implied by law or equity if the resolution or course of action in respect of such conflict of interest is: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approved by a majority of the members of our general partner’s conflicts committee after due inquiry, based on a subjective belief that the course of action or determination that is the subject of such approval is fair and reasonable to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approved by majority vote of our Class A shares and Class B shares (excluding Class C shares and excluding shares owned by our general partner and its affiliates, but including shares owned by the Legacy Owners) voting together as a single class;</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rPr>
        <w:t>determined by our general partner (after due inquiry) to be on terms no less favorable to us than those generally being provided to or available from unrelated third parties; or</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rPr>
        <w:t>determined by our general partner (after due inquiry) to be fair and reasonable to us, which determination may be made taking into account the circumstances and the relationships among the parties involved (including our short-term or long-term interests and other arrangements or relationships that could be considered favorable or advantageous to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provides that, to the fullest extent permitted by law, in connection with any action or inaction of, or determination made by, our general partner or the conflicts committee of our general partner’s board of directors with respect to any matter relating to us, it shall be presumed that our general partner or the conflicts committee of our general partner’s board of directors acted in a manner that satisfied the contractual standards set forth in our partnership agreement, and in any proceeding brought by any limited partner or by or on behalf of such limited partner or any other limited partner or our partnership challenging any such action or inaction of, or determination made by, our general partner, the person bringing or prosecuting such proceeding shall have the burden of overcoming such presumption;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our general partner or those other persons acted in bad faith or engaged in fraud or willful misconduct or, in the case of a criminal matter, acted with knowledge that such person’s conduct was criminal.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Legacy Owners may have interests that conflict with holders of our Class A shares.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the Legacy Owners owned approximately 15% of our outstanding Class A and Class B shares and approximately 15% of the AAP units. As a result, the Legacy Owners may have conflicting interests with holders of Class A shares. For example, the Legacy Owners may have different tax positions from us which could influence their decisions regarding whether and when to cause us to dispose of assets.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conflicts of interest could arise in the future between us, on the one hand, and the Legacy Owners, on the other hand, concerning among other things, potential competitive business activities or business opportunities. These conflicts of interest may not be resolved in our favor.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are presented with business opportunities, PAA has the first right to pursue such opportunities.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administrative agreement, we have agreed to certain business opportunity arrangements to address potential conflicts with respect to business opportunities that may arise among us, our general partner, PAA, PAA GP, AAP and GP LLC. If a business opportunity is presented to us, our general partner, PAA, PAA GP, AAP or GP LLC, then PAA will have the first right to pursue such business opportunity. We have the right to pursue and/or participate in such business opportunity if invited to do so by PAA, or if PAA abandons the business opportunity and GP LLC so notifies our general partner. Accordingly, the terms of the administrative agreement limit our ability to pursue business opportunities.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general partner’s affiliates and the Legacy Owners may compete with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partnership agreement provides that our general partner will be restricted from engaging in any business activities other than acting as our general partner and those activities incidental to its ownership of interests in us. The restrictions contained in our general partner’s limited liability company agreement are subject to a number of exceptions. Affiliates of our general partner and the Legacy Owners will not be prohibited from engaging in other businesses or activities that might be in direct competition with us except to the extent they compete using our confidential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general partner has a call right that may require our shareholders to sell their Class A shares at an undesirable time or price.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at any time more than 80% of our outstanding Class A shares and Class B shares on a combined basis (including Class A shares issuable upon the exchange of Class B shares) are owned by our general partner, the Legacy Owners (or certain transferees in private, non-exchange transactions) or their respective affiliates, our general partner will have the right (which it may assign to any of its affiliates, the Legacy Owners or us),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certain transferees in private, non-exchange transactions) or their respective affiliates for such shares during the 90 day period preceding the date such notice is first mailed. As a result, holders of our Class A shares may be required to sell such Class A shares at an undesirable time or price and may not receive any return of or on their investment. Class A shareholders may also incur a tax liability upon a sale of their Class A shares. At December 31, 2025, the Legacy Owners owned approximately 15% of the Class A shares and Class B shares on a combined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PAA’s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PAA’s profitability depends on the volume of crude oil, natural gas and NGL shipped, processed, purchased, stored, fractionated and/or gathered at or through the use of its pipelines and facilities, which can be negatively impacted by a variety of factors outside of its control.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Drilling activity, crude oil production and benchmark crude oil prices can fluctuate significantly over time for a wide variety of reasons, including prevailing economic conditions, geopolitical conflicts or events, reduced demand by consumers for end products made with hydrocarbons, increased competition, adverse weather conditions, public health emergencies, and governmental actions and regulations affecting prices and production levels. Crude oil prices may also decline due to actions of domestic or foreign oil producers—they may take actions that create an over-supply of crude oil, and decrease benchmark crude oil prices. If producers reduce drilling activity in response to future declines in such prices, reduced capital market access, increased capital raising costs or adverse governmental or regulatory action, including, for example, federal, state or local laws or regulations that restrict drilling activities for environmental, seismic or other reasons, it could adversely impact current or future production levels. In turn, such developments could lead to reduced throughput on PAA’s pipelines and at its other facilities, which, depending on the level of production declines, could have a material adverse effect on PAA’s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Also, except with respect to some of PAA’s more recently constructed long haul pipeline assets, third-party shippers generally do not have long-term contractual commitments to ship crude oil on PAA’s pipelines. A decision by a shipper to substantially reduce or cease to ship volumes of crude oil on PAA’s pipelines could cause a significant decline in its revenues.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maintain the volumes of crude oil PAA purchases in connection with its operations, PAA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adversely impact PAA’s ability to secure additional supplies of crude oil.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PAA’s profitability can be negatively affected by a variety of factors stemming from competition in its industry, including recontracting and other risks associated with the general capacity overbuild of midstream energy infrastructure in some of the areas where it operates.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PAA faces competition in all aspects of its business and can give no assurances that it will be able to compete effectively against its competitors. In general, competition comes from a wide variety of participants in a wide variety of contexts, including new entrants and existing participants and in connection with day-to-day business, investment capital projects, acquisitions and joint venture activities. Some of PAA’s competitors have capital resources many times greater than PAA’s or control greater supplies of crude oil, natural gas or NGL. In addition, other competitors with significant excess capacity and high financial leverage may be motivated to reduce transportation rates to levels approaching variable operating costs, without regard to whether they are generating an acceptable return on their investment. These competitive risks make it more difficult for PAA to attract new customers and expose PAA to increased contract renewal and customer retention risk with respect to its existing customers and make recontracting at favorable rates and volumes more challenging, including, for example, with respect to certain of PAA’s long-haul Permian pipelines.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significant driver of competition in some of the markets where PAA operates (including, for example, the Eagle Ford, Permian Basin, and Rockies/Bakken areas) stems from the rapid development of new midstream energy infrastructure capacity that was driven by the combination of (i) 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PAA, many of the areas where PAA operates have become overbuilt, resulting in an excess of midstream energy infrastructure capacity. In addition, as an established participant in some markets, PAA also faces competition from aggressive new entrants to the market who are willing to provide services at a lower rate of return in order to establish relationships and gain a foothold in the market. In addition, PAA’s crude oil and NGL merchant activities utilize many of its pipelines and facilities. Competition that impacts PAA’s merchant activities could result in a reduction in the use of its transportation and facilities assets. All of these competitive effects put downward pressure on PAA’s throughput and margins and, together with other adverse competitive effects, could have a significant adverse impact on PAA’s financial position, cash flows and ability to pay or increase distributions to its unitholders.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respect to PAA’s crude oil activities, its competitors include other crude oil pipelines, the major integrated oil companies, their marketing affiliates, refiners, private equity-backed entities, and independent gatherers, brokers and marketers of widely varying sizes, financial resources and experience. PAA competes against these companies on the basis of many factors, including geographic proximity to production areas, market access, rates, terms of service, connection costs and other factors.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regard to PAA’s NGL operations, it competes with large oil, natural gas and natural gas liquids companies that may, relative to PAA,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supply and demand for the products PAA handles, which can be caused by a variety of factors outside of its control, can negatively affect its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Supply and demand for crude oil and other hydrocarbon products PAA handles can fluctuate based on a variety of factors, including price, current and future economic conditions, geopolitical conflicts or events, fuel conservation measures, alternative fuel adoption, governmental regulation, including climate change regulations, and technological advances in fuel economy and energy generation and storage technologies. For example, legislative, regulatory or executive actions intended to reduce emissions of greenhouse gases could increase the cost of consuming crude oil and other hydrocarbon products or accelerate the adoption of alternative energy technologies, thereby causing a reduction in the demand for such products. Given that crude oil and petroleum products are global commodities, demand can also be significantly influenced by global market conditions, particularly in key consumption markets such as the United States and China, domestic and foreign political conditions and governmental or regulatory actions (including restrictions on the import or export of crude oil or petroleum products). Demand also depends on the ability and willingness of shippers having access to PAA’s transportation assets to satisfy their demand by deliveries through those assets. Decreases in demand for the products PAA handles, whether at a global level or in areas its assets serve, can negatively affect its operating results.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supply of crude oil depends on a variety of global political and economic factors, including the reliance of foreign governments on petroleum revenues. Excess global supply of crude oil may negatively impact PAA’s operating results by decreasing the price of crude oil and making production and transportation less profitable in areas PAA services.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Fluctuations in demand for crude oil, such as those caused by refinery downtime or shutdowns, can have a negative effect on PAA’s operating results. Specifically, reduced demand in an area serviced by PAA’s transportation systems will negatively affect the throughput on such systems. Although the negative impact may be mitigated or overcome by PAA’s ability to capture differentials created by demand fluctuations, this ability is dependent on the availability of certain grades of crude oil at specific locations, and thus is largely unpredictable.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PAA handles or a reduction of the fees it charges for its services or margins it earns. Also, increased supply of NGL products could reduce the value of NGL PAA handles and reduce the margins realized by 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NGL and products produced from NGL also compete with products from global markets. Any reduced demand or increased supply for ethane, propane, normal butane, iso-butane or natural gasoline in the markets PAA accesses for any of the reasons stated above could adversely affect demand for the services PAA provides as well as NGL prices, which could negatively impact its operating results.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Natural disasters, catastrophes, terrorist attacks (including eco-terrorist attacks), process safety failures, equipment failures or other events, including pipeline or facility accidents and cyber or other attacks on</w:t>
      </w:r>
      <w:r>
        <w:rPr>
          <w:color w:val="000000"/>
        </w:rPr>
        <w:t xml:space="preserve"> </w:t>
      </w:r>
      <w:r>
        <w:rPr>
          <w:rFonts w:ascii="Times New Roman;serif" w:hAnsi="Times New Roman;serif"/>
          <w:b/>
          <w:i/>
          <w:color w:val="000000"/>
          <w:sz w:val="20"/>
        </w:rPr>
        <w:t>PAA’s</w:t>
      </w:r>
      <w:r>
        <w:rPr>
          <w:color w:val="000000"/>
        </w:rPr>
        <w:t xml:space="preserve"> </w:t>
      </w:r>
      <w:r>
        <w:rPr>
          <w:rFonts w:ascii="Times New Roman;serif" w:hAnsi="Times New Roman;serif"/>
          <w:b/>
          <w:i/>
          <w:color w:val="000000"/>
          <w:sz w:val="20"/>
        </w:rPr>
        <w:t>electronic and computer systems, could interrupt its operations, hinder its ability to fulfil its contractual obligations and/or result in severe personal injury, property damage and environmental damage, which could have a material adverse effect on its financial position, results of operations and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of PAA’s operations involve risks of personal injury, property damage and environmental damage that could curtail its operations and otherwise materially adversely affect its cash flow. Virtually all of PAA’s operations are exposed to potential natural disasters or other natural events, including hurricanes, tornadoes, storms, floods, earthquakes, shifting soil and/or landslides. The location of some of PAA’s assets and its customers’ assets in the U.S. Gulf Coast region makes them particularly vulnerable to hurricane or tropical storm risk. PAA’s facilities and operations are also vulnerable to accidents caused by process safety failures, equipment failures, or human error. In addition, the U.S. government has previously issued warnings that energy assets, specifically the nation’s pipeline infrastructure, may be targets of terrorist organizations. Terrorists may target PAA’s physical facilities and hackers may attack its electronic and computer systems.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one or more of PAA’s pipelines or other facilities, including electronic and computer systems, or any facilities or businesses that deliver products, supplies or services to PAA or that it relies on in order to operate its business, are damaged by severe weather or any other disaster, accident, catastrophe, terrorist attack or event, its operations could be significantly interrupted. In addition, PAA’s merchant activities may include purchasing crude oil and NGL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These incidents or interruptions could involve significant damage or injury to people, property or the environment, and repairs could take anywhere from a few days to several months or more depending on the severity and impact of the event. Any such event that interrupts the revenues generated by its operations, hinders its ability to fulfil its contractual obligations or which causes PAA to make significant expenditures not covered by insurance, could reduce its profitability, cash flows and cash available for paying distributions to its partners and, accordingly, adversely affect its financial condition and the market price of its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PAA’s operations and/or make it more difficult for PAA to obtain the approvals, permits, licenses or real property interests PAA needs in order to operate its assets or complete planned growth projects or other transactions.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PAA’s business is highly dependent on the use of information and operations technology systems and the unavailability or ineffectiveness of such systems, whether due to cybersecurity attacks, data breaches, human error or other disruptions affecting PAA, or its service providers, could materially and adversely affect PAA’s business, operations, reputation and financial results.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continuous and uninterrupted operation of the information and operations technology systems and infrastructure PAA uses (collectively, its “IT systems”), which include a broad array of third party and cloud-based software, technologies, tools and security products, is critical to the operation of its business and essential to its ability to perform day-to-day operations. If PAA is unable to implement, use and maintain effective IT systems, it could have a material adverse effect on its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 and certain of its service providers have, from time to time, been subject to cyberattacks. The frequency and magnitude of cyberattacks is expected to increase and attackers are becoming more sophisticated. Infrastructure assets including pipelines, may be specifically targeted by certain groups, such as “hacktivists,” state-sponsored groups, criminal organizations or private individuals. PAA may be unable to anticipate, detect or prevent future attacks, particularly as the methodologies used by attackers change frequently or are not recognized until launched, and PAA may be unable to investigate or remediate incidents because attackers are increasingly using techniques and tools designed to circumvent controls, to avoid detection, and to remove or obfuscate forensic evidence.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breach or failure of PAA’s IT systems, whether due to cyberattacks or other malfeasance, human error, power failures or other disruptions, could result in interruptions to its operations, damage to its assets, safety incidents, damage to the environment and disclosure of sensitive information (including proprietary business information, critical operating information and data, information regarding our customers, suppliers, royalty owners and business partners, and personally identifiable information of our employees). This could in turn cause PAA to incur significant costs and liabilities, including ransom payments, remediation costs, legal claims, regulatory enforcement actions, violation of privacy or securities laws and regulations and the loss of contracts or the inability to fulfil its contractual obligations. Any of these events could have a material adverse effect on its operations, financial position and results of operations. In addition, PAA may be required to invest significant additional resources to enhance its information security and controls or to comply with evolving cybersecurity laws or regulations.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emergence of new technologies (including generative artificial intelligence) could increase any of the foregoing risks or create new risks. We or our counterparties may rely upon such technologies for our operations or security, which could make us more vulnerable to technology failures. Our competitors may more effectively implement such technologies in their businesses, and we may be unable to compete as effectively. New technologies are also subject to intentional misuse by criminals, terrorists or other bad actors.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 self-insures and thus does not carry insurance specifically for cybersecurity events; however, certain of PAA’s insurance policies may allow for coverage of associated damages resulting from such events. If PAA were to incur a significant liability for which it was not fully insured, or if PAA incurred costs in excess of reserves established for uninsured or self-insured risks, it could have a material adverse effect on PAA’s financial position,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PAA’s and its customers’ operations are subject to various risks arising out of the threat of climate change.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and its customers’ operations are subject to a number of risks arising out of the threat of climate change, including the adoption of energy conservation measures, initiatives that stimulate demand for alternative forms of energy or limit production of petroleum products, or technological advances in fuel economy and energy generation devices. Any of these could result in increased operating costs, limits on the areas in which oil and natural gas production may occur, and reduced demand for PAA’s services or the products it handles. Government initiatives or technological advances may also create new competitive conditions that result in reduced demand for products PAA’s customers produce and, in turn, the services PAA provides. The potential impact of changing demand for crude oil and natural gas services and products may have a material adverse effect on PAA’s business, financial condition, results of operations and cash flows. Additionally, the threat of climate change may negatively impact PAA’s business if it results in PAA restricting, delaying or canceling development activities and new projects.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also subject to litigation risks related to climate change as investors, landowners, government agencies and other plaintiffs may target companies in the petroleum industry with lawsuits seeking damages allegedly caused by climate change. Should Plains be targeted by any such litigation, PAA may incur liability, which, to the extent that societal pressures or political or other factors are involved, could be imposed without regard to causation or contribution to the asserted damage, or to other mitigating factors. Involvement in such a case could have adverse reputational impacts and an unfavorable ruling in any such case could adversely impact PAA’s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Climate changes that have significant physical effects, such as increased frequency and severity of storms, droughts, floods and other climatic events, as well as shifts in temperature and precipitation patterns have the potential to cause physical damage to PAA’s assets or disrupt its supply chains and thus could have an adverse effect on its operations. PAA’s ability to manage the adverse impacts of these events depends in part on the effectiveness its disaster preparedness and response and business continuity planning, which may not have considered or be prepared for every eventuality.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full impact of climate change on PAA’s business, as well as the businesses of its customers and suppliers is unknown. Any of factors discussed above, or any other unanticipated developments, could have a material adverse effect on PAA’s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PAA may face opposition from various groups to the development or operation of its pipelines and facilities and PAA’s business may be subject to societal and political pressures.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 may face opposition to the development or operation of its pipelines and facilities from environmental groups, landowners, indigenous groups, local groups and other advocates. Such opposition could take many forms, including organized protests, attempts to block or sabotage PAA’s operations, intervention in regulatory or administrative proceedings involving its assets, or lawsuits or other actions designed to prevent, disrupt or delay the development or operation of PAA’s assets and business. For example, repairing PAA’s pipelines often involves securing consent from individual landowners to access their property; one or more landowners may resist PAA’s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PAA’s operations. Any such event that interrupts the revenues generated by PAA’s operations, or which causes PAA to make significant expenditures not covered by insurance, could reduce PAA’s cash available for paying distributions to its partners and, accordingly, adversely affect PAA’s financial condition and the market price of its securities.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business plans are based upon the assumption that societal sentiment and applicable laws and regulations will continue to allow and enable the future development, transportation and use of hydrocarbon-based fuels. Policy decisions relating to the production, refining, transportation and marketing of hydrocarbon-based fuels are subject to political pressures, the negative portrayal of the industry in which PAA operates by the media and others, and the influence and protests of environmental and other special interest groups. Such negative sentiment regarding the hydrocarbon energy industry could influence consumer preferences and government or regulatory actions, which could, in turn, have an adverse impact on PAA’s business.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Activists concerned about the potential effects of climate change have directed their attention towards sources of funding for hydrocarbon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ongoing operations, and consequently could both indirectly affect demand for PAA’s services and directly affect PAA’s ability to fund construction or other capital projects and its ongoing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PAA is subject to scrutiny by financial stakeholders with respect to the perceived social and environmental cost of its industry and its governance structure, which may adversely impact its ability to raise capital from such investors.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financial stakeholders, including certain institutional investors such as public pension funds and banks, have placed importance on the implications and social cost of sustainability matters. Sustainability factors play an important role in the investment decisions made by certain investors and banks, and companies involved in certain industries or with certain governance structures, such as master limited partnerships, are receiving increased scrutiny.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stakeholders’ focus and activism related to sustainability and similar matters could constrain PAA’s ability to raise capital. Any material limitations on its ability to access capital as a result of such scrutiny could limit its ability to obtain future financing on favorable terms, or at all, or could result in increased financing costs in the future. Similarly, such activism could negatively impact PAA’s unit price or the price of its debt, limiting its ability to raise capital through equity issuances or debt financing, or could negatively affect its ability to engage in, expand or pursue its business activities, and could also prevent it from engaging in certain transactions that might otherwise be considered beneficial to PAA.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Businesses across all industries receive attention from stakeholders related to their sustainability practices. Businesses that do not adapt to or comply with investor or stakeholder expectations and standards, which are continuing to evolve, or businesses that are perceived to have not responded appropriately to concerns related to sustainability matters, regardless of whether there is a legal requirement to do so, may suffer reputational damage and the business, financial condition, and/or equity value of such business entity could be materially and adversely affected. A focus on climate change, societal expectations on companies to address climate change, investor expectations regarding voluntary sustainability-related disclosures, increasing mandatory sustainability disclosures, and consumer demand for alternative forms of energy may result in increased costs, reduced demand for PAA’s services or the products it handles, reduced profits, increased legislative and judicial scrutiny, investigations and litigation, reputational damage, and negative impacts on PAA’s access to capital markets. PAA could also be subject to additional governmental investigations, private litigation, or activist campaigns as unitholders may attempt to effect changes to PAA’s business or governance practices.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PAA’s crude oil and NGL merchant activities are influenced by the overall forward market for crude oil and NGL, and certain market structures, the absence of pricing volatility and other market factors may adversely impact its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profitability of PAA’s crude oil and NGL merchant activities are dependent on a variety of factors affecting the markets for crude oil and NGL, including regional and international supply and demand imbalances, takeaway availability and constraints, transportation costs and the overall forward market for crude oil and NGL products. Periods when differentials are wide or when there is volatility in the forward market structure are generally more favorable for PAA’s merchant activities. During periods where midstream infrastructure is over-built and/or there is a lack of volatility in the pricing structure, PAA’s results may be negatively impacted. Depending on the overall duration of these transition periods, how PAA has allocated its assets to particular strategies and the tenor of its crude oil purchase and sale contracts and storage agreements, these periods may have either an adverse or beneficial effect on the profitability of PAA’s merchant activities. In the past, the results of such activities have varied significantly based on market conditions and these activities may continue to experience highly variable results as a result of future changes to the markets for crude oil and NGL.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Acquisitions and divestitures involve risks that may adversely affect PAA’s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ability to execute its financial strategy is in part dependent on its ability to complete strategic transactions, including acquisitions, divestitures or sales of interests to strategic partners. If PAA is unable to successfully complete, integrate or realize the anticipated benefits of its recent or future acquisitions or planned divestitures (due to reduced investment in the energy sector, governmental action, litigation, counterparty non-performance or other factors), including the Canadian NGL Business divestiture, it may be more difficult for PAA to implement its business strategies, maintain its desired leverage levels, increase returns to equity holders or otherwise accomplish its financial goals. In addition, in connection with our divestitures, PAA may agree to retain responsibility for certain liabilities that relate to its period of ownership, which could adversely impact its future financial performance.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Acquisitions also involve potential risks, including:</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performance from the acquired businesses or assets that is below the forecasts PAA used in evaluating the acquisition;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 significant increase in PAA’s indebtedness and working capital requirements;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inability to timely and effectively integrate the operations of recently acquired businesses or assets;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incurrence of substantial unforeseen environmental and other liabilities arising out of the acquired businesses or assets for which PAA is either not fully insured or indemnified, including liabilities arising from the operation of the acquired businesses or assets prior to PAA’s acquisition;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risks associated with operating in lines of business that are distinct and separate from PAA’s historical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customer or key employee loss from the acquired businesses;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diversion of management’s attention from other business concerns.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these factors could adversely affect PAA’s ability to achieve anticipated levels of cash flows or other benefits from its acquisitions, pay distributions to its partners or meet its debt service requirements.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Joint ventures, joint ownership arrangements and other capital projects pose unique challenges and PAA may not be able to fully implement or realize synergies, expected returns or other anticipated benefits associated with such projects.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 is involved in many strategic joint ventures and other joint ownership arrangements. PAA may not always be in complete alignment with its joint venture or joint owner counterparties; PAA may have differing strategic or commercial objectives and may be outvoted by its joint venture partners or PAA may disagree on governance matters with respect to the joint venture entity or the jointly owned assets. When PAA enters into joint ventures or joint ownership arrangements it may be subject to the risk that its counterparties do not fund their obligations. In some joint ventures and joint ownership arrangements PAA may not be responsible for construction or operation of such projects and will rely on its joint venture or joint owner counterparties for such services. Joint ventures and joint ownership arrangements may also require PAA to expend additional internal resources that could otherwise be directed to other projects. If PAA is unable to successfully execute and manage its existing and proposed joint venture and joint owner projects, it could adversely impact PAA’s financial and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 currently participates in a number of projects with various counterparties, and may continue to pursue new capital projects in the future. These projects can involve the expansion, modification, divestiture or combination of existing assets or the construction of new midstream energy infrastructure assets and involve numerous regulatory, environmental, commercial, economic, weather-related, political and legal uncertainties that are beyond its control, including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PAA may be unable to realize its forecasted commercial, operational or administrative synergies in connection with its joint ventures and joint ownership arrangements, including the Permian JV;</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Joint ventures and other joint ownership arrangements may demand substantial internal resources and may divert resources and attention from other areas of PAA’s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PAA may construct pipelines, facilities or other assets in anticipation of market demand that dissipates or market growth that never materializes;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Despite the fact that PAA will expend significant amounts of capital during the construction phase of growth or expansion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PAA may face opposition to its planned projects from environmental groups, landowners, local groups and other advocates, including lawsuits or other actions designed to disrupt or delay PAA’s planned projects;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PAA may not be able to obtain, or PAA may be significantly delayed in obtaining, all of the rights of way or other real property interests it needs to complete such projects, or the costs PAA incurs in order to obtain such rights of way or other interests may be greater than PAA anticipated;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PAA budgeted and the time it takes to complete construction of these projects and place them into commercial service could be significantly longer than planned;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completion or success of PAA’s projects may depend on the completion or success of third-party facilities over which PAA has no control.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these uncertainties, the anticipated benefits associated with PAA’s joint ventures, joint ownership arrangements and other capital projects may not be achieved or could be delayed. In turn, this could negatively impact PAA’s cash flow and its ability to make or increase cash distributions to its partners.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PAA may enter into new businesses in connection with its strategy to participate in emerging energy opportunities. If PAA is unable to execute on this strategy or operate these new lines of business effectively, PAA’s future growth could be limited. These new lines of business may never develop or may present risks that PAA cannot effectively manage.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PAA’s strategy, it intends to evaluate the potential to repurpose certain under-utilized assets for an alternative use in emerging energy opportunities. This may involve entering into new lines of businesses, which present different challenges and risks. PAA may be unable to execute on its business plans, demand for these new services may not develop on a large or economic scale, or PAA may fail to operate these businesses effectively. In addition, PAA may not be able to compete with companies who also plan to enter into these new lines of business, and who may be larger than PAA and may have greater financial resources to devote to these businesses. These new businesses may also present novel issues in law, taxation, safety or environmental policy, and other areas that PAA may not be able to manage effectively. Management’s assessment of the risks in these new lines of business may be inexact and not identify or resolve all the problems that PAA would face. If PAA is not able to enter into these new lines of business effectively or at all, it could limit PAA’s future growth if such emerging energy businesses grow and become a more important part of the energy industry.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PAA is exposed to the credit risk of its customers and other counterparties it transacts with in the ordinary course of its business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Risks of nonpayment and nonperformance by customers or other counterparties are a significant consideration in PAA’s business. Although PAA has credit risk management policies and procedures that are designed to mitigate and limit its exposure in this area, there can be no assurance that PAA has adequately assessed and managed the creditworthiness of its existing or future counterparties or that there will not be an unanticipated deterioration in their creditworthiness or unexpected instances of nonpayment or nonperformance, all of which could have an adverse impact on PAA’s cash flow and its ability to pay or increase its cash distributions to its partners.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 has a number of minimum volume commitment contracts that support its pipelines. In addition, certain of the pipelines in which PAA owns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movements by shippers of volumes that are less than minimum volume commitments could be significant and could adversely affect PAA’s profitability and earnings.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in those cases in which PAA provides division order services for crude oil purchased at the wellhead, it may be responsible for distribution of proceeds to all parties. In other cases, PAA pays all of or a portion of the production proceeds to an operator who distributes these proceeds to the various interest owners. These arrangements expose PAA to operator credit risk, and there can be no assurance that PAA will not experience losses in dealings with such operators and other parties.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to the extent one or more of PAA’s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PAA’s revenue and cash flows and its ability to make cash distributions to its unitholders.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PAA has also undertaken numerous projects that require cooperation with and performance by joint venture co-owners. In addition, in connection with various acquisition, divestiture, joint venture and other transactions, PAA often receives indemnifications from various parties for certain risks or liabilities. Nonperformance by any of these parties could result in increased costs or other adverse consequences that could decrease PAA’s earnings and returns.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PAA also relies to a significant degree on the banks that lend to it under its revolving credit facility for financial liquidity, and any failure of those banks to perform their obligations to PAA could significantly impair its liquidity. Furthermore, nonpayment by the counterparties to PAA’s interest rate and/or commodity derivatives could expose it to additional interest rate and/or commodity price risk.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Tightened capital markets or other factors that increase PAA’s cost of capital or otherwise limit its access to capital could impair its ability to achieve its strategic objectives.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limitations on PAA’s access to capital or increase in the cost of that capital could significantly impair the implementation of its strategy. PAA’s inability to maintain its targeted credit profile, including maintaining its credit ratings, could adversely affect PAA’s cost of capital as well as its ability to execute its strategy. In addition, a variety of factors beyond its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these factors, PAA cannot be certain that funding for its capital needs will be available from bank credit arrangements, capital markets or other sources on acceptable terms. If funding is not available when needed, or is available only on unfavorable terms, PAA may be unable to implement its development plans, enhance its existing business, complete strategic projects and transactions, take advantage of business opportunities or respond to competitive pressures, any of which could have a material adverse effect on its cash flows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PAA’s risk policies cannot eliminate all risks and the insufficiency of, or non-compliance with its risk policies could result in significant financial losses.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Generally, it is PAA’s policy to establish a margin for crude oil or other products it purchases by selling such products for physical delivery to third-party users, or by entering into futures or derivative contracts that require future delivery or financial settlement, as applicable Through these transactions, PAA seeks to maintain a position that is substantially balanced between purchases on the one hand, and sales or future delivery obligations on the other hand. PAA’s policy is not to acquire and hold physical inventory or derivative products for the purpose of speculating on commodity price changes. These policies and practices cannot, however, eliminate all risks. For example, any event that disrupts PAA’s anticipated physical supply of crude oil or other products could expose it to risk of loss resulting from price changes. PAA is also exposed to basis risk when crude oil or other products are purchased against one pricing index or benchmark and sold against a different index or benchmark. PAA may also face disruptions to futures markets for crude oil, NGL and other petroleum products, which may impair its ability to execute its commercial or hedging strategies. Margin requirements due to spikes or crashes in commodity prices may require PAA to exit hedge strategies at inopportune times. PAA is also exposed to some risks that are not hedged, including risks on certain of its inventory, such as linefill, which must be maintained in order to transport crude oil on its pipelines. In an effort to maintain a balanced position, specifically authorized personnel can purchase or sell crude oil and NGL, up to predefined limits and authorizations. Although this activity is monitored independently by PAA’s risk management function, it exposes PAA to commodity price risks within these limits.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 has taken steps within its organization to implement processes and procedures designed to detect unauthorized trading and non-compliance with its risk policies; however, PAA can provide no assurance that these steps will detect and prevent all violations of its risk policies and procedures, particularly if deception, collusion or other intentional misconduct is involved.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PAA’s insurance coverage may not fully cover its losses and it may in the future encounter increased costs related to, and lack of availability of, insurance.</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rPr>
        <w:t>While PAA maintains insurance coverage at levels that it believes to be reasonable and prudent, PAA can provide no assurance that its current levels of insurance will be sufficient to cover any losses that it has incurred or may incur in the future, whether due to deductibles, coverage challenges or other limitations.</w:t>
      </w:r>
      <w:r>
        <w:rPr>
          <w:color w:val="000000"/>
        </w:rPr>
        <w:t xml:space="preserve"> </w:t>
      </w:r>
      <w:r>
        <w:rPr>
          <w:rFonts w:ascii="Times New Roman;serif" w:hAnsi="Times New Roman;serif"/>
          <w:b w:val="false"/>
          <w:color w:val="000000"/>
          <w:sz w:val="20"/>
        </w:rPr>
        <w:t>In addition, over the last several years, as the scale and scope of PAA’s business activities has expanded, the breadth and depth of available insurance markets has contracted. As a result of these factors and other market conditions, as well as the fact that PAA has experienced several incidents in the past, premiums and deductibles for certain insurance policies have increased substantially. Accordingly, PAA can give no assurance that it will be able to maintain adequate insurance in the future at rates or on other terms PAA considers commercially reasonable. In addition, although PAA believes that it currently maintains adequate insurance coverage, insurance will not cover many types of interruptions or losses that might occur and will not cover all risks associated with its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or denial of, the payment of a major insurance claim, could materially and adversely affect PAA’s financial position,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Trade tariffs, duties, quotas, inflation, supply disruptions or other factors affecting the commodities and materials PAA uses in its business could have a material and adverse impact on its results of operations, financial condition and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of the commodities and materials PAA uses in its business are imported and exported. PAA exports crude oil and NGL from Canada into U.S. markets. To the extent these products become subject to import tariffs in the U.S., it could expose PAA to costs that it cannot recover from its customers. Existing and future trade tariffs, import duties and quotas could also materially increase PAA’s costs of procuring the commodities and materials it uses and disrupt the markets for the products it handles, which in turn could have a material adverse effect on its financial position, results of operations and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business requires access to steel and other materials to construct and maintain new and existing pipelines and facilities. If PAA experiences a shortage in the supply of these materials or is unable to source sufficient quantities of high quality materials at acceptable prices and in a timely manner, it could materially and adversely affect PAA’s ability to construct new infrastructure and maintain its existing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business also depends on having access to significant amounts of electricity and other commodities. If PAA is unable to obtain commodities sufficient to operate and maintain its assets, or only able to do so at commercially unreasonable prices, it could materially and adversely affect PAA’s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Supply chain disruptions and inflation of prices for commodities, materials, products and shipping may make it more challenging to obtain sufficient quantities of high quality materials at acceptable prices and in a timely manner. If PAA is unable to source such materials, it could materially and adversely affect its ability to construct new infrastructure and operate and maintain its existing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PAA’s business, results of operations, financial condition, cash flows and unit price can be adversely affected by pandemics, epidemics or other public health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business, results of operations, financial condition, cash flows and unit price can be adversely affected by pandemics, epidemics or other public health events. Such events may cause widespread economic disruption and result in material reductions in demand for crude oil, NGL and other petroleum products, which in turn may result in significant declines in the volume of crude oil and NGL shipped, processed, purchased, stored, fractionated and/or gathered at or through the use of many of our assets. The effects of a public health event depend on a wide variety of factors that are outside of our control, including the clinical severity and transmissibility of the virus or pathogen; the development, deployment, adoption and effectiveness of treatments and vaccines; the capacity of healthcare systems and public health infrastructure; and the response of public health authorities, governments and individuals in areas impacted by such event.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Loss of PAA’s investment grade credit rating or the ability to receive open credit could negatively affect its borrowing costs, ability to purchase crude oil, NGL and natural gas supplies or to capitalize on market opportunities.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business is dependent on its ability to maintain an attractive credit rating and continue to receive open credit from its suppliers and trade counterparties. PAA’s senior unsecured debt is currently rated as “investment grade” by Standard &amp; Poor’s, Moody’s Investors Service and Fitch Ratings Inc. A downgrade by such agencies to a level below investment grade could increase PAA’s borrowing costs, reduce its borrowing capacity and cause its counterparties to reduce the amount of open credit it receives from them. This could negatively impact PAA’s ability to capitalize on market opportunities. For example, PAA’s ability to utilize its crude oil storage capacity for merchant activities to capture contango market opportunities is dependent upon having adequate credit facilities, both in terms of the total amount of credit facilities and the cost of such credit facilities, which enables PAA to finance the storage of the crude oil from the time it completes the purchase of the crude oil until the time it completes the sale of the crude oil. Accordingly, loss of PAA’s investment grade credit ratings could adversely impact its cash flows, its ability to make distributions and the value of its outstanding equity and debt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terms of PAA’s indebtedness may limit its ability to borrow additional funds or capitalize on business opportunities. In addition, PAA’s current or future debt levels, or inability to borrow additional funds or capitalize on business opportunities, may limit its future financial and operating flexibility.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face value of PAA’s consolidated debt outstanding was approximately $11.3 billion (excluding net unamortized discounts and debt issuance costs of approximately $66 million), consisting of approximately $10.8 billion face value of long-term debt (including senior notes, term loan, commercial paper and finance lease obligations) and approximately $0.6 billion of short-term borrowings. As of December 31, 2025, PAA had over $2.0 billion of liquidity available, including cash and cash equivalents and available borrowing capacity under its senior unsecured revolving credit facility and its senior secured hedged inventory facility, subject to continued covenant compliance. Lower Adjusted EBITDA could increase PAA’s leverage ratios and effectively reduce its ability to incur additional indebtedness.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of PAA’s current or future indebtedness could have significant effects on its operations, including, among other things: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significant portion of PAA’s cash flow will be dedicated to the payment of principal and interest on its indebtedness and may not be available for other purposes, including the payment of distributions on its units and capital expenditures;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credit rating agencies may view PAA’s debt level negatively;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covenants contained in PAA’s existing debt arrangements will require it to continue to meet financial tests that may adversely affect its flexibility to plan for and react to changes in its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PAA’s ability to obtain additional financing for working capital, capital expenditures, acquisitions and general partnership purposes may be limited;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PAA may be at a competitive disadvantage relative to similar companies that have less debt;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PAA may be more vulnerable to adverse economic and industry conditions as a result of its significant debt level.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credit agreements prohibit distributions on, or purchases or redemptions of, units if any default or event of default is continuing. In addition, the agreements contain various covenants limiting PAA’s ability to, among other things, incur indebtedness if certain financial ratios are not maintained, grant liens, engage in transactions with affiliates, enter into sale-leaseback transactions, and sell substantially all of its assets or enter into a merger or consolidation. PAA’s credit facilities treat a change of control as an event of default and also requires PAA to maintain a certain debt coverage ratio. PAA’s senior notes do not restrict distributions to unitholders, but a default under its credit agreements will be treated as a default under the senior notes. Please read Item 7. “Management’s Discussion and Analysis of Financial Condition and Results of Operations—Liquidity and Capital Resources—Credit Agreements, Commercial Paper Program, Term Loan and Indentures.”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ability to access capital markets to raise capital on favorable terms will be affected by its debt level, its operating and financial performance, the amount of its current maturities and debt maturing in the next several years, and by prevailing market conditions. In addition, if the rating agencies were to downgrade PAA’s credit ratings, then it could experience an increase in its borrowing costs, face difficulty accessing capital markets or incurring additional indebtedness, be unable to receive open credit from its suppliers and trade counterparties, be unable to benefit from swings in market prices and shifts in market structure during periods of volatility in the crude oil market or suffer a reduction in the market price of its common units. If PAA is unable to access the capital markets on favorable terms at the time a debt obligation becomes due in the future, it might be forced to refinance some of its debt obligations through more expensive and restrictive bank credit, as opposed to long-term public debt securities or equity securities, or the sale of assets. The price and terms upon which PAA might receive such extensions or additional bank credit, if at all, could be more onerous than those contained in existing debt agreements. Any such arrangements could, in turn, increase the risk that PAA’s leverage may adversely affect its future financial and operating flexibility and thereby impact its ability to execute its capital allocation strategies and priorities.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Increases in interest rates could adversely affect PAA’s business and the trading price of its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face value of PAA’s consolidated debt was approximately $11.3 billion (excluding net unamortized discounts and debt issuance costs of approximately $66 million), substantially all of which was at fixed interest rates. Significant increases in interest rates above current levels could adversely affect PAA’s results of operations, cash flows and financial position due to, among other things: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PAA’s exposure to market risk due to the short-term nature of its commercial paper borrowings and the floating interest rates on its credit facilities;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potential refinancing of PAA’s indebtedness at rates higher than historical amounts;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Increasing interest costs associated with the storage of hedged crude oil and NGL inventory in PAA’s merchant activities;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Distributions payable on PAA’s Series B preferred units, which accumulate for each distribution period at a percentage of the liquidation preference equal to the applicable three-month Secured Overnight Financing Rate (SOFR), plus a credit spread adjustment of 0.26161%, plus 4.11% per annum.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the trading price of PAA’s common units may be sensitive to changes in interest rates and any rise in interest rates could adversely impact such trading price.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currency exchange rates could adversely affect PAA’s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PAA is a U.S. dollar reporting company and also conducts operations in Canada, it is exposed to currency fluctuations and exchange rate risks that may adversely affect the U.S. dollar value of its earnings, cash flow and partners’ capital under applicable accounting rules. For example, if the U.S. dollar appreciates against the Canadian dollar, the U.S. dollar value of PAA’s Canadian dollar denominated earnings is reduced for U.S. reporting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PAA’s business requires the retention and recruitment of a skilled workforce, and difficulties retaining and recruiting its workforce could result in a failure to implement PAA’s business plans.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operations and management require the retention and recruitment of a skilled workforce, including engineers, technical personnel and other professionals. PAA and its affiliates compete with other companies both within and outside the energy industry for this skilled workforce, and other employers may be able to offer potential employees higher salaries, more attractive benefits or work arrangements or opportunities to work in industries with greater perceived status or growth potential. If PAA is unable to (i) retain current employees; and/or (ii) recruit new employees of comparable knowledge and experience, PAA’s business could be negatively impacted. In addition, PAA could experience increased costs to retain current employees and recruit new employees.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An impairment of long-term assets could reduce PAA’s earnings.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PAA had approximately $16.9 billion of net property and equipment, $900 million of linefill, $2.8 billion of investments accounted for under the equity method of accounting and approximately $1.8 billion of net intangible assets capitalized on its balance sheet. GAAP requires an assessment for impairment in certain circumstances, including when there is an indication that the carrying value of property and equipment may not be recoverable. If PAA was to determine that any of its property and equipment, linefill, intangibles or equity method investments was impaired, it could be required to take an immediate charge to earnings, which could adversely impact its operating results, with a corresponding reduction of partners’ capital and increase in balance sheet leverage as measured by debt-to-total capitalization. See Item 7. “Management’s Discussion and Analysis of Financial Condition and Results of Operations—Critical Accounting Policies and Estimates” for additional discussion of our accounting policies and use of estimates associated with impairments.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PAA is dependent on the use or availability of third-party assets for certain of its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of PAA’s business activities require the use or availability of third-party assets over which it may have little or no control. If at any time the availability of these assets is limited or denied, and if access to alternative assets cannot be arranged, it could have an adverse effect on PAA’s business, results of operations and cash flow.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Significant under-utilization of certain assets could significantly reduce PAA’s profitability due to fixed costs incurred to obtain the right to use such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in connection with its business, PAA may lease or otherwise secure the right to use certain assets (such as railcars, trucks, barges, ships, pipeline capacity, storage capacity and other similar assets) with the expectation that the revenues it generates through the use of such assets will be greater than the fixed costs it incurs pursuant to the applicable leases or other arrangements. However, when such assets are not utilized or are under-utilized, PAA’s profitability could be negatively impacted because the revenues it earns are either non-existent or reduced, but it remains obligated to continue paying any applicable fixed charges, in addition to the potential of incurring other costs attributable to the non-utilization of such assets (such as maintenance, storage or other costs). Significant under-utilization of assets PAA leases or otherwise secures the right to use in connection with its business could have a significant negative impact on PAA’s profitability and cash flows.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Many of PAA’s assets have been in service for many years and require significant expenditures to maintain them or remove them from service. As a result, its maintenance, repair or asset retirement costs may increase in the future.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pipelines, terminals, storage and processing and fractionation assets are generally long-lived assets, and many of them have been in service for many years. The age and condition of its assets could result in increased maintenance, repair or asset retirement expenditures in the future. Any significant increase in these expenditures could adversely affect PAA’s results of operations, financial position or cash flows, as well as its ability to make cash distributions to its unitholders.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PAA does not own all of the land on which its pipelines and facilities are located, which could result in disruptions to its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 does not own all of the land on which its pipelines and facilities have been constructed, and therefore is potentially subject to more onerous terms and/or increased costs to retain necessary land use if PAA does not have valid rights-of-way or if such rights-of-way lapse or terminate. In some instances, PAA obtains the rights to construct and operate its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Native American landowner bars condemnation of any interest in the allotment. Consequently, the inability to condemn such allotted lands under circumstances where existing pipeline rights-of-way may soon lapse or terminate serves as an additional potential impediment for pipeline operations. Additionally, parts of PAA’s operations cross land that has historically been apportioned to various Native American/First Nations tribes, who may exercise significant jurisdiction and sovereignty over their lands. For more information, see our regulatory disclosure entitled “Indigenous Protections.” PAA cannot guarantee that it will always be able to renew existing rights-of-way or obtain new rights-of-way on favorable terms without experiencing significant delays and costs. Any loss of rights with respect to real property, through PAA’s inability to renew right-of-way contracts or otherwise, could have a material adverse effect on its business, results of operations, and financial position.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pace of development of natural gas infrastructure could have an adverse impact on expected crude oil production growth in the Permian Basin.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certain areas where PAA operates (e.g., the Permian Basin), development of natural gas infrastructure is or may be required to increase accessible supply in order to meet projected demand. Slowdowns in the development of such natural gas infrastructure, whether due to the regulatory environment, permitting process delays or lower financial investment by producers, could have an adverse impact on expected crude oil production growth. In turn, such limitations could lead to lower volumes of crude oil that PAA purchases in connection with its operations and reduced throughput on its pipelines and at its other facilities, which, depending on the impact to production growth, could have a material adverse effect on PAA’s financial position,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Laws and Regulations Impacting PAA’s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PAA’s operations are subject to laws and regulations relating to protection of the environment (people, property and natural resources), operational safety, climate change and related matters that may expose it to significant costs and liabilities. The current laws and regulations affecting PAA’s business are subject to change and in the future PAA may be subject to additional laws, executive orders and regulations, which could adversely impact PAA’s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operations involving the storage, treatment, processing, and transportation of liquid hydrocarbons, including crude oil, NGL and natural gas, are subject to stringent federal, state, and local laws and regulations governing the discharge of materials into the environment. PAA’s operations are also subject to laws and regulations relating to protection of the environment, natural resources, operational safety, climate change and related matters. Compliance with these laws and regulations may increase its overall cost of doing business, including its capital costs to construct, maintain and upgrade equipment and facilities. Also, new or additional laws and regulations, new interpretations of existing requirements or changes in PAA’s operations could trigger new permitting requirements applicable to its operations, which could result in increased costs or delays of, or denial of rights to conduct, PAA’s development programs. The failure to comply with any such laws and regulations could result in the assessment of administrative, civil, and criminal penalties, the imposition of investigatory or remedial obligations or the incurrence of capital expenditures, the costs of which may be substantial. Any such failure could also result in the imposition of restrictions, delays or cancellations in the permitting or performance of projects, or the issuance of injunctions that may subject PAA to additional operational requirements and constraints, or claims of damages to property or persons. The laws and regulations applicable to PAA’s operations are subject to change and interpretation by the relevant governmental agency, including the possibility that exemptions it currently qualifies for may be modified or changed in ways that require PAA to incur significant additional compliance costs. PAA’s business and operations may also become subject to new or additional laws or regulations. For example, certain U.S. presidential administrations have pursued regulatory agendas focused on the emission of GHGs or other pollutants that could curtail oil and natural gas production and transportation. Potential examples include laws, rules, executive orders or regulations that limit fracturing of oil and natural gas wells, restrictions on flaring and venting during natural gas production on federal properties, limitations or bans on oil and gas leases on federal lands and offshore waters, increased requirements for construction and permitting of pipeline infrastructure and LNG export facilities, and further restrictions on GHG emissions from oil and gas facilities. Any new laws, executive orders or regulations, or changes to or interpretations of existing laws or regulations, adverse to PAA could have a material adverse effect on its financial position, results of operations and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 has a history of increasing the miles of pipelines it owns, both through acquisitions and investment capital projects. PAA has also increased its terminal and storage capacity and operates several facilities on or near navigable waters and domestic water supplies. Although PAA has implemented programs intended to maintain the integrity of its assets (discussed below), as it increases the capacity of its existing assets or acquires additional assets it is at risk for an increase in the number and/or volume of releases of liquid hydrocarbons into the environment. These releases expose PAA to potentially substantial expense, including clean-up and remediation costs, fines and penalties, and third-party claims for personal injury or property damage related to past or future releases. Some of these expenses could increase by amounts disproportionately higher than the relative increase in pipeline mileage and the increase in revenues associated therewith.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 currently devotes substantial resources to comply with DOT-mandated pipeline integrity rules. The DOT regulations include requirements for the establishment of pipeline integrity management programs and for protection of HCAs where a pipeline leak or rupture could produce significant adverse consequences. Pipeline safety regulations are revised frequently. For more information, please see our regulatory disclosure entitled “Pipeline Safety/Integrity Management.” The adoption of new regulations requiring more comprehensive or stringent safety standards could require PAA to install new or modified safety controls, pursue new capital projects, or conduct maintenance programs on an accelerated basis, all of which could require PAA to incur increased operational costs that could be significant.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PAA continues to focus on pipeline and facility integrity management as a primary operational emphasis, doing so requires substantial time and resources and cannot eliminate all risk of releases. PAA has an internal review process pursuant to which it examines various aspects of its pipeline and gathering systems that are not currently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PAA may elect (as a result of its own internal initiatives) to spend substantial sums to enhance the integrity of and upgrade its pipeline systems to maintain environmental compliance and, in some cases, PAA may take pipelines out of service if it believes the cost of upgrades will exceed the value of the pipelines. PAA cannot provide any assurance as to the ultimate amount or timing of future pipeline integrity expenditures but any such expenditures could be significant. See “Environmental — General” in Note 19 to our Consolidated Financial Statements. In addition, despite PAA’s pipeline and facility integrity management efforts, it can provide no assurance that its pipelines and facilities will not experience leaks or releases or that PAA will be able to fully comply with all of the federal, state and local laws and regulations applicable to the operation of PAA’s pipelines or facilities; any such leaks or releases could be material and could have a significant adverse impact on PAA’s reputation, financial position, cash flows and ability to pay or increase distributions to its unitholders.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PAA’s assets are subject to federal, state and provincial regulation. Rate regulation or a successful challenge to the rates PAA charges on its U.S. and Canadian pipeline systems may reduce the amount of cash it generates.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U.S. interstate common carrier liquids pipelines are subject to regulation by various federal regulatory agencies, including the FERC under the ICA. The ICA requires that tariff rates and terms and conditions of service for liquids pipelines be just and reasonable and not unduly discriminatory. PAA is also subject to the Pipeline Safety Regulations of the DOT. PAA’s intrastate pipeline transportation activities are subject to various state laws and regulations as well as orders of state regulatory bodies.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PAA’s U.S. interstate common carrier liquids pipelines subject to FERC regulation under the ICA, shippers may protest its pipeline tariff filings or file complaints against its existing rates or complaints alleging that it is engaging in discriminatory behavior. The FERC can also investigate on its own initiative. Under certain circumstances, the FERC could limit PAA’s ability to set rates based on its costs, or could order PAA to reduce its rates and could require the payment of reparations to complaining shippers for up to two years prior to the complaint.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PAA routinely monitors the public filings and proceedings of other parties with the FERC and other regulatory agencies in an effort to identify issues that could potentially impact its business. Under certain circumstances PAA may choose to intervene in such third-party proceedings in order to express its support for, or its opposition to, various issues raised by the parties to such proceedings. For example, if PAA believes that a petition filed with, or order issued by, the FERC is improper, overbroad or otherwise flawed, PAA may attempt to intervene in such proceedings for the purpose of protesting such petition or order and requesting appropriate action such as a clarification, rehearing or other remedy. Despite such efforts, PAA can provide no assurance that the FERC and other agencies that regulate its business will not issue future orders or declarations that increase its costs or otherwise adversely affect its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Canadian pipelines are subject to regulation by the CER and by provincial authorities. Under the Canadian Energy Regulator Act, the CER could investigate the tariff rates or the terms and conditions of service relating to a jurisdictional pipeline on its own initiative upon the filing of a toll or tariff application, or upon the filing of a written complaint. If the CER found the rates or terms of service relating to such pipeline to be unjust or unreasonable or unjustly discriminatory, the CER could require PAA to change its rates, provide access to other shippers, or change its terms of service. A provincial authority could, on the application of a shipper or other interested party, investigate the tariff rates or PAA’s terms and conditions of service relating to its provincially-regulated proprietary pipelines. If it found PAA’s rates or terms of service to be contrary to statutory requirements, it could impose conditions it considers appropriate. A provincial authority could declare a pipeline to be a common carrier pipeline, and require PAA to change its rates, provide access to other shippers, or otherwise alter its terms of service. Any reduction in PAA’s tariff rates would result in lower revenue and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Some of PAA’s operations cross the U.S./Canada border and are subject to cross-border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cross border activities subject it to regulatory matters, including import and export licenses, trade tariffs, Canadian and U.S. customs and tax issues and toxic substance certifications. Such regulations include the USMCA and the TSCA. Violations of these licensing, trade tariff and tax reporting requirements could result in the imposition of significant administrative, civil and criminal penalties. Furthermore, Presidential Permits that allow cross-border movements of crude oil may be revoked or terminated at any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PAA’s purchases and sales of crude oil, natural gas and NGL, and hedging activities, expose it to potential regulatory risks.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FTC, the FERC and the CFTC hold statutory authority to monitor certain segments of the physical and futures energy commodities markets. These agencies have imposed broad regulations prohibiting fraud and manipulation of such markets. With regard to PAA’s physical purchases and sales of crude oil, natural gas or NGL and any related hedging activities that it undertakes, PAA is required to observe the market-related regulations enforced by these agencies, which hold substantial enforcement authority. PAA’s purchases and sales may also be subject to certain reporting and other requirements. Additionally, to the extent that PAA enters into transportation contracts with pipelines that are subject to FERC regulation, it is subject to FERC requirements related to the use of such capacity. Any failure on PAA’s part to comply with the regulations and policies of the FERC, the FTC or the CFTC could result in the imposition of civil and criminal penalties. Failure to comply with such regulations, as interpreted and enforced, could have a material adverse effect on PAA’s business, results of operations, financial condition and its ability to make cash distributions to its unitholders.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Existing or future derivatives legislation and regulations could have an adverse impact on PAA’s ability to use derivative instruments to reduce the effect of commodity price, interest rate and other risks associated with its business and increase the amount of working capital required to conduct these hedging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Dodd-Frank Wall Street Reform and Consumer Protection Act (the “Dodd-Frank Act”) established federal oversight and regulation of derivative markets and entities, such as PAA, that participate in those markets. The CFTC has promulgated implementing regulations with respect to the Dodd-Frank Act.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CFTC has designated certain interest rate swaps and credit default swaps for mandatory clearing, and the associated rules require PAA, in connection with covered derivative activities, to comply with clearing and trade-execution requirements or take steps to qualify for an exemption from such requirements. PAA does not utilize credit default swaps, and PAA qualifies for, and expects to continue to qualify for, the end-user exception from the mandatory clearing requirements for swaps entered into to hedge its interest rate risks. Should the CFTC designate commodity derivatives for mandatory clearing, PAA would expect to qualify for an end-user exception from the mandatory clearing requirements for swaps entered into to hedge its commodity price risk. However, the majority of PAA’s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banking regulators and the CFTC have adopted final rules establishing minimum margin requirements for uncleared swaps. Although PAA qualifies for the end-user exception from margin requirements for swaps entered into to hedge commercial risks, if any of its swaps do not qualify for the commercial end-user exception, or if PAA is otherwise required to post additional cash margin or collateral, it could reduce PAA’s ability to execute hedges necessary to reduce commodity price exposures and protect cash flows. Posting of additional cash margin or collateral could affect PAA’s liquidity (defined as unrestricted cash on hand plus available capacity under our credit facilities) and reduce its ability to use cash for capital expenditures or other partnership purposes.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PAA itself is not required to post additional cash margin or collateral for its derivative contracts, the banks and other derivatives dealers who are PAA’s contractual counterparties will be required to comply with other new requirements under the Dodd-Frank Act and related rules. The costs of such compliance may be passed on to customers such as PAA, thus decreasing the benefits to PAA of hedging transactions or reducing its profitability. In addition, implementation of the Dodd- Frank Act and related rules and regulations could reduce the overall liquidity and depth of the markets for financial and other derivatives PAA utilizes in connection with its business, which could expose PAA to additional risks or limit the opportunities it is able to capture by limiting the extent to which PAA is able to execute its hedging strategies.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current statutory or regulatory provisions implementing derivatives regulations could be amended, and PAA cannot predict the impact on its hedging activities of any future amendments. Any such changes could have a material adverse effect on PAA, its financial condition and its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Legislation, executive orders and regulatory initiatives relating to climate change could have a material adverse effect on PAA’s business, demand for its services, financial condition, results of operations and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adoption and implementation of any international, federal, regional or state legislation, executive actions, regulations or other regulatory and policy initiatives that impose more stringent standards for GHG emissions, restrict the areas in which the oil and gas industry may produce crude oil and natural gas or generate GHG emissions, increase scrutiny of environmental permitting or delay such permitting reviews, require enhanced disclosure of such GHG emission and other climate-related information, or promote and subsidize lower GHG emitting, alternative energy products, could result in reduced demand for crude oil and natural gas, and thus PAA’s services, as well as increase its compliance costs. Although it is not possible at this time to predict how legislation or new regulations that may be adopted to address GHG emissions and climate change could impact PAA’s business, any such future laws and regulations could have a material adverse effect on its business, demand for our services, financial condition,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2024, the SEC finalized a set of climate disclosure rules that would mandate extensive disclosure of climate-related risks, including financial impacts, physical and transition risks, climate-related governance and strategy, and GHG emissions, for all U.S.-listed public companies. Several states, including California, have passed or proposed bills requiring similar, or more extensive, climate disclosure rules. These rules have been subject to legal challenges, and in April 2024 and January 2026, the SEC and California, respectively, issued voluntary stays of their respective rules pending resolution of legal challenges. In March 2025, the SEC voted to withdraw its defense of the climate disclosure rules. Although the outcome of pending legal challenges is not yet known and the ultimate impact of these rules on PAA’s business is uncertain, compliance with the rules, if implemented, will result in additional legal, accounting and financial compliance costs. In addition, enhanced climate-related disclosure requirements could influence stakeholders and lenders to restrict or seek more stringent conditions with respect to their investments in certain carbon-intensive sectors.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Legislation, executive orders and regulatory initiatives relating to hydraulic fracturing or other hydrocarbon development activities could reduce domestic production of crude oil and natural gas.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Hydraulic fracturing is an important and common practice that is used to stimulate production of hydrocarbons from unconventional geological formations. The process involves the injection of water, sand and chemicals under pressure into the formation to fracture the surrounding rock and stimulate production, and it is typically regulated by state and provincial oil and gas commissions. Hydraulic fracturing continues to be a controversial practice, resulting in increased scrutiny and regulation of the hydraulic fracturing process, including by federal and state agencies and local municipalities. PAA does not perform hydraulic fracturing, but much of the production that flows on its assets was produced with the benefit of hydraulic fracturing. There have been a variety of legislative and regulatory proposals to prohibit, restrict, or more closely regulate various forms of hydraulic fracturing; for example, California’s Department of Conservation’s Geologic Energy Management Division issued a final regulatory statewide ban on hydraulic fracturing in October 2024. Other states require the disclosure of certain chemicals used in hydraulic fracturing and have conducted investigations into connections between hydraulic fracturing and induced seismicity. These actions, as well as any other legislation, executive orders or regulatory initiatives that curtail hydraulic fracturing or otherwise limit producers’ ability to drill or complete wells could reduce the production of crude oil and natural gas in the United States or Canada, and could thereby result in reduced demand for PAA’s transportation, terminalling and storage services as well as its merchant activities.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Laws and regulations pertaining to the protection of threatened and endangered species or to critical habitat, wetlands and natural resources could delay, restrict or prohibit PAA’s and its customers’ operations and cause PAA or its customers to incur substantial costs that may have a material adverse effect on its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United States, the ESA and comparable state laws were established to protect endangered and threatened species. Under the ESA, if a species is listed as threatened or endangered, restrictions may be imposed on activities that have the potential to adversely affect that species’ habitat. Similar protections are given to migratory birds under the Migratory Bird Treaty Act, Canada’s Species at Risk Act, and analogous provincial laws and regulations. Some of PAA’s operations are conducted in areas where protected species or their habitats are known to exist, and from time to time PAA’s development plans have been impacted in these areas. PAA may be obligated to develop and implement plans to avoid potential adverse effects to protected species and their habitats, and PAA may be delayed, restricted or prohibited from conducting operations in certain locations or during certain seasons, such as breeding and nesting seasons, when its operations could have an adverse effect on the species. Additionally, the designation of previously unprotected species or the re-designation of under-protected species as threatened or endangered in areas where PAA or its customers conduct operations could cause PAA to incur increased costs arising from species protection measures or could result in delays, restrictions or prohibitions on PAA’s customers’ development and production activities that could have a material adverse effect on its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Inherent in an Investment in PAA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Cost reimbursements due to PAA’s general partner may be substantial and will reduce PAA’s cash available for distribution to its unitholders.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making any distribution on its common units, PAA will reimburse its general partner and its affiliates, including officers and directors of its general partner, for all expenses incurred on PAA’s behalf. In addition, PAA is required to pay all direct and indirect expenses of the Plains Entities, other than income taxes of any of the PAGP Entities. The reimbursement of expenses and the payment of fees and expenses could adversely affect PAA’s ability to make distributions. PAA’s general partner has sole discretion to determine the amount of these expenses. In addition, PAA’s general partner and its affiliates may provide PAA with services for which PAA will be charged reasonable fees as determined by its general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distributions are not guaranteed and may fluctuate with PAA’s performance and the establishment of financial reserves.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distributions on PAA’s common units are dependent on the amount of cash it generates, distributions may fluctuate based on PAA’s performance, which will result in fluctuations in the amount of distributions ultimately received by AAP. The actual amount of cash that is available to be distributed each quarter will depend on numerous factors, some of which are beyond PAA’s control and the control of PAA’s general partner. Cash distributions are dependent primarily on cash flow, levels of financial reserves and working capital borrowings, and not solely on profitability, which is affected by non-cash items. PAA’s levels of financial reserves are established by its general partner and include reserves for the proper conduct of PAA’s business (including future capital expenditures and anticipated credit needs), compliance with legal or contractual obligations and funding of future distributions to its Series A and Series B preferred unitholders. Therefore, cash distributions might be made during periods when PAA records losses and might not be made during periods when it records profits.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PAA’s preferred units have rights, preferences and privileges that are not the same as, and are preferential to, the rights of holders of PAA’s common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Series A preferred units and PAA’s Series B preferred units (together, “PAA’s preferred units”) rank senior to all of PAA’s other classes or series of equity securities with respect to distribution rights and rights upon liquidation. These preferences could adversely affect the market price for PAA’s common units, or could make it more difficult for PAA to sell its common units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distributions on PAA’s preferred units accrue and are cumulative, at a fixed rate with respect to PAA’s Series A preferred units and at a floating rate with respect to PAA’s Series B preferred units. PAA’s Series A preferred units are convertible into PAA common units by the holders of such units or by PAA in certain circumstances. PAA’s Series B preferred units are not convertible into PAA common units, but are redeemable by PAA in certain circumstances. PAA’s obligation to pay distributions on PAA’s preferred units, or on the PAA common units issued following the conversion of PAA’s Series A preferred units, could impact its liquidity and reduce the amount of cash flow available for working capital, capital expenditures, growth opportunities, acquisitions, and other general partnership purposes. PAA’s obligations to the holders of PAA’s preferred units could also limit its ability to obtain additional financing or increase its borrowing costs, which could have an adverse effect on PAA’s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Tax Risks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our only cash-generating assets consist of our partnership interest in AAP and its related direct and indirect interests in PAA, our tax risks are primarily derivative of the tax risks associated with an investment in PAA.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tax treatment of PAA depends on its status as a partnership for U.S. federal income tax purposes, as well as it not being subject to a material amount of additional entity-level taxation by individual states or foreign jurisdictions. If the IRS were to treat PAA as a corporation for U.S. federal income tax purposes or if PAA becomes subject to a material amount of additional entity-level or other form of taxation for state or foreign tax purposes, it would reduce the amount of cash available for distribution to us and increase the portion of our distributions treated as taxable dividends.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we owned an approximate 85% limited partner interest in AAP, which directly owned a limited partner interest in PAA through its ownership of approximately 233.0 million PAA common units (approximately 31% of PAA’s Series A preferred units and common units combined). Accordingly, the value of our indirect investment in PAA, as well as the anticipated after-tax economic benefit of an investment in our Class A shares, depends largely on PAA being treated as a partnership for U.S. federal income tax purposes, which requires that 90% or more of PAA’s gross income for every taxable year consist of qualifying income, as defined in Section 7704 of the Code. Based on PAA’s current operations, and current U.S. Treasury Regulations, PAA believes that it is treated as a partnership rather than a corporation for such purposes; however, a change in PAA’s business could cause it to be treated as a corporation for U.S. federal income tax purposes.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Current law may change, causing PAA to be treated as a corporation for U.S. federal income tax purposes or otherwise subjecting PAA to additional entity-level taxation. In addition, several states impose and others have been evaluating ways to subject partnerships to entity-level taxation through the imposition of state income, franchise and other forms of taxation. For example, PAA is subject to entity-level tax on the portion of its income apportioned to Texas. Imposition of any similar taxes by individual states or additional federal or foreign taxes on PAA may result in a decrease in the amount of distributions AAP receives from PAA and our resulting cash flows could be reduced substantially, which would adversely affect our ability to pay distributions to our shareholders.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PAA were treated as a corporation for U.S. federal income tax purposes, it would pay U.S. federal income tax on its taxable income at the corporate tax rate and would likely pay state income taxes at varying rates. Distributions to PAA’s partners, including AAP, would generally be taxed again as corporate distributions, and no income, gains, losses or deductions would flow through to PAA’s partners. Because a tax would be imposed upon PAA as a corporation, its cash available for distribution would be substantially reduced. Therefore, treatment of PAA as a corporation would result in a material reduction in the anticipated cash flow and after-tax return to us, likely causing a substantial reduction in the value of our Class A shares.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if PAA were treated as a corporation we would not be entitled to the deductions associated with our initial acquisition of interests in AAP or subsequent exchanges of retained AAP interests and Class B shares for our Class A shares. As a result, if PAA were treated as a corporation, (i) our liability for taxes would likely be higher, further reducing our cash available for distribution, and (ii) a greater portion of the cash we are able to distribute will be treated as a taxable dividend.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tax treatment of publicly traded partnerships or an investment in PAA common units could be subject to potential legislative, judicial or administrative changes or differing interpretations, possibly applied on a retroactive basis.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present U.S. federal income tax treatment of publicly traded partnerships, including PAA, or an investment in PAA common units may be modified by administrative, legislative or judicial changes or differing interpretations at any time. Members of Congress have proposed and considered substantive changes to the existing U.S. federal income tax laws that would affect publicly traded partnerships, including proposals that would eliminate PAA’s ability to qualify for partnership tax treatment. Recent proposals have provided for the expansion of the qualifying income exception for publicly traded partnerships in certain circumstances and other proposals have provided for the total elimination of the qualifying income exception upon which PAA relies for its partnership tax treatment.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Treasury Department has issued, and in the future may issue, regulations interpreting those laws that affect publicly traded partnerships. There can be no assurance that there will not be further changes to U.S. federal income tax laws or the Treasury Department’s interpretation of the qualifying income rules in a manner that could impact PAA’s ability to qualify as a partnership in the future.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modification to the U.S. federal income tax laws and interpretations thereof may or may not be retroactively applied and could make it more difficult or impossible for PAA to meet the exception for certain publicly traded partnerships to be treated as partnerships for U.S. federal income tax purposes. We are unable to predict whether any changes or other proposals will ultimately be enacted. Any future legislative changes could negatively impact the value of our indirect investment in PAA.</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If the IRS makes audit adjustments to PAA’s income tax returns, it (and some states) may assess and collect any taxes (including any applicable penalties and interest) resulting from such audit adjustments directly from PAA, in which case PAA’s cash distribution to AAP and our cash available for distribution to our shareholders</w:t>
      </w:r>
      <w:r>
        <w:rPr>
          <w:color w:val="000000"/>
        </w:rPr>
        <w:t xml:space="preserve"> </w:t>
      </w:r>
      <w:r>
        <w:rPr>
          <w:rFonts w:ascii="Times New Roman;serif" w:hAnsi="Times New Roman;serif"/>
          <w:b/>
          <w:i/>
          <w:color w:val="000000"/>
          <w:sz w:val="20"/>
        </w:rPr>
        <w:t xml:space="preserve">might be substantially reduced.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IRS makes audit adjustments to PAA’s income tax returns, it (and some states) may assess and collect any taxes (including any applicable penalties and interest) resulting from such audit adjustments directly from PAA. To the extent possible, under these rules, PAA’s general partner may elect to either pay the taxes (including any applicable penalties and interest) directly to the IRS or, if PAA is eligible, issue a revised information statement to each unitholder and former unitholder with respect to an audited and adjusted return. Although PAA’s general partner may elect to have PAA’s unitholders and former unitholders take such audit adjustments into account and pay any resulting taxes (including applicable penalties or interest) in accordance with their interests in PAA during the tax year under audit, there can be no assurance that such election will be practical, permissible or effective in all circumstances. As a result, PAA’s current unitholders, including us through AAP, may bear some or all of the tax liability resulting from such audit adjustment, even if such unitholders did not own units in PAA during the tax year under audit. If, as a result of any such audit adjustment, PAA or AAP is required to make payments of taxes, penalties and interest, then the amount of distributions we receive from AAP could be substantially reduced, which would adversely affect our ability to pay distributions to our shareholders.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Taxable gain or loss on the sale of our Class A shares could be more or less than expected.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 holder sells our Class A shares, the holder will recognize gain or loss equal to the difference between the amount realized and the holder’s tax basis in those Class A shares. To the extent that the amount of our distributions exceeds our current and accumulated earnings and profits, the distributions will be treated as a tax free return of capital and will reduce a holder’s tax basis in the Class A shares. We did not have any earnings and profits in 2025 and we do not expect to have any earnings and profits for an extended period of time. Because our distributions in excess of our earnings and profits decrease a holder’s tax basis in Class A shares, such excess distributions will result in a corresponding increase in the amount of gain, or a corresponding decrease in the amount of loss, recognized by the holder upon the sale of the Class A shares.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current tax treatment may change, which could affect the value of our Class A shares or reduce our cash available for distribution.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expectation that tax deductions associated with our initial and subsequent acquisitions of interests in AAP (as a result of the exercise by Legacy Owners of their exchange rights) will offset all of our current taxable income for an extended period of time, and thus result in our distributions not constituting taxable dividends for an extended period of time, is based on current law with respect to the amortization of basis adjustments associated with our acquisition of interests in AAP. Changes in U.S. federal income tax law relating to such tax treatment could result in (i) our being subject to additional taxation at the entity level with the result that we would have less cash available for distribution, and (ii) a greater portion of our distributions being treated as taxable dividends. Moreover, we are subject to tax in numerous jurisdictions. Changes in current law in these jurisdictions, particularly relating to the treatment of deductions attributable to acquisitions of interests in AAP, could result in our being subject to additional taxation at the entity level with the result that we would have less cash available for distribution.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Any decrease in our Class A share price could adversely affect our amount of cash available for distribution.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certain market conditions may cause our Class A share price to decrease. If our Legacy Owners exchange their retained interests in AAP and Class B shares in us for our Class A shares at a point in time when our Class A share price is below the price at which Class A shares were sold in our initial public offering or in any subsequent exchange, the ratio of our income tax deductions to gross income would decline. This decline could result in our being subject to tax sooner than expected, our tax liability being greater than expected, or a greater portion of our distributions being treated as taxable dividends.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IRS Forms 1099-DIV that our shareholders receive from their brokers may over-report dividend income with respect to our shares for U.S. federal income tax purposes, which may result in a shareholder’s overpayment of tax. In addition, failure to report dividend income in a manner consistent with the IRS Forms 1099-DIV may cause the IRS to assert audit adjustments to a shareholder’s U.S. federal income tax return. For non-U.S. holders of our shares, brokers or other withholding agents may overwithhold taxes from dividends paid, in which case a shareholder generally would have to timely file a U.S. tax return or an appropriate claim for refund in order to claim a refund of the overwithheld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Distributions we pay with respect to our shares will constitute “dividends” for U.S. federal income tax purposes only to the extent of our current and accumulated earnings and profits. Distributions we pay in excess of our earnings and profits will not be treated as “dividends” for U.S. federal income tax purposes; instead, they will be treated first as a tax-free return of capital to the extent of a shareholder’s tax basis in their shares and then as capital gain realized on the sale or exchange of such shares. We may be unable to timely determine the portion of our distributions that is a “dividend” for U.S. federal income tax purposes, which may result in a shareholder’s overpayment of tax with respect to distribution amounts that should have been classified as a tax-free return of capital. In such a case, a shareholder generally would have to timely file an amended U.S. tax return or an appropriate claim for refund in order to obtain a refund of the overpaid tax.</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U.S. holder of our shares, the IRS Forms 1099-DIV may not be consistent with our determination of the amount that constitutes a “dividend” for U.S. federal income tax purposes or a shareholder may receive a corrected IRS Form 1099-DIV (and may therefore need to file an amended federal, state or local income tax return). We will attempt to timely notify our shareholders of available information to assist with income tax reporting (such as posting the correct information on our website). However, the information that we provide to our shareholders may be inconsistent with the amounts reported by a broker on IRS Form 1099-DIV, and the IRS may disagree with any such information and may make audit adjustments to a shareholder’s tax return.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non-U.S. holder of our shares, “dividends” for U.S. federal income tax purposes will be subject to withholding of U.S. federal income tax at a 30% rate (or such lower rate as specified by an applicable income tax treaty) unless the dividends are effectively connected with conduct of a U.S. trade or business. In the event that we are unable to timely determine the portion of our distributions that is a “dividend” for U.S. federal income tax purposes, or a shareholder’s broker or withholding agent chooses to withhold taxes from distributions in a manner inconsistent with our determination of the amount that constitutes a “dividend” for such purposes, a shareholder’s broker or other withholding agent may overwithhold taxes from distributions paid. In such a case, a shareholder generally would have to timely file a U.S. tax return or an appropriate claim for refund in order to obtain a refund of the overwithheld tax.</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1B.</w:t>
      </w:r>
      <w:r>
        <w:rPr>
          <w:color w:val="000000"/>
        </w:rPr>
        <w:t xml:space="preserve">  </w:t>
      </w:r>
      <w:r>
        <w:rPr>
          <w:rFonts w:ascii="Times New Roman;serif" w:hAnsi="Times New Roman;serif"/>
          <w:b/>
          <w:i/>
          <w:color w:val="000000"/>
          <w:sz w:val="20"/>
        </w:rPr>
        <w:t>Unresolved Staff Comments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1C. </w:t>
      </w:r>
      <w:r>
        <w:rPr>
          <w:rFonts w:ascii="Times New Roman;serif" w:hAnsi="Times New Roman;serif"/>
          <w:b/>
          <w:i/>
          <w:color w:val="000000"/>
          <w:sz w:val="20"/>
        </w:rPr>
        <w:t>Cybersecurity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Description of Cybersecurity Risk Management and Strategy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assess, identify and manage material cybersecurity risks, we have endeavored to implement policies, standards and technical controls with the aim of protecting our information technology (“IT”) and operational technology (“OT”) systems (collectively, our “IT systems”). These standards are guided, in part, by the relevant National Institute of Standards and Technology and American Petroleum Institute frameworks. We use various internal and third-party tools, security measures and technologies to aid in seeking to protect our network perimeter and internal systems from unauthorized access, intrusion or disruption. Regular assessments are conducted across our systems, networks and data infrastructure to identify potential cybersecurity threats and vulnerabilities. In addition, a monitoring and detection system has been implemented to help identify cybersecurity threats and incidents. Our cybersecurity program also focuses on providing training and awareness to our employees and contractors on cybersecurity best practices.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engage assessors, consultants, auditors and other third parties in connection with the above processes. We recognize that third-party service providers may introduce cybersecurity risks. In an effort to mitigate these risks, we have established a process to assess and oversee the cybersecurity practices of our vendors. Before engaging with third-party service providers, we conduct due diligence to evaluate their cybersecurity capabilities and potential vulnerabilities. Additionally, we endeavor to include cybersecurity requirements in our contracts with these providers, including adherence to specific security practices and protocols.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above cybersecurity risk management processes are integrated into our overall risk management program. Cybersecurity threats are understood to be dynamic and to intersect with various other enterprise risks. As such, cybersecurity is considered an integral component of our enterprise-wide risk management approach. As of the date of this Report, we are not aware of any previous cybersecurity threats that have materially affected or are reasonably likely to materially affect the Partnership.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Despite the implementation of our cybersecurity programs, our security measures cannot guarantee that a significant cyberattack will not occur. A successful attack on our IT systems or those of our vendors could have significant consequences to our business. While we devote resources to our security measures to protect our systems and information, these measures cannot provide absolute security. See “Item 1A. Risk Factors” for additional information about the risks to our business associated with a breach or compromise to our IT systems.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Cybersecurity Program Governance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cybersecurity program is led by our Vice President of Information Services, North America, who reports directly to our CFO and oversees the dedicated team responsible for executing our cybersecurity strategy, including the primary assessment and management of cybersecurity risks. Our cybersecurity leadership team also includes our Senior Director, Enterprise Technology, our Director, Cybersecurity and Technology Risk, and other senior leaders from our Information Services team. The Board receives quarterly updates on material security incidents (if applicable), detection, monitoring, and other key initiatives and notable events from our Vice President of Information Services – North America.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facilitate effective management, our cybersecurity leadership team holds regular discussions with our dedicated cybersecurity team on cybersecurity risks, threat intelligence, incident trends, security audits, and the effectiveness of our training and testing. Our cybersecurity leadership team convenes regularly to review and monitor programs designed to prevent and detect cybersecurity threats and mitigate and remediate cybersecurity incidents. Our cybersecurity leadership team also receives comprehensive reports on security incidents, threat intelligence, and vulnerability assessments from our cybersecurity team.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cybersecurity leadership team is made up of highly experienced professionals with extensive backgrounds in information security, risk management, and incident response, including our Vice President of Information Services – North America, our Senior Director, Enterprise Technology and our Director, Cybersecurity and Technology Risk. Our Vice President of Information Services – North America has been with Plains for over 15 years and has over 25 years’ experience in technology infrastructure and security including senior management level oversight of cybersecurity for organizations in both the health care and oil and gas industries. Our Senior Director, Enterprise Technology reports to the Vice President, Information Services – North America and has accountability for core enterprise technology platforms, including hosting, networks, data platforms, and cybersecurity programs. This individual has over 20 years of experience in the information services industry, including experience with cyber incident detection and response. The Director, Cybersecurity and Technology Risk has responsibility for oversight of cybersecurity strategy across IT and OT environments, implementation of programs aligned with recognized frameworks, and implementation of key security controls. This individual has more than 20 years of experience in enterprise cybersecurity, OT security, and critical infrastructure risk management at publicly traded companies and holds multiple industry-recognized certifications in information security, audit, privacy, and enterprise IT governance. In addition to having the requisite training, knowledge, skills and abilities required for their respective positions, the cybersecurity leadership team collectively holds various relevant U.S. and Canadian information security certifications. The cybersecurity leadership team is supported by a dedicated team of skilled cybersecurity professionals, each bringing diverse expertise in areas such as network security, data protection, and threat intelligence.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3.  </w:t>
      </w:r>
      <w:r>
        <w:rPr>
          <w:rFonts w:ascii="Times New Roman;serif" w:hAnsi="Times New Roman;serif"/>
          <w:b/>
          <w:i/>
          <w:color w:val="000000"/>
          <w:sz w:val="20"/>
        </w:rPr>
        <w:t>Legal Proceedings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included in Note 19 to our Consolidated Financial Statements, and is incorporated herein by reference thereto.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4. </w:t>
      </w:r>
      <w:r>
        <w:rPr>
          <w:rFonts w:ascii="Times New Roman;serif" w:hAnsi="Times New Roman;serif"/>
          <w:b/>
          <w:i/>
          <w:color w:val="000000"/>
          <w:sz w:val="20"/>
        </w:rPr>
        <w:t>Mine Safety Disclosures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5.  </w:t>
      </w:r>
      <w:r>
        <w:rPr>
          <w:rFonts w:ascii="Times New Roman;serif" w:hAnsi="Times New Roman;serif"/>
          <w:b/>
          <w:i/>
          <w:color w:val="000000"/>
          <w:sz w:val="20"/>
        </w:rPr>
        <w:t>Market for Registrant’s Shares, Related Shareholder Matters and Issuer Purchases of Equity Securities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 Information, Holders and Distributions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Class A shares are listed and traded on Nasdaq under the symbol “PAGP.” As of February 20, 2026, there were 197,904,124 Class A shares outstanding and approximately 99,800 record holders and beneficial owners (held in street name).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cash distributions per Class A share pertaining to the quarter presented, which were declared and paid in the following calendar quarter (see the “Cash Distribution Policy” section below for a discussion of our policy regarding distribution payments):</w:t>
      </w:r>
    </w:p>
    <w:p>
      <w:pPr>
        <w:pStyle w:val="TextBody"/>
        <w:bidi w:val="0"/>
        <w:spacing w:before="0" w:after="0"/>
        <w:ind w:left="0" w:right="0" w:firstLine="720"/>
        <w:jc w:val="left"/>
        <w:rPr/>
      </w:pPr>
      <w:r>
        <w:rPr/>
      </w:r>
    </w:p>
    <w:tbl>
      <w:tblPr>
        <w:tblW w:w="6337" w:type="dxa"/>
        <w:jc w:val="center"/>
        <w:tblInd w:w="0" w:type="dxa"/>
        <w:tblLayout w:type="fixed"/>
        <w:tblCellMar>
          <w:top w:w="28" w:type="dxa"/>
          <w:left w:w="28" w:type="dxa"/>
          <w:bottom w:w="28" w:type="dxa"/>
          <w:right w:w="28" w:type="dxa"/>
        </w:tblCellMar>
      </w:tblPr>
      <w:tblGrid>
        <w:gridCol w:w="196"/>
        <w:gridCol w:w="172"/>
        <w:gridCol w:w="173"/>
        <w:gridCol w:w="222"/>
        <w:gridCol w:w="759"/>
        <w:gridCol w:w="114"/>
        <w:gridCol w:w="109"/>
        <w:gridCol w:w="109"/>
        <w:gridCol w:w="109"/>
        <w:gridCol w:w="255"/>
        <w:gridCol w:w="873"/>
        <w:gridCol w:w="132"/>
        <w:gridCol w:w="109"/>
        <w:gridCol w:w="109"/>
        <w:gridCol w:w="109"/>
        <w:gridCol w:w="234"/>
        <w:gridCol w:w="800"/>
        <w:gridCol w:w="121"/>
        <w:gridCol w:w="109"/>
        <w:gridCol w:w="109"/>
        <w:gridCol w:w="109"/>
        <w:gridCol w:w="253"/>
        <w:gridCol w:w="867"/>
        <w:gridCol w:w="185"/>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First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Fourth Quarter</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0.3800 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0.4175 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2024</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Class A shares are also used as a form of compensation to our directors. See Note 18 to our Consolidated Financial Statements for additional information regarding our equity-indexed compensation plans.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Class B shares and Class C shares are not listed or traded on any stock exchange.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Performance Graph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the total unitholder return performance of our Class A shares with the performance of: (i) the Standard &amp; Poor’s 500 Stock Index (“S&amp;P 500”) and (ii) the Alerian Midstream Energy Index (“AMNA”). The AMNA is a broad-based composite of North American energy infrastructure companies that provides investors with a comprehensive benchmark for this asset class. The graph assumes that $100 was invested in our Class A shares and each comparison index beginning on December 31, 2020 and that all distributions were reinvested on a quarterly basis.</w:t>
      </w:r>
    </w:p>
    <w:p>
      <w:pPr>
        <w:pStyle w:val="TextBody"/>
        <w:bidi w:val="0"/>
        <w:spacing w:before="0" w:after="0"/>
        <w:ind w:left="0" w:right="0" w:firstLine="720"/>
        <w:jc w:val="left"/>
        <w:rPr/>
      </w:pPr>
      <w:r>
        <w:rPr/>
      </w:r>
    </w:p>
    <w:p>
      <w:pPr>
        <w:pStyle w:val="TextBody"/>
        <w:bidi w:val="0"/>
        <w:spacing w:before="0" w:after="0"/>
        <w:jc w:val="center"/>
        <w:rPr/>
      </w:pPr>
      <w:r>
        <w:rPr/>
        <w:drawing>
          <wp:inline distT="0" distB="0" distL="0" distR="0">
            <wp:extent cx="6496050" cy="3238500"/>
            <wp:effectExtent l="0" t="0" r="0" b="0"/>
            <wp:docPr id="7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 descr=""/>
                    <pic:cNvPicPr>
                      <a:picLocks noChangeAspect="1" noChangeArrowheads="1"/>
                    </pic:cNvPicPr>
                  </pic:nvPicPr>
                  <pic:blipFill>
                    <a:blip r:embed="rId6"/>
                    <a:stretch>
                      <a:fillRect/>
                    </a:stretch>
                  </pic:blipFill>
                  <pic:spPr bwMode="auto">
                    <a:xfrm>
                      <a:off x="0" y="0"/>
                      <a:ext cx="6496050" cy="3238500"/>
                    </a:xfrm>
                    <a:prstGeom prst="rect">
                      <a:avLst/>
                    </a:prstGeom>
                  </pic:spPr>
                </pic:pic>
              </a:graphicData>
            </a:graphic>
          </wp:inline>
        </w:drawing>
      </w:r>
      <w:bookmarkStart w:id="4" w:name="i-5"/>
      <w:bookmarkEnd w:id="4"/>
    </w:p>
    <w:tbl>
      <w:tblPr>
        <w:tblW w:w="9093" w:type="dxa"/>
        <w:jc w:val="center"/>
        <w:tblInd w:w="0" w:type="dxa"/>
        <w:tblLayout w:type="fixed"/>
        <w:tblCellMar>
          <w:top w:w="28" w:type="dxa"/>
          <w:left w:w="28" w:type="dxa"/>
          <w:bottom w:w="28" w:type="dxa"/>
          <w:right w:w="28" w:type="dxa"/>
        </w:tblCellMar>
      </w:tblPr>
      <w:tblGrid>
        <w:gridCol w:w="303"/>
        <w:gridCol w:w="267"/>
        <w:gridCol w:w="27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12/31/2024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12/31/2025</w:t>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PAGP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our IPO and related transactions, the former owners of Plains All American GP LLC (the “Legacy Owners”) acquired the following interests (collectively, the “Stapled Interests”): (i) Class A units of AAP (“AAP units”) representing an economic limited partner interest in AAP; (ii) 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December 31, 2025, certain Legacy Owners or their permitted transferees exercised the Exchange Right, which resulted in the issuance of 16,000 Class A shares. The issuance of Class A shares in connection with the exercise of the Exchange Right was exempt from the registration requirements of the Securities Act of 1933, as amended, pursuant to Section 4(a)(2) thereof.</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Distribution Policy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partnership agreement requires that, within 55 days following the end of each quarter, we distribute all of our available cash to Class A shareholders of record on the applicable record date. Available cash generally means, for any quarter ending prior to liquidation, all cash and cash equivalents on hand on the date of determination of available cash for the distribution in respect of such quarter (including expected distributions from AAP in respect of such quarter), less the amount of cash reserves established by our general partner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comply with applicable law or any agreement binding upon us or our subsidiaries (exclusive of PAA and its subsidiaries);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provide funds for future distributions to shareholders;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provide for future capital expenditures, debt service and other credit needs as well as any federal, state, provincial or other income tax that may affect us in the future;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provide for our general, administrative or other expenses;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provide for the proper conduct of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principal source of cash flow is derived from our indirect investment in PAA. As of December 31, 2025, we owned approximately 197.9 million AAP units, which represented an approximate 85% limited partner interest in AAP. AAP currently receives all of its cash flows from its ownership of PAA common units. Therefore, our cash flow and resulting ability to make distributions is dependent upon the ability of PAA to make distributions to AAP in respect of the common units AAP owns. As of December 31, 2025, AAP owned approximately 233.0 million PAA common units. The actual amount of cash that PAA, and correspondingly AAP, will have available for distribution will primarily depend on the amount of cash PAA generates from its operations. Also, under the terms of the agreements governing PAA’s debt, PAA is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Commercial Paper Program, Term Loan and Indentures.”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general partner owns a non-economic general partner interest in us, which does not entitle it to receive cash distributions.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pPr>
      <w:r>
        <w:rPr>
          <w:rFonts w:ascii="Times New Roman;serif" w:hAnsi="Times New Roman;serif"/>
          <w:b/>
          <w:color w:val="000000"/>
          <w:sz w:val="20"/>
        </w:rPr>
        <w:t>Item 7.</w:t>
      </w:r>
      <w:r>
        <w:rPr>
          <w:color w:val="000000"/>
        </w:rPr>
        <w:t xml:space="preserve">   </w:t>
      </w:r>
      <w:r>
        <w:rPr>
          <w:rFonts w:ascii="Times New Roman;serif" w:hAnsi="Times New Roman;serif"/>
          <w:b/>
          <w:i/>
          <w:color w:val="000000"/>
          <w:sz w:val="20"/>
        </w:rPr>
        <w:t>Management’s Discussion and Analysis of Financial Condition and Results of Operations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is intended to provide investors with an understanding of our financial condition and results of our operations and should be read in conjunction with our historical Consolidated Financial Statements and accompanying notes. Unless the context otherwise requires, references to “we,” “us,” “our,” and “PAGP” are intended to mean the business and operations of PAGP and its consolidated subsidiaries.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includes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Executive Summary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Results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Liquidity and Capital Resources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Critical Accounting Policies and Estimates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comparative discussion of our 2024 to 2023 operating results and performance measures can be found in Item 7. “Management’s Discussion and Analysis of Financial Condition and Results of Operations—Results of Operations” included in our Annual Report on Form 10-K for the year ended December 31, 2024 filed with the SEC on February 28,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Company Overview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Delaware limited partnership formed in 2013 that has elected to be taxed as a corporation for United States federal income tax purposes. As of December 31, 2025, our sole cash-generating assets consisted of an approximate 85% limited partner interest in AAP through our ownership of approximately 197.9 million AAP units. We also own a 100% managing member interest in GP LLC. GP LLC is a Delaware limited liability company that holds the non-economic general partner interest in AAP. AAP is a Delaware limited partnership that, as of December 31, 2025, directly owned a limited partner interest in PAA through its ownership of approximately 233.0 million PAA common units (approximately 31% of PAA’s total outstanding common units and Series A preferred units combined). AAP is the sole member of PAA GP, a Delaware limited liability company that directly holds the non-economic general partner interest in PAA.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producing basins (including the Permian Basin) and transportation corridors and at major market hubs in the United States and Canada. PAA’s assets and the services it provides are primarily focused on crude oil and, to a lesser extent, NGL.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Pending Sale of Canadian NGL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17, 2025, PAA entered into a definitive SPA with Keyera, pursuant to which Keyera agreed to acquire all of the issued and outstanding shares of PMC ULC, PAA’s wholly-owned subsidiary that owns substantially all of the Canadian NGL Business. This transaction supports our strategic objective to focus on our core midstream crude oil operations and to reduce exposure to commodity price fluctuations and seasonality. We will divest the Canadian NGL Business as part of the sale, which includes substantially all of our NGL assets; the assets that we will retain are located in the United States. This transaction is expected to close around the end of the first quarter of 2026, subject to the satisfaction or waiver of customary closing conditions, including receipt of regulatory approvals. We determined that in conjunction with entering into the SPA, the operations of the Canadian NGL Business meet the criteria for classification as held for sale and for discontinued operations reporting, as the sale will represent a strategic shift that will have a major effect on our operations and financial results. We have applied these changes retrospectively to all periods presented. See Note 1 and Note 3 to our Consolidated Financial Statements for additional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the discussion below relates to our continuing operations and excludes amounts related to discontinued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Market Overview and Outlook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Crude oil and other petroleum liquids are supplied to the global market by producers around the world, with the majority coming from the Organization of Petroleum Exporting Countries (“OPEC”), North American producers and the Russian Federation, among others. The chart below depicts the relationship between global supply of crude oil and other petroleum liquids and demand since the beginning of 2021 and the U.S. Energy Information Administration’s (“EIA”) Short-Term Energy Outlook as of January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pPr>
      <w:r>
        <w:rPr>
          <w:rFonts w:ascii="Times New Roman;serif" w:hAnsi="Times New Roman;serif"/>
          <w:b/>
          <w:color w:val="000000"/>
          <w:sz w:val="20"/>
        </w:rPr>
        <w:t xml:space="preserve">World Liquid Fuels Production and Consumption Balance </w:t>
      </w:r>
      <w:r>
        <w:rPr>
          <w:rFonts w:ascii="Times New Roman;serif" w:hAnsi="Times New Roman;serif"/>
          <w:b/>
          <w:color w:val="000000"/>
          <w:sz w:val="13"/>
        </w:rPr>
        <w:t>(1)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of barrels per day)</w:t>
      </w:r>
    </w:p>
    <w:p>
      <w:pPr>
        <w:pStyle w:val="TextBody"/>
        <w:bidi w:val="0"/>
        <w:spacing w:before="0" w:after="0"/>
        <w:jc w:val="center"/>
        <w:rPr/>
      </w:pPr>
      <w:r>
        <w:rPr/>
      </w:r>
    </w:p>
    <w:p>
      <w:pPr>
        <w:pStyle w:val="TextBody"/>
        <w:bidi w:val="0"/>
        <w:spacing w:before="0" w:after="0"/>
        <w:jc w:val="center"/>
        <w:rPr/>
      </w:pPr>
      <w:r>
        <w:rPr/>
        <w:drawing>
          <wp:inline distT="0" distB="0" distL="0" distR="0">
            <wp:extent cx="5486400" cy="3295650"/>
            <wp:effectExtent l="0" t="0" r="0" b="0"/>
            <wp:docPr id="7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 descr=""/>
                    <pic:cNvPicPr>
                      <a:picLocks noChangeAspect="1" noChangeArrowheads="1"/>
                    </pic:cNvPicPr>
                  </pic:nvPicPr>
                  <pic:blipFill>
                    <a:blip r:embed="rId7"/>
                    <a:stretch>
                      <a:fillRect/>
                    </a:stretch>
                  </pic:blipFill>
                  <pic:spPr bwMode="auto">
                    <a:xfrm>
                      <a:off x="0" y="0"/>
                      <a:ext cx="5486400" cy="3295650"/>
                    </a:xfrm>
                    <a:prstGeom prst="rect">
                      <a:avLst/>
                    </a:prstGeom>
                  </pic:spPr>
                </pic:pic>
              </a:graphicData>
            </a:graphic>
          </wp:inline>
        </w:drawing>
      </w:r>
      <w:bookmarkStart w:id="5" w:name="i-6"/>
      <w:bookmarkEnd w:id="5"/>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Barrels produced and consumed per quarter.</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the combination of population growth and progressively improving living standards for non-OECD (Organization for Economic Cooperation and Development) countries underpins increasing energy demand globally for decades to come. We believe reliable, affordable, and responsible energy resources are all critical components to maintain energy security and global stability, requiring all sources of energy including both hydrocarbons and renewables.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depicted in EIA’s Short-Term Energy Outlook (chart above), we expect crude oil demand to continue increasing, driven largely by our view that hydrocarbon-based fuels are the most efficient fuels for the transportation of people and goods, and hydrocarbon-based products provide the building blocks for modern civilization such as fertilizers, plastics and cement. While the market is well supplied near-term, we believe geopolitical risk and uncertainty around OPEC’s ability to continue increasing production may present a more constructive outlook for global supply/demand compared to the current EIA forecast into 2027.</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North America has proven to be an essential and reliable source of crude oil and NGL production growth for the global market. This is driven by the lifting of the U.S. crude oil export ban, infrastructure debottlenecking in both the U.S. and Canada, and world-class geological formations unlocked through technological improvements and techniques.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Permian Basin continues to be one of the most prolific basins in the world and was the predominant driver of U.S. production growth in 2025. We expect the Permian Basin to be a key contributor to global supply for years to come, based on strong economics and the recent wave of consolidation leading to more stable activity levels over a wide range of commodity price environments.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It is against this macro energy market backdrop that we expect to generate significant positive free cash flow on a multi-year basis, supported by our existing asset base and integrated business model. Our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Overview of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net income of $1.686 billion for the year ended December 31, 2025 compared to net income of $1.070 billion for the year ended December 31, 2024. See the “—Results of Operations” section below for discussion of significant drivers of our results from continuing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Consolidated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an overview of our consolidated financial results calculated in accordance with GAAP (in millions, except per share data):</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762"/>
        <w:gridCol w:w="1518"/>
        <w:gridCol w:w="1527"/>
        <w:gridCol w:w="211"/>
        <w:gridCol w:w="721"/>
        <w:gridCol w:w="109"/>
        <w:gridCol w:w="109"/>
        <w:gridCol w:w="109"/>
        <w:gridCol w:w="109"/>
        <w:gridCol w:w="211"/>
        <w:gridCol w:w="721"/>
        <w:gridCol w:w="109"/>
        <w:gridCol w:w="109"/>
        <w:gridCol w:w="109"/>
        <w:gridCol w:w="109"/>
        <w:gridCol w:w="109"/>
        <w:gridCol w:w="109"/>
        <w:gridCol w:w="109"/>
        <w:gridCol w:w="109"/>
        <w:gridCol w:w="109"/>
        <w:gridCol w:w="211"/>
        <w:gridCol w:w="686"/>
        <w:gridCol w:w="109"/>
        <w:gridCol w:w="109"/>
        <w:gridCol w:w="109"/>
        <w:gridCol w:w="109"/>
        <w:gridCol w:w="233"/>
        <w:gridCol w:w="233"/>
        <w:gridCol w:w="318"/>
      </w:tblGrid>
      <w:tr>
        <w:trPr/>
        <w:tc>
          <w:tcPr>
            <w:tcW w:w="176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111" w:type="dxa"/>
            <w:gridSpan w:val="6"/>
            <w:tcBorders/>
          </w:tcPr>
          <w:p>
            <w:pPr>
              <w:pStyle w:val="TableContents"/>
              <w:bidi w:val="0"/>
              <w:spacing w:before="0" w:after="283"/>
              <w:jc w:val="left"/>
              <w:rPr>
                <w:sz w:val="4"/>
                <w:szCs w:val="4"/>
              </w:rPr>
            </w:pPr>
            <w:r>
              <w:rPr>
                <w:sz w:val="4"/>
                <w:szCs w:val="4"/>
              </w:rPr>
            </w:r>
          </w:p>
        </w:tc>
      </w:tr>
      <w:tr>
        <w:trPr/>
        <w:tc>
          <w:tcPr>
            <w:tcW w:w="4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Variance</w:t>
            </w:r>
          </w:p>
        </w:tc>
        <w:tc>
          <w:tcPr>
            <w:tcW w:w="1111" w:type="dxa"/>
            <w:gridSpan w:val="6"/>
            <w:tcBorders/>
          </w:tcPr>
          <w:p>
            <w:pPr>
              <w:pStyle w:val="TableContents"/>
              <w:bidi w:val="0"/>
              <w:spacing w:before="0" w:after="283"/>
              <w:jc w:val="left"/>
              <w:rPr>
                <w:sz w:val="4"/>
                <w:szCs w:val="4"/>
              </w:rPr>
            </w:pPr>
            <w:r>
              <w:rPr>
                <w:sz w:val="4"/>
                <w:szCs w:val="4"/>
              </w:rPr>
            </w:r>
          </w:p>
        </w:tc>
      </w:tr>
      <w:tr>
        <w:trPr/>
        <w:tc>
          <w:tcPr>
            <w:tcW w:w="4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Gains/(losses) on asset sales, asset impairments and 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investments in unconsolidated entities,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net of tax</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Income from discontinued operations, net of tax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net income per Class A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net income per Class A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weighted average Class A shares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 net income per Class A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 net income per Class A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 weighted average Class A shares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60"/>
        <w:ind w:left="0" w:right="0" w:hanging="72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See Note 3 to our Consolidated Financial Statements for a reconciliation of the line items comprising income from discontinued operations, net of tax.</w:t>
      </w:r>
    </w:p>
    <w:p>
      <w:pPr>
        <w:pStyle w:val="TextBody"/>
        <w:bidi w:val="0"/>
        <w:spacing w:before="0" w:after="0"/>
        <w:ind w:left="0" w:right="0" w:hanging="810"/>
        <w:jc w:val="left"/>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Continuing Operations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discussion of our results of operations focuses on PAA’s continuing operations.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Revenues and Purchases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Fluctuations in our revenues and purchases and related costs are primarily associated with our merchant activities and are generally explained by changes in commodity prices and the impact of gains and losses related to derivative instruments used to manage our commodity price exposure. Because both product sales revenues and purchases and related costs are generally based off of the same pricing indices, the market price of the commodities will not necessarily have an impact on the absolute margins related to those sales and purchases.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majority of our crude oil sales and purchases are indexed to the prompt month price of the NYMEX Light, Sweet crude oil futures contract (“NYMEX Price”). The following table presents the range of the NYMEX Price over the last two years (in dollars per barrel):</w:t>
      </w:r>
    </w:p>
    <w:p>
      <w:pPr>
        <w:pStyle w:val="TextBody"/>
        <w:bidi w:val="0"/>
        <w:spacing w:before="0" w:after="0"/>
        <w:ind w:left="0" w:right="0" w:firstLine="720"/>
        <w:jc w:val="both"/>
        <w:rPr/>
      </w:pPr>
      <w:r>
        <w:rPr/>
      </w:r>
    </w:p>
    <w:tbl>
      <w:tblPr>
        <w:tblW w:w="5988" w:type="dxa"/>
        <w:jc w:val="center"/>
        <w:tblInd w:w="0" w:type="dxa"/>
        <w:tblLayout w:type="fixed"/>
        <w:tblCellMar>
          <w:top w:w="28" w:type="dxa"/>
          <w:left w:w="28" w:type="dxa"/>
          <w:bottom w:w="28" w:type="dxa"/>
          <w:right w:w="28" w:type="dxa"/>
        </w:tblCellMar>
      </w:tblPr>
      <w:tblGrid>
        <w:gridCol w:w="1043"/>
        <w:gridCol w:w="917"/>
        <w:gridCol w:w="919"/>
        <w:gridCol w:w="109"/>
        <w:gridCol w:w="109"/>
        <w:gridCol w:w="109"/>
        <w:gridCol w:w="211"/>
        <w:gridCol w:w="361"/>
        <w:gridCol w:w="109"/>
        <w:gridCol w:w="109"/>
        <w:gridCol w:w="109"/>
        <w:gridCol w:w="109"/>
        <w:gridCol w:w="211"/>
        <w:gridCol w:w="361"/>
        <w:gridCol w:w="109"/>
        <w:gridCol w:w="109"/>
        <w:gridCol w:w="109"/>
        <w:gridCol w:w="109"/>
        <w:gridCol w:w="222"/>
        <w:gridCol w:w="380"/>
        <w:gridCol w:w="16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NYMEX Price</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During the 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r>
      <w:tr>
        <w:trPr/>
        <w:tc>
          <w:tcPr>
            <w:tcW w:w="2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Product sales revenues (including the impact of derivative mark-to-market valuations) and purchases decreased for the year ended December 31, 2025 compared to the year ended December 31, 2024 primarily due to lower commodity prices in 2025, partially offset by higher crude oil sales volumes in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from services increased for the year ended December 31, 2025 compared to the year ended December 31, 2024 primarily due to higher pipeline volumes and tariff escalations, as well as the impact of recently completed acquisitions, partially offset by the impact from lower commodity prices in 2025 and the impact from certain Permian long-haul pipeline contract rates resetting to market in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further discussion of net revenues (revenues less purchases and related costs) in the “—Analysis of Operating Segments” section below.</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Field Operating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discussion of field operating costs in the “—Analysis of Operating Segments”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General and Administrative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general and administrative expenses for the year ended December 31, 2025 compared to the year ended December 31, 2024 was primarily due to transaction costs associated with our recent acquisitions, partially offset by lower information systems costs due to the completion of certain systems conversion and integration work.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Depreciation and Amortization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depreciation and amortization expense for the year ended December 31, 2025 compared to the year ended December 31, 2024 was largely driven by recently completed acquisitions. See Note 8 to our Consolidated Financial Statements for additional information regarding our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Gains/(Losses) on Asset Sales, Asset Impairments and Other,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 gain on asset sales, asset impairments and other, net for the year ended December 31, 2025 was primarily due to gains recognized during the year on various asset divestitures. In addition, in connection with the pending sale of the Canadian NGL Business, we entered into a deal-contingent forward currency instrument to hedge the currency exchange risk associated with the sale in CAD. The year ended December 31, 2025 was impacted by the mark-to-market of this instrument. See Note 13 to our Consolidated Financial Statements for additional information regarding this instrument and our derivatives and hedging activities. See Note 1 to our Consolidated Financial Statements for additional information regarding the pending sale of the Canadian NGL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 loss on asset sales, asset impairments and other, net for the year ended December 31, 2024 was primarily due to non-cash charges related to the write-down of certain of our long-lived U.S. terminal assets included in our NGL segment due to asset impairments and accelerated depreciation in the fourth quarter of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7 and Note 8 to our Consolidated Financial Statements for additional information regarding these asset sales and asset impairments.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Equity Earnings in Unconsolidated Entities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discussion of equity earnings in unconsolidated entities in the “—Analysis of Operating Segments”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Gain on Investments in Unconsolidated Entities,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2025, we recognized a gain of $31 million related to our acquisition of the remaining 50% interest in Cheyenne Pipeline LLC through a non-monetary transaction.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2024, we recognized a gain of $15 million related to our acquisition of the remaining 50% interest in Midway Pipeline LLC.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See Note 8 to our Consolidated Financial Statements for additional information regarding these transactions.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impacting Interest expense, net (in millions):</w:t>
      </w:r>
    </w:p>
    <w:p>
      <w:pPr>
        <w:pStyle w:val="TextBody"/>
        <w:bidi w:val="0"/>
        <w:spacing w:before="0" w:after="0"/>
        <w:ind w:left="0" w:right="0" w:firstLine="720"/>
        <w:jc w:val="left"/>
        <w:rPr/>
      </w:pPr>
      <w:r>
        <w:rPr/>
      </w:r>
    </w:p>
    <w:tbl>
      <w:tblPr>
        <w:tblW w:w="5298" w:type="dxa"/>
        <w:jc w:val="left"/>
        <w:tblInd w:w="0" w:type="dxa"/>
        <w:tblLayout w:type="fixed"/>
        <w:tblCellMar>
          <w:top w:w="28" w:type="dxa"/>
          <w:left w:w="28" w:type="dxa"/>
          <w:bottom w:w="28" w:type="dxa"/>
          <w:right w:w="28" w:type="dxa"/>
        </w:tblCellMar>
      </w:tblPr>
      <w:tblGrid>
        <w:gridCol w:w="1032"/>
        <w:gridCol w:w="905"/>
        <w:gridCol w:w="912"/>
        <w:gridCol w:w="109"/>
        <w:gridCol w:w="109"/>
        <w:gridCol w:w="109"/>
        <w:gridCol w:w="349"/>
        <w:gridCol w:w="210"/>
        <w:gridCol w:w="211"/>
        <w:gridCol w:w="179"/>
        <w:gridCol w:w="179"/>
        <w:gridCol w:w="179"/>
        <w:gridCol w:w="349"/>
        <w:gridCol w:w="189"/>
        <w:gridCol w:w="277"/>
      </w:tblGrid>
      <w:tr>
        <w:trPr/>
        <w:tc>
          <w:tcPr>
            <w:tcW w:w="103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Interest expense on borrowings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The increase in interest expense for the year ended December 31, 2025 compared to 2024 was primarily driven by (i) PAA’s issuance of an aggregate of $3.0 billion of senior notes during 2025 and (ii) PAA’s higher commercial paper and term loan borrowings in 2025, primarily related to the funding of the EPIC acquisition, partially offset by (iii) PAA’s repayment of $1.0 billion of senior notes in October 2025. See Note 11 to our Consolidated Financial Statements for additional information regarding debt and related activities during the periods presented. See Note 8 to our Consolidated Financial Statements for additional information regarding the EPIC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Other Income/(Expense),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impacting Other income, net (in millions):</w:t>
      </w:r>
    </w:p>
    <w:p>
      <w:pPr>
        <w:pStyle w:val="TextBody"/>
        <w:bidi w:val="0"/>
        <w:spacing w:before="0" w:after="0"/>
        <w:ind w:left="0" w:right="0" w:firstLine="720"/>
        <w:jc w:val="left"/>
        <w:rPr/>
      </w:pPr>
      <w:r>
        <w:rPr/>
      </w:r>
    </w:p>
    <w:tbl>
      <w:tblPr>
        <w:tblW w:w="6180" w:type="dxa"/>
        <w:jc w:val="left"/>
        <w:tblInd w:w="0" w:type="dxa"/>
        <w:tblLayout w:type="fixed"/>
        <w:tblCellMar>
          <w:top w:w="28" w:type="dxa"/>
          <w:left w:w="28" w:type="dxa"/>
          <w:bottom w:w="28" w:type="dxa"/>
          <w:right w:w="28" w:type="dxa"/>
        </w:tblCellMar>
      </w:tblPr>
      <w:tblGrid>
        <w:gridCol w:w="1304"/>
        <w:gridCol w:w="1145"/>
        <w:gridCol w:w="1151"/>
        <w:gridCol w:w="109"/>
        <w:gridCol w:w="109"/>
        <w:gridCol w:w="109"/>
        <w:gridCol w:w="248"/>
        <w:gridCol w:w="425"/>
        <w:gridCol w:w="127"/>
        <w:gridCol w:w="127"/>
        <w:gridCol w:w="127"/>
        <w:gridCol w:w="127"/>
        <w:gridCol w:w="248"/>
        <w:gridCol w:w="425"/>
        <w:gridCol w:w="136"/>
        <w:gridCol w:w="109"/>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on foreign currency revaluation</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The activity during the periods presented was primarily related to the impact from the change in the CAD to USD exchange rate on the portion of our intercompany net investment that is not long-term in nature.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Income Tax Expense from Continuing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 favorable income tax expense from continuing operations variance for the year ended December 31, 2025 compared to the year ended December 31, 2024 was primarily due to higher income tax expense in 2024 associated with Canadian withholding tax on intercompany dividends from our Canadian entity driven by timing of dividend payments, including proceeds from asset divestitures. This favorable variance is partially offset by the impact of higher earnings at PAA on income attributable to PAGP.</w:t>
      </w:r>
    </w:p>
    <w:p>
      <w:pPr>
        <w:pStyle w:val="TextBody"/>
        <w:bidi w:val="0"/>
        <w:spacing w:before="0" w:after="0"/>
        <w:ind w:left="0" w:right="0" w:firstLine="720"/>
        <w:jc w:val="left"/>
        <w:rPr/>
      </w:pPr>
      <w:r>
        <w:rPr/>
      </w:r>
    </w:p>
    <w:p>
      <w:pPr>
        <w:pStyle w:val="TextBody"/>
        <w:bidi w:val="0"/>
        <w:spacing w:lineRule="auto" w:line="288" w:before="0" w:after="0"/>
        <w:ind w:left="0" w:right="0" w:hanging="810"/>
        <w:jc w:val="left"/>
        <w:rPr>
          <w:rFonts w:ascii="Times New Roman;serif" w:hAnsi="Times New Roman;serif"/>
          <w:b/>
          <w:i/>
          <w:color w:val="000000"/>
          <w:sz w:val="20"/>
        </w:rPr>
      </w:pPr>
      <w:r>
        <w:rPr>
          <w:rFonts w:ascii="Times New Roman;serif" w:hAnsi="Times New Roman;serif"/>
          <w:b/>
          <w:i/>
          <w:color w:val="000000"/>
          <w:sz w:val="20"/>
        </w:rPr>
        <w:t xml:space="preserve">Non-GAAP Financial Measures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EBITDA and Adjusted EBITDA attributable to PAA.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definition and calculation of certain non-GAAP financial measures may not be comparable to similarly-titled measures of other companies. Adjusted EBITDA and Adjusted EBITDA attributable to PAA are reconciled to Net Income, the most directly comparable measures as reported in accordance with GAAP, and should be viewed in addition to, and not in lieu of, our Consolidated Financial Statements and accompanying notes.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Non-GAAP Financial Performance Measures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 and (v) gains on investments in unconsolidated entities, net, and (vi) adjusted for certain selected items impacting comparability. Adjusted EBITDA attributable to PAA excludes the portion of Adjusted EBITDA that is attributable to noncontrolling interests in consolidated joint venture entities.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operating performance,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Discontinued Operations</w:t>
      </w:r>
      <w:r>
        <w:rPr>
          <w:rFonts w:ascii="Times New Roman;serif" w:hAnsi="Times New Roman;serif"/>
          <w:b w:val="false"/>
          <w:color w:val="000000"/>
          <w:sz w:val="20"/>
        </w:rPr>
        <w:t>. Management believes that the presentation of certain Non-GAAP financial performance measures, such as Adjusted EBITDA and Adjusted EBITDA attributable to PAA,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In addition, as the potential sale of the Canadian NGL Business is not anticipated to close until around the end of the first quarter of 2026, management continues to view the Canadian NGL Business as a component of our overall company performance and ability to fund distributions to our unitholders in the near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reconciliation of the non-GAAP financial performance measures Adjusted EBITDA and Adjusted EBITDA attributable to PAA from Net Income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932"/>
        <w:gridCol w:w="1244"/>
        <w:gridCol w:w="1255"/>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109"/>
        <w:gridCol w:w="109"/>
        <w:gridCol w:w="211"/>
        <w:gridCol w:w="466"/>
        <w:gridCol w:w="109"/>
        <w:gridCol w:w="109"/>
        <w:gridCol w:w="109"/>
        <w:gridCol w:w="109"/>
        <w:gridCol w:w="252"/>
        <w:gridCol w:w="256"/>
        <w:gridCol w:w="271"/>
        <w:gridCol w:w="109"/>
        <w:gridCol w:w="109"/>
        <w:gridCol w:w="109"/>
        <w:gridCol w:w="157"/>
      </w:tblGrid>
      <w:tr>
        <w:trPr/>
        <w:tc>
          <w:tcPr>
            <w:tcW w:w="1932"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9" w:type="dxa"/>
            <w:gridSpan w:val="20"/>
            <w:tcBorders/>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Variance</w:t>
            </w:r>
          </w:p>
        </w:tc>
        <w:tc>
          <w:tcPr>
            <w:tcW w:w="1590" w:type="dxa"/>
            <w:gridSpan w:val="10"/>
            <w:tcBorders/>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income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net of certain items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Income tax expense from discontinued operations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Depreciation and amortization from discontinued operations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(Gains)/losses on asset sales, asset impairments and other, net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Losses on asset sales, asset impairments and other, net from discontinued operations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Gain on investments in unconsolidated entities,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Depreciation and amortization of unconsolidated entities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Unallocated general and administrative expenses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Selected Items Impacting Comparability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activities and inventory valuation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Deficiencies under minimum volume commitments,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Rail fleet amortization expense related to discontinued operations </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Equity-indexed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revaluation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 901 incident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Selected Items Impacting Comparability - Segment Adjusted EBITDA </w:t>
            </w:r>
            <w:r>
              <w:rPr>
                <w:rFonts w:ascii="Times New Roman;serif" w:hAnsi="Times New Roman;serif"/>
                <w:b w:val="false"/>
                <w:color w:val="000000"/>
                <w:sz w:val="13"/>
              </w:rPr>
              <w:t>(1)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revaluation</w:t>
            </w:r>
            <w:r>
              <w:rPr>
                <w:color w:val="000000"/>
              </w:rPr>
              <w:t xml:space="preserve"> </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Selected Items Impacting Comparability - Adjusted EBITDA</w:t>
            </w:r>
            <w:r>
              <w:rPr>
                <w:color w:val="000000"/>
              </w:rPr>
              <w:t xml:space="preserve"> </w:t>
            </w:r>
            <w:r>
              <w:rPr>
                <w:rFonts w:ascii="Times New Roman;serif" w:hAnsi="Times New Roman;serif"/>
                <w:b w:val="false"/>
                <w:color w:val="000000"/>
                <w:sz w:val="13"/>
              </w:rPr>
              <w:t>(1)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(1)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EBITDA attributable to noncontrolling interests in consolidated joint ventures </w:t>
            </w:r>
            <w:r>
              <w:rPr>
                <w:rFonts w:ascii="Times New Roman;serif" w:hAnsi="Times New Roman;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attributable to PAA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Indicates that variance as a percentage is not meaningful.</w:t>
      </w:r>
    </w:p>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Includes results from continuing operations and discontinued operations.</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See Note 3 to our Consolidated Financial Statements for additional information. </w:t>
      </w:r>
    </w:p>
    <w:p>
      <w:pPr>
        <w:pStyle w:val="TextBody"/>
        <w:bidi w:val="0"/>
        <w:spacing w:lineRule="auto" w:line="288" w:before="120" w:after="283"/>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We exclude our proportionate share of the depreciation and amortization expense (including write-downs related to cancelled projects and impairments) of unconsolidated entities when reviewing Adjusted EBITDA, similar to our consolidated assets.</w:t>
      </w:r>
    </w:p>
    <w:p>
      <w:pPr>
        <w:pStyle w:val="TextBody"/>
        <w:bidi w:val="0"/>
        <w:spacing w:lineRule="auto" w:line="288" w:before="120" w:after="283"/>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Represents general and administrative expenses incremental to those of PAA, which are not allocated to our reporting segments in determining Segment Adjusted EBITDA and are excluded in the non-GAAP financial performance measures utilized by management.</w:t>
      </w:r>
    </w:p>
    <w:p>
      <w:pPr>
        <w:pStyle w:val="TextBody"/>
        <w:bidi w:val="0"/>
        <w:spacing w:lineRule="auto" w:line="288" w:before="120" w:after="283"/>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 xml:space="preserve">Depreciation and amortization on the long-lived assets of the Canadian NGL Business disposal group ceased upon meeting the criteria to be classified as assets held for sale. Management believes that the presentation of Adjusted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EBITDA and Implied DCF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We therefore include an adjustment for the impact of amortization of the rail fleet associated with the Canadian NGL Business in our calculation of Adjusted EBITDA. See Note 1 to our Consolidated Financial Statements for additional information regarding the pending sale of the Canadian NGL Business. Also see the “ —Non-GAAP Financial Measures” section above.</w:t>
      </w:r>
    </w:p>
    <w:p>
      <w:pPr>
        <w:pStyle w:val="TextBody"/>
        <w:bidi w:val="0"/>
        <w:spacing w:lineRule="auto" w:line="288" w:before="120" w:after="283"/>
        <w:ind w:left="0" w:right="0" w:hanging="720"/>
        <w:jc w:val="left"/>
        <w:rPr/>
      </w:pPr>
      <w:r>
        <w:rPr>
          <w:rFonts w:ascii="Times New Roman;serif" w:hAnsi="Times New Roman;serif"/>
          <w:b w:val="false"/>
          <w:color w:val="000000"/>
          <w:sz w:val="13"/>
        </w:rPr>
        <w:t>(6)</w:t>
      </w:r>
      <w:r>
        <w:rPr>
          <w:rFonts w:ascii="Times New Roman;serif" w:hAnsi="Times New Roman;serif"/>
          <w:b w:val="false"/>
          <w:color w:val="000000"/>
          <w:sz w:val="20"/>
        </w:rPr>
        <w:t>For a more detailed discussion of these selected items impacting comparability, see the footnotes to the segment financial data tables in Note 20 to our Consolidated Financial Statements.</w:t>
      </w:r>
    </w:p>
    <w:p>
      <w:pPr>
        <w:pStyle w:val="TextBody"/>
        <w:bidi w:val="0"/>
        <w:spacing w:lineRule="auto" w:line="288" w:before="120" w:after="283"/>
        <w:ind w:left="0" w:right="0" w:hanging="720"/>
        <w:jc w:val="left"/>
        <w:rPr/>
      </w:pPr>
      <w:r>
        <w:rPr>
          <w:rFonts w:ascii="Times New Roman;serif" w:hAnsi="Times New Roman;serif"/>
          <w:b w:val="false"/>
          <w:color w:val="000000"/>
          <w:sz w:val="13"/>
        </w:rPr>
        <w:t>(7)</w:t>
      </w:r>
      <w:r>
        <w:rPr>
          <w:rFonts w:ascii="Times New Roman;serif" w:hAnsi="Times New Roman;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pStyle w:val="TextBody"/>
        <w:bidi w:val="0"/>
        <w:spacing w:lineRule="auto" w:line="288" w:before="120" w:after="283"/>
        <w:ind w:left="0" w:right="0" w:hanging="720"/>
        <w:jc w:val="left"/>
        <w:rPr/>
      </w:pPr>
      <w:r>
        <w:rPr>
          <w:rFonts w:ascii="Times New Roman;serif" w:hAnsi="Times New Roman;serif"/>
          <w:b w:val="false"/>
          <w:color w:val="000000"/>
          <w:sz w:val="13"/>
        </w:rPr>
        <w:t>(8)</w:t>
      </w:r>
      <w:r>
        <w:rPr>
          <w:color w:val="000000"/>
        </w:rPr>
        <w:t>“</w:t>
      </w:r>
      <w:r>
        <w:rPr>
          <w:rFonts w:ascii="Times New Roman;serif" w:hAnsi="Times New Roman;serif"/>
          <w:b w:val="false"/>
          <w:color w:val="000000"/>
          <w:sz w:val="20"/>
        </w:rPr>
        <w:t xml:space="preserve">Other income, net” on our Consolidated Statements of Operations, adjusted for selected items impacting comparability (“Adjusted other income, net”) is included in Adjusted EBITDA and excluded from Segment Adjusted EBITDA. </w:t>
      </w:r>
    </w:p>
    <w:p>
      <w:pPr>
        <w:pStyle w:val="TextBody"/>
        <w:bidi w:val="0"/>
        <w:spacing w:lineRule="auto" w:line="288" w:before="120" w:after="283"/>
        <w:ind w:left="0" w:right="0" w:hanging="720"/>
        <w:jc w:val="left"/>
        <w:rPr/>
      </w:pPr>
      <w:r>
        <w:rPr>
          <w:rFonts w:ascii="Times New Roman;serif" w:hAnsi="Times New Roman;serif"/>
          <w:b w:val="false"/>
          <w:color w:val="000000"/>
          <w:sz w:val="13"/>
        </w:rPr>
        <w:t>(9)</w:t>
      </w:r>
      <w:r>
        <w:rPr>
          <w:rFonts w:ascii="Times New Roman;serif" w:hAnsi="Times New Roman;serif"/>
          <w:b w:val="false"/>
          <w:color w:val="000000"/>
          <w:sz w:val="20"/>
        </w:rPr>
        <w:t>Reflects amounts attributable to noncontrolling interests in the Permian JV, Cactus II and Red River.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Analysis of Operating Segments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manage our operations through two operating segments: Crude Oil and NGL. Our Chief Operating Decision Maker (“CODM”) (our Chief Executive Officer) evaluates segment performance based on measures including Segment Adjusted EBITDA.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in consolidated joint venture entities (“Segment amounts attributable to noncontrolling interests in consolidated joint ventures”). See Note 20 to our Consolidated Financial Statements for a reconciliation of Segment Adjusted EBITDA to Income from Continuing Operations, Net of Tax.</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our merchant activities, our Crude Oil and NGL segments may enter into intersegment transactions for the purchase or sale of products, along with services such as the transportation, terminalling or storage of products. Intersegment transactions are conducted at rates similar to those charged to third parties or rates that we believe approximate market.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and expenses from our Canadian based subsidiaries, which use CAD as their functional currency, are translated at the prevailing average exchange rates for the month.</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Crude Oil Segment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governed by our risk management policies.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 differentials, particularly grade and location differentials, as well as time spreads. The segment results also include the direct fixed and variable field costs of operating the crude oil assets, as well as an allocation of indirect operating and general and administrative costs.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operating results from our Crude Oil segment:</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540"/>
        <w:gridCol w:w="1287"/>
        <w:gridCol w:w="1293"/>
        <w:gridCol w:w="109"/>
        <w:gridCol w:w="109"/>
        <w:gridCol w:w="109"/>
        <w:gridCol w:w="211"/>
        <w:gridCol w:w="721"/>
        <w:gridCol w:w="109"/>
        <w:gridCol w:w="109"/>
        <w:gridCol w:w="109"/>
        <w:gridCol w:w="109"/>
        <w:gridCol w:w="211"/>
        <w:gridCol w:w="721"/>
        <w:gridCol w:w="109"/>
        <w:gridCol w:w="109"/>
        <w:gridCol w:w="109"/>
        <w:gridCol w:w="109"/>
        <w:gridCol w:w="109"/>
        <w:gridCol w:w="109"/>
        <w:gridCol w:w="109"/>
        <w:gridCol w:w="109"/>
        <w:gridCol w:w="109"/>
        <w:gridCol w:w="211"/>
        <w:gridCol w:w="657"/>
        <w:gridCol w:w="109"/>
        <w:gridCol w:w="109"/>
        <w:gridCol w:w="109"/>
        <w:gridCol w:w="109"/>
        <w:gridCol w:w="215"/>
        <w:gridCol w:w="203"/>
        <w:gridCol w:w="271"/>
        <w:gridCol w:w="109"/>
        <w:gridCol w:w="109"/>
        <w:gridCol w:w="109"/>
        <w:gridCol w:w="157"/>
      </w:tblGrid>
      <w:tr>
        <w:trPr/>
        <w:tc>
          <w:tcPr>
            <w:tcW w:w="1540"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20"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Operating Results </w:t>
            </w:r>
            <w:r>
              <w:rPr>
                <w:rFonts w:ascii="Times New Roman;serif" w:hAnsi="Times New Roman;serif"/>
                <w:b/>
                <w:color w:val="000000"/>
                <w:sz w:val="10"/>
              </w:rPr>
              <w:t>(1)</w:t>
            </w:r>
          </w:p>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41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related costs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Field operating costs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Segment general and administrative expenses </w:t>
            </w:r>
            <w:r>
              <w:rPr>
                <w:rFonts w:ascii="Times New Roman;serif" w:hAnsi="Times New Roman;serif"/>
                <w:b w:val="false"/>
                <w:color w:val="000000"/>
                <w:sz w:val="13"/>
              </w:rPr>
              <w:t>(2)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(4)</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activities and inventory valuation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Deficiencies under minimum volume commitments,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Equity-indexed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 901 incident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Segment amounts attributable to noncontrolling interests in 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090" w:type="dxa"/>
        <w:jc w:val="center"/>
        <w:tblInd w:w="0" w:type="dxa"/>
        <w:tblLayout w:type="fixed"/>
        <w:tblCellMar>
          <w:top w:w="28" w:type="dxa"/>
          <w:left w:w="28" w:type="dxa"/>
          <w:bottom w:w="28" w:type="dxa"/>
          <w:right w:w="28" w:type="dxa"/>
        </w:tblCellMar>
      </w:tblPr>
      <w:tblGrid>
        <w:gridCol w:w="1226"/>
        <w:gridCol w:w="1077"/>
        <w:gridCol w:w="1087"/>
        <w:gridCol w:w="109"/>
        <w:gridCol w:w="109"/>
        <w:gridCol w:w="109"/>
        <w:gridCol w:w="308"/>
        <w:gridCol w:w="308"/>
        <w:gridCol w:w="220"/>
        <w:gridCol w:w="220"/>
        <w:gridCol w:w="220"/>
        <w:gridCol w:w="220"/>
        <w:gridCol w:w="308"/>
        <w:gridCol w:w="308"/>
        <w:gridCol w:w="228"/>
        <w:gridCol w:w="109"/>
        <w:gridCol w:w="109"/>
        <w:gridCol w:w="109"/>
        <w:gridCol w:w="109"/>
        <w:gridCol w:w="109"/>
        <w:gridCol w:w="109"/>
        <w:gridCol w:w="109"/>
        <w:gridCol w:w="109"/>
        <w:gridCol w:w="240"/>
        <w:gridCol w:w="240"/>
        <w:gridCol w:w="241"/>
        <w:gridCol w:w="109"/>
        <w:gridCol w:w="109"/>
        <w:gridCol w:w="109"/>
        <w:gridCol w:w="180"/>
        <w:gridCol w:w="181"/>
        <w:gridCol w:w="271"/>
        <w:gridCol w:w="109"/>
        <w:gridCol w:w="109"/>
        <w:gridCol w:w="109"/>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Volumes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Crude oil pipeline tariff (by region) </w:t>
            </w:r>
            <w:r>
              <w:rPr>
                <w:rFonts w:ascii="Times New Roman;serif" w:hAnsi="Times New Roman;serif"/>
                <w:b w:val="false"/>
                <w:color w:val="000000"/>
                <w:sz w:val="13"/>
              </w:rPr>
              <w:t>(5)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Permian Basin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South Texas / Eagle Ford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Mid-Continent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crude oil pipeline tariff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8,934 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Indicates that variance as a percentage is not meaningful.</w:t>
      </w:r>
    </w:p>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Revenues and costs and expenses include intersegment amounts.</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components of significant segment expenses.</w:t>
      </w:r>
    </w:p>
    <w:p>
      <w:pPr>
        <w:pStyle w:val="TextBody"/>
        <w:bidi w:val="0"/>
        <w:spacing w:lineRule="auto" w:line="288" w:before="120" w:after="283"/>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bidi w:val="0"/>
        <w:spacing w:lineRule="auto" w:line="288" w:before="120" w:after="283"/>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Represents adjustments included in the performance measure utilized by our CODM in the evaluation of segment results. See Note 20 to our Consolidated Financial Statements for additional discussion of such adjustments.</w:t>
      </w:r>
    </w:p>
    <w:p>
      <w:pPr>
        <w:pStyle w:val="TextBody"/>
        <w:bidi w:val="0"/>
        <w:spacing w:lineRule="auto" w:line="288" w:before="120" w:after="283"/>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Average daily volumes in thousands of barrels per day calculated as the total volumes (attributable to our interest for assets owned by unconsolidated entities or through UJIs) for the year divided by the number of days in the year. Volumes associated with acquisitions represent total volumes for the number of days we actually owned the assets divided by the number of days in the period.</w:t>
      </w:r>
    </w:p>
    <w:p>
      <w:pPr>
        <w:pStyle w:val="TextBody"/>
        <w:bidi w:val="0"/>
        <w:spacing w:lineRule="auto" w:line="288" w:before="120" w:after="283"/>
        <w:ind w:left="0" w:right="0" w:hanging="720"/>
        <w:jc w:val="left"/>
        <w:rPr/>
      </w:pPr>
      <w:r>
        <w:rPr>
          <w:rFonts w:ascii="Times New Roman;serif" w:hAnsi="Times New Roman;serif"/>
          <w:b w:val="false"/>
          <w:color w:val="000000"/>
          <w:sz w:val="13"/>
        </w:rPr>
        <w:t>(6)</w:t>
      </w:r>
      <w:r>
        <w:rPr>
          <w:rFonts w:ascii="Times New Roman;serif" w:hAnsi="Times New Roman;serif"/>
          <w:b w:val="false"/>
          <w:color w:val="000000"/>
          <w:sz w:val="20"/>
        </w:rPr>
        <w:t>Includes volumes (attributable to our interest) from assets owned by unconsolidated entities.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Crude Oil Segment Adjusted EBITDA increased for the year ended December 31, 2025 compared to the year ended December 31, 2024 primarily due to higher tariff volumes on our pipelines, contributions from acquisitions and the benefit of tariff escalations, partially offset by fewer market-based opportunities and the impact from certain contract rates resetting to market.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more detailed discussion of the significant factors impacting Segment Adjusted EBITDA for the periods indicated.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Net Revenues and Equity Earnings. </w:t>
      </w:r>
      <w:r>
        <w:rPr>
          <w:rFonts w:ascii="Times New Roman;serif" w:hAnsi="Times New Roman;serif"/>
          <w:b w:val="false"/>
          <w:color w:val="000000"/>
          <w:sz w:val="20"/>
        </w:rPr>
        <w:t xml:space="preserve">Our results increased for the year ended December 31, 2025 compared to the year ended December 31, 2024. Favorable results from (i) volume growth across our pipeline systems largely driven by increased production in the Permian Basin region, (ii) contributions from recently completed acquisitions in the Permian Basin and South Texas regions, including our Cactus III pipeline acquisition, and (iii) the benefit of tariff escalations were partially offset by (iv) fewer market-based opportunities, (v) lower commodity prices, which resulted in lower revenues from pipeline loss allowance in the 2025 periods, and (vi) the impact from certain Permian long-haul contract rates resetting to market in 2025.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equity earnings in the 2024 period includes the benefit of the recognition of deferred revenue associated with certain of our joint venture pipelines, a majority of which is excluded from Segment Adjusted EBITDA in “Other segment items” in the table above.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Field Operating Costs. </w:t>
      </w:r>
      <w:r>
        <w:rPr>
          <w:rFonts w:ascii="Times New Roman;serif" w:hAnsi="Times New Roman;serif"/>
          <w:b w:val="false"/>
          <w:color w:val="000000"/>
          <w:sz w:val="20"/>
        </w:rPr>
        <w:t>The decrease in field operating costs for the year ended December 31, 2025 compared to the year ended December 31, 2024 was primarily due to the recognition in 2024 of costs associated with settlements related to the Line 901 incident that occurred in May 2015 (which impact field operating costs, but are excluded from Segment Adjusted EBITDA, and thus are reflected in “Other segment items” in the table above). This was partially offset by higher expenses in the 2025 period resulting from (i) acquisitions, (ii) higher volumes and (iii) property taxes.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Maintenance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Maintenance capital consists of capital expenditures for the replacement and/or refurbishment of partially or fully depreciated assets in order to maintain the operating and/or earnings capacity of our existing assets. The decrease in maintenance capital spending for the year ended December 31, 2025 compared to the same period in 2024 was primarily due to lower costs resulting from timing of certain pipeline integrity activities.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NGL Segment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NGL segment operations involve NGL storage and terminalling from our NGL assets primarily located in the Southwestern United States. Our NGL segment revenues are primarily derived from (i) providing storage and/or terminalling services at these facilities to third-party customers for a fee and (ii) the transport, storage and sale of specification NGL products. The segment results also include the direct fixed and variable field costs of operating our four NGL facilities, as well as an allocation of indirect operating costs and general and administrative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operating results from our NGL segment:</w:t>
      </w:r>
    </w:p>
    <w:p>
      <w:pPr>
        <w:pStyle w:val="TextBody"/>
        <w:bidi w:val="0"/>
        <w:spacing w:before="0" w:after="0"/>
        <w:jc w:val="left"/>
        <w:rPr/>
      </w:pPr>
      <w:r>
        <w:rPr/>
      </w:r>
    </w:p>
    <w:tbl>
      <w:tblPr>
        <w:tblW w:w="9870" w:type="dxa"/>
        <w:jc w:val="left"/>
        <w:tblInd w:w="0" w:type="dxa"/>
        <w:tblLayout w:type="fixed"/>
        <w:tblCellMar>
          <w:top w:w="28" w:type="dxa"/>
          <w:left w:w="28" w:type="dxa"/>
          <w:bottom w:w="28" w:type="dxa"/>
          <w:right w:w="28" w:type="dxa"/>
        </w:tblCellMar>
      </w:tblPr>
      <w:tblGrid>
        <w:gridCol w:w="1596"/>
        <w:gridCol w:w="1404"/>
        <w:gridCol w:w="1409"/>
        <w:gridCol w:w="109"/>
        <w:gridCol w:w="109"/>
        <w:gridCol w:w="109"/>
        <w:gridCol w:w="220"/>
        <w:gridCol w:w="489"/>
        <w:gridCol w:w="113"/>
        <w:gridCol w:w="113"/>
        <w:gridCol w:w="113"/>
        <w:gridCol w:w="113"/>
        <w:gridCol w:w="220"/>
        <w:gridCol w:w="489"/>
        <w:gridCol w:w="121"/>
        <w:gridCol w:w="109"/>
        <w:gridCol w:w="109"/>
        <w:gridCol w:w="109"/>
        <w:gridCol w:w="109"/>
        <w:gridCol w:w="109"/>
        <w:gridCol w:w="109"/>
        <w:gridCol w:w="109"/>
        <w:gridCol w:w="109"/>
        <w:gridCol w:w="211"/>
        <w:gridCol w:w="436"/>
        <w:gridCol w:w="109"/>
        <w:gridCol w:w="109"/>
        <w:gridCol w:w="109"/>
        <w:gridCol w:w="109"/>
        <w:gridCol w:w="218"/>
        <w:gridCol w:w="218"/>
        <w:gridCol w:w="271"/>
        <w:gridCol w:w="109"/>
        <w:gridCol w:w="109"/>
        <w:gridCol w:w="109"/>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515" w:type="dxa"/>
            <w:gridSpan w:val="10"/>
            <w:tcBorders/>
          </w:tcPr>
          <w:p>
            <w:pPr>
              <w:pStyle w:val="TableContents"/>
              <w:bidi w:val="0"/>
              <w:spacing w:before="0" w:after="283"/>
              <w:jc w:val="left"/>
              <w:rPr>
                <w:sz w:val="4"/>
                <w:szCs w:val="4"/>
              </w:rPr>
            </w:pPr>
            <w:r>
              <w:rPr>
                <w:sz w:val="4"/>
                <w:szCs w:val="4"/>
              </w:rPr>
            </w:r>
          </w:p>
        </w:tc>
      </w:tr>
      <w:tr>
        <w:trPr/>
        <w:tc>
          <w:tcPr>
            <w:tcW w:w="440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Operating Results </w:t>
            </w:r>
            <w:r>
              <w:rPr>
                <w:rFonts w:ascii="Times New Roman;serif" w:hAnsi="Times New Roman;serif"/>
                <w:b/>
                <w:color w:val="000000"/>
                <w:sz w:val="10"/>
              </w:rPr>
              <w:t>(1)</w:t>
            </w:r>
          </w:p>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Variance</w:t>
            </w:r>
          </w:p>
        </w:tc>
        <w:tc>
          <w:tcPr>
            <w:tcW w:w="1515" w:type="dxa"/>
            <w:gridSpan w:val="10"/>
            <w:tcBorders/>
          </w:tcPr>
          <w:p>
            <w:pPr>
              <w:pStyle w:val="TableContents"/>
              <w:bidi w:val="0"/>
              <w:spacing w:before="0" w:after="283"/>
              <w:jc w:val="left"/>
              <w:rPr>
                <w:sz w:val="4"/>
                <w:szCs w:val="4"/>
              </w:rPr>
            </w:pPr>
            <w:r>
              <w:rPr>
                <w:sz w:val="4"/>
                <w:szCs w:val="4"/>
              </w:rPr>
            </w:r>
          </w:p>
        </w:tc>
      </w:tr>
      <w:tr>
        <w:trPr/>
        <w:tc>
          <w:tcPr>
            <w:tcW w:w="440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related costs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Field operating costs </w:t>
            </w:r>
            <w:r>
              <w:rPr>
                <w:rFonts w:ascii="Times New Roman;serif" w:hAnsi="Times New Roman;serif"/>
                <w:b w:val="false"/>
                <w:color w:val="000000"/>
                <w:sz w:val="13"/>
              </w:rPr>
              <w:t>(2)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general and administrative expenses </w:t>
            </w:r>
            <w:r>
              <w:rPr>
                <w:rFonts w:ascii="Times New Roman;serif" w:hAnsi="Times New Roman;serif"/>
                <w:b w:val="false"/>
                <w:color w:val="000000"/>
                <w:sz w:val="13"/>
              </w:rPr>
              <w:t>(2) (3)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Revenues and costs and expenses include intersegment amounts.</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components of significant segment expenses.</w:t>
      </w:r>
    </w:p>
    <w:p>
      <w:pPr>
        <w:pStyle w:val="TextBody"/>
        <w:bidi w:val="0"/>
        <w:spacing w:lineRule="auto" w:line="288" w:before="120" w:after="283"/>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Field operating costs and segment general and administrative expenses include certain costs that are part of the overhead of continuing operations.</w:t>
      </w:r>
    </w:p>
    <w:p>
      <w:pPr>
        <w:pStyle w:val="TextBody"/>
        <w:bidi w:val="0"/>
        <w:spacing w:lineRule="auto" w:line="288" w:before="120" w:after="283"/>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NGL Segment Adjusted EBITDA loss for the years ended December 31, 2025 and 2024 was largely driven by costs that are part of the overhead of our NGL activities and are included in continuing operations as they are not related to contracts or arrangements that will be included in the sale of the Canadian NGL Business. These costs include information technology, insurance and other shared services costs.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are (i) cash flow from operating activities and (ii) borrowings under PAA’s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long-term debt and (v) distributions to our Class A shareholders and noncontrolling interests. In addition, we may use cash for repurchases of common equity. We generally expect to fund our short-term cash requirements through cash flow generated from operating activities and/or borrowings under PAA’s credit facilities or commercial paper program. In addition, we generally expect to fund our long-term needs, such as those resulting from investment capital activities, acquisitions or refinancing long-term debt, through a variety of sources, which may include any or a combination of the sources listed above.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although we had a working capital deficit of $198 million, we had over $2.0 billion of liquidity available to meet our ongoing operating, investing and financing needs, subject to continued covenant compliance, as noted below (in millions):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tbl>
      <w:tblPr>
        <w:tblW w:w="7396" w:type="dxa"/>
        <w:jc w:val="left"/>
        <w:tblInd w:w="0" w:type="dxa"/>
        <w:tblLayout w:type="fixed"/>
        <w:tblCellMar>
          <w:top w:w="28" w:type="dxa"/>
          <w:left w:w="28" w:type="dxa"/>
          <w:bottom w:w="28" w:type="dxa"/>
          <w:right w:w="28" w:type="dxa"/>
        </w:tblCellMar>
      </w:tblPr>
      <w:tblGrid>
        <w:gridCol w:w="2117"/>
        <w:gridCol w:w="1864"/>
        <w:gridCol w:w="1869"/>
        <w:gridCol w:w="332"/>
        <w:gridCol w:w="970"/>
        <w:gridCol w:w="244"/>
      </w:tblGrid>
      <w:tr>
        <w:trPr/>
        <w:tc>
          <w:tcPr>
            <w:tcW w:w="2117"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Availability under PAA senior unsecured revolving credit facility</w:t>
            </w:r>
            <w:r>
              <w:rPr>
                <w:color w:val="000000"/>
              </w:rPr>
              <w:t xml:space="preserve"> </w:t>
            </w:r>
            <w:r>
              <w:rPr>
                <w:rFonts w:ascii="Times New Roman;serif" w:hAnsi="Times New Roman;serif"/>
                <w:b w:val="false"/>
                <w:color w:val="000000"/>
                <w:sz w:val="13"/>
              </w:rPr>
              <w:t>(1) (2)</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Availability under PAA senior secured hedged inventory facility </w:t>
            </w:r>
            <w:r>
              <w:rPr>
                <w:rFonts w:ascii="Times New Roman;serif" w:hAnsi="Times New Roman;serif"/>
                <w:b w:val="false"/>
                <w:color w:val="000000"/>
                <w:sz w:val="13"/>
              </w:rPr>
              <w:t>(1) (2)</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outstanding under PAA commercial paper program</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81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Represents availability prior to giving effect to borrowings outstanding under the PAA commercial paper program, which reduce available capacity under the facilities. </w:t>
      </w:r>
    </w:p>
    <w:p>
      <w:pPr>
        <w:pStyle w:val="TextBody"/>
        <w:bidi w:val="0"/>
        <w:spacing w:lineRule="auto" w:line="288" w:before="120" w:after="283"/>
        <w:ind w:left="0" w:right="0" w:hanging="810"/>
        <w:jc w:val="left"/>
        <w:rPr/>
      </w:pPr>
      <w:r>
        <w:rPr>
          <w:rFonts w:ascii="Times New Roman;serif" w:hAnsi="Times New Roman;serif"/>
          <w:b w:val="false"/>
          <w:color w:val="000000"/>
          <w:sz w:val="13"/>
        </w:rPr>
        <w:t>(2)</w:t>
      </w:r>
      <w:r>
        <w:rPr>
          <w:rFonts w:ascii="Times New Roman;serif" w:hAnsi="Times New Roman;serif"/>
          <w:b w:val="false"/>
          <w:color w:val="000000"/>
          <w:sz w:val="20"/>
        </w:rPr>
        <w:t>Available capacity under the PAA senior unsecured revolving credit facility and the PAA senior secured hedged inventory facility was reduced by outstanding letters of credit issued under these facilities of less than $1 million and $52 million,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Usage of PAA’s credit facilities, which provide the financial backstop for PAA’s commercial paper program, is subject to ongoing compliance with covenants, as discussed further below. PAA’s borrowing capacity and borrowing costs are also impacted by its credit rating. See Item 1A. “Risk Factors—Risks Related to PAA’s Business—Loss of PAA’s investment grade credit rating or the ability to receive open credit could negatively affect its borrowing costs, ability to purchase crude oil, NGL and natural gas supplies or to capitalize on market opportunities.”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we have, and will continue to have, the ability to access PAA’s commercial paper program and credit facilities, which we use to meet our short-term cash needs. We believe that our financial position remains strong and we have sufficient liquid assets, cash flow from operating activities and borrowing capacity under PAA’s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OPEC. A prolonged material decrease in our cash flows would likely produce an adverse effect on our borrowing capacity and cost of borrowing. See Item 1A. “Risk Factors” for further discussion regarding risks that may impact our liquidity and capital resources.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Credit Agreements, Commercial Paper Program, Term Loan and Indentures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PAA has three primary credit arrangements, which we use to meet our short-term cash needs. These include PAA’s $1.35 billion senior unsecured revolving credit facility maturing in 2029 (excluding a commitment of $64 million, which matures in 2027), $1.35 billion senior secured hedged inventory facility maturing in 2027 (excluding a commitment of $64 million, which matures in 2026) and $2.7 billion unsecured commercial paper program that is backstopped by PAA’s revolving credit facility and its hedged inventory facility. The credit agreements for PAA’s revolving credit facilities (which impact PAA’s ability to access its commercial paper program because they provide the financial backstop that supports PAA’s short-term credit ratings), the PAA term loan and the indentures governing its senior notes contain cross-default provisions. A default under PAA’s credit agreements, term loan or indentures would permit the lenders to accelerate the maturity of the outstanding debt. As long as PAA is in compliance with the provisions in its credit agreements and term loan agreement, its ability to make distributions of available cash is not restricted. PAA was in compliance with the covenants contained in its credit agreements, term loan and indentures as of December 31, 2025.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Cash Flow from Operating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primary drivers of cash flow from operating activities are (i) the collection of amounts related to the sale of crude oil, NGL and other products, the transportation of crude oil and other products for a fee, and the provision of storage and terminalling services for a fee and (ii) the payment of amounts related to the purchase of crude oil, NGL and other products and other expenses, principally field operating costs, general and administrative expenses and interest expense.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 can be materially impacted by the storage of crude oil in periods of a contango market, when the price of crude oil for future deliveries is higher than current prices. In the month we pay for the stored crude oil, we borrow under the PAA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periods when the market is not in contango, we typically sell our crude oil during the same month in which we purchase it and we do not rely on borrowings under the PAA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the PAA credit facilities or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13 to our Consolidated Financial Statements for a discussion regarding our derivatives and risk management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from continuing operations for the years ended December 31, 2025 and 2024 was approximately $2.9 billion and $2.5 billion, respectively, and primarily resulted from earnings from our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Capital Expenditures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related to continuing operations and discontinued operations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06"/>
        <w:gridCol w:w="477"/>
        <w:gridCol w:w="480"/>
        <w:gridCol w:w="109"/>
        <w:gridCol w:w="109"/>
        <w:gridCol w:w="109"/>
        <w:gridCol w:w="211"/>
        <w:gridCol w:w="616"/>
        <w:gridCol w:w="109"/>
        <w:gridCol w:w="109"/>
        <w:gridCol w:w="109"/>
        <w:gridCol w:w="109"/>
        <w:gridCol w:w="211"/>
        <w:gridCol w:w="466"/>
        <w:gridCol w:w="109"/>
        <w:gridCol w:w="109"/>
        <w:gridCol w:w="132"/>
        <w:gridCol w:w="132"/>
        <w:gridCol w:w="132"/>
        <w:gridCol w:w="132"/>
        <w:gridCol w:w="256"/>
        <w:gridCol w:w="749"/>
        <w:gridCol w:w="132"/>
        <w:gridCol w:w="109"/>
        <w:gridCol w:w="109"/>
        <w:gridCol w:w="109"/>
        <w:gridCol w:w="211"/>
        <w:gridCol w:w="466"/>
        <w:gridCol w:w="109"/>
        <w:gridCol w:w="121"/>
        <w:gridCol w:w="121"/>
        <w:gridCol w:w="121"/>
        <w:gridCol w:w="121"/>
        <w:gridCol w:w="121"/>
        <w:gridCol w:w="121"/>
        <w:gridCol w:w="236"/>
        <w:gridCol w:w="691"/>
        <w:gridCol w:w="121"/>
        <w:gridCol w:w="109"/>
        <w:gridCol w:w="109"/>
        <w:gridCol w:w="109"/>
        <w:gridCol w:w="211"/>
        <w:gridCol w:w="466"/>
        <w:gridCol w:w="109"/>
        <w:gridCol w:w="109"/>
        <w:gridCol w:w="109"/>
        <w:gridCol w:w="109"/>
        <w:gridCol w:w="165"/>
      </w:tblGrid>
      <w:tr>
        <w:trPr/>
        <w:tc>
          <w:tcPr>
            <w:tcW w:w="60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Net to PAA </w:t>
            </w:r>
            <w:r>
              <w:rPr>
                <w:rFonts w:ascii="Times New Roman;serif" w:hAnsi="Times New Roman;serif"/>
                <w:b/>
                <w:color w:val="000000"/>
                <w:sz w:val="10"/>
              </w:rPr>
              <w:t>(1) (2)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7"/>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Consolidated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Continuing Operations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92" w:type="dxa"/>
            <w:gridSpan w:val="4"/>
            <w:tcBorders/>
          </w:tcPr>
          <w:p>
            <w:pPr>
              <w:pStyle w:val="TableContents"/>
              <w:bidi w:val="0"/>
              <w:spacing w:before="0" w:after="283"/>
              <w:jc w:val="left"/>
              <w:rPr>
                <w:sz w:val="4"/>
                <w:szCs w:val="4"/>
              </w:rPr>
            </w:pPr>
            <w:r>
              <w:rPr>
                <w:sz w:val="4"/>
                <w:szCs w:val="4"/>
              </w:rPr>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92" w:type="dxa"/>
            <w:gridSpan w:val="4"/>
            <w:tcBorders/>
          </w:tcPr>
          <w:p>
            <w:pPr>
              <w:pStyle w:val="TableContents"/>
              <w:bidi w:val="0"/>
              <w:spacing w:before="0" w:after="283"/>
              <w:jc w:val="left"/>
              <w:rPr>
                <w:sz w:val="4"/>
                <w:szCs w:val="4"/>
              </w:rPr>
            </w:pPr>
            <w:r>
              <w:rPr>
                <w:sz w:val="4"/>
                <w:szCs w:val="4"/>
              </w:rPr>
            </w:r>
          </w:p>
        </w:tc>
      </w:tr>
      <w:tr>
        <w:trPr/>
        <w:tc>
          <w:tcPr>
            <w:tcW w:w="15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Capital Expenditures</w:t>
            </w:r>
            <w:r>
              <w:rPr>
                <w:color w:val="000000"/>
              </w:rPr>
              <w:t xml:space="preserve"> </w:t>
            </w:r>
            <w:r>
              <w:rPr>
                <w:rFonts w:ascii="Times New Roman;serif" w:hAnsi="Times New Roman;serif"/>
                <w:b/>
                <w:color w:val="000000"/>
                <w:sz w:val="10"/>
              </w:rPr>
              <w:t>(3)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Maintenance capital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capital</w:t>
            </w:r>
            <w:r>
              <w:rPr>
                <w:color w:val="000000"/>
              </w:rPr>
              <w:t xml:space="preserve"> </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Maintenance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Maintenance capital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capital </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Excludes expenditures attributable to noncontrolling interests, which primarily relate to the Permian JV. Includes results from continuing operations and discontinued operations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Includes results from continuing operations and discontinued operations for all periods presented. Capital expenditures related to discontinued operations were $99 million and $70 million for investment and maintenance capital for the year ended December 31, 2025, respectively. Capital expenditures for investment and maintenance capital related to discontinued operations were $115 million and $74 million for the year ended December 31, 2024, respectively. There was no acquisition capital related to discontinued operations for any period presented.</w:t>
      </w:r>
    </w:p>
    <w:p>
      <w:pPr>
        <w:pStyle w:val="TextBody"/>
        <w:bidi w:val="0"/>
        <w:spacing w:lineRule="auto" w:line="288" w:before="120" w:after="283"/>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pStyle w:val="TextBody"/>
        <w:bidi w:val="0"/>
        <w:spacing w:lineRule="auto" w:line="288" w:before="120" w:after="283"/>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pStyle w:val="TextBody"/>
        <w:bidi w:val="0"/>
        <w:spacing w:lineRule="auto" w:line="288" w:before="120" w:after="283"/>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Acquisition capital for 2025 primarily includes the acquisitions of (i) EPIC (Cactus III), (ii) Ironwood Midstream, (iii) EMG Medallion 2 Holdings, LLC and its subsidiaries by the Permian JV, (iv) Black Knight Midstream, LLC by the Permian JV, (v) the remaining 50% interest in Cheyenne Pipeline LLC through a non-cash transaction, and (vi) an additional 20% interest in BridgeTex Pipeline. Acquisition capital for 2024 primarily includes the acquisitions of additional ownership interests in equity method investees. See Note 8 and Note 9 to our Consolidated Financial Statements for additional information.</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Investment Capital Projects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investment capital programs consist of investments in midstream infrastructure projects that build upon our core assets and operations. The majority of this investment capital consists of highly-contracted projects that complement our broader system capabilities and support the long-term needs of the upstream and downstream sectors of the industry value chain. The following table summarizes our investment in capital projects related to continuing operations and discontinued operations (in millions):</w:t>
      </w:r>
    </w:p>
    <w:tbl>
      <w:tblPr>
        <w:tblW w:w="6368" w:type="dxa"/>
        <w:jc w:val="left"/>
        <w:tblInd w:w="0" w:type="dxa"/>
        <w:tblLayout w:type="fixed"/>
        <w:tblCellMar>
          <w:top w:w="28" w:type="dxa"/>
          <w:left w:w="28" w:type="dxa"/>
          <w:bottom w:w="28" w:type="dxa"/>
          <w:right w:w="28" w:type="dxa"/>
        </w:tblCellMar>
      </w:tblPr>
      <w:tblGrid>
        <w:gridCol w:w="1292"/>
        <w:gridCol w:w="1131"/>
        <w:gridCol w:w="1146"/>
        <w:gridCol w:w="109"/>
        <w:gridCol w:w="109"/>
        <w:gridCol w:w="109"/>
        <w:gridCol w:w="220"/>
        <w:gridCol w:w="489"/>
        <w:gridCol w:w="113"/>
        <w:gridCol w:w="113"/>
        <w:gridCol w:w="113"/>
        <w:gridCol w:w="113"/>
        <w:gridCol w:w="220"/>
        <w:gridCol w:w="489"/>
        <w:gridCol w:w="121"/>
        <w:gridCol w:w="109"/>
        <w:gridCol w:w="109"/>
        <w:gridCol w:w="109"/>
        <w:gridCol w:w="154"/>
      </w:tblGrid>
      <w:tr>
        <w:trPr/>
        <w:tc>
          <w:tcPr>
            <w:tcW w:w="129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481" w:type="dxa"/>
            <w:gridSpan w:val="4"/>
            <w:tcBorders/>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Projects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Complementary Permian Basin Projects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Permian Basin Takeaway Pipeline Projects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NGL Projects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Projects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Includes projects associated with assets included in the Permian JV.</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Projected 2026 Capital Expenditures.</w:t>
      </w:r>
      <w:r>
        <w:rPr>
          <w:color w:val="000000"/>
        </w:rPr>
        <w:t> </w:t>
      </w:r>
      <w:r>
        <w:rPr>
          <w:rFonts w:ascii="Times New Roman;serif" w:hAnsi="Times New Roman;serif"/>
          <w:b w:val="false"/>
          <w:color w:val="000000"/>
          <w:sz w:val="20"/>
        </w:rPr>
        <w:t>Total investment capital for the year ending December 31, 2026 is currently projected to be approximately $440 million ($350 million net to our interest), which includes approximately $15 million related to discontinued operations. Approximately half of our projected investment capital expenditures are expected to be invested in the Permian JV assets. Additionally, maintenance capital for 2026 is currently projected to be approximately $185 million ($165 million net to our interest), which includes approximately $15 million related to discontinued operations. We expect to fund our 2026 investment and maintenance capital expenditures primarily with retained cash flow. Note that potential variation to current capital cost estimates may result from (i) changes to project design, (ii) final cost of materials and labor, (iii) timing of incurrence of costs due to uncontrollable factors such as receipt of permits or regulatory approvals and weather and (iv) timely closing of the Canadian NGL Business divestiture.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Ongoing Activities Related to Strategic Transactions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Business—Acquisitions and divestitures involve risks that may adversely affect PAA’s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Pending Sale of Canadian NGL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17, 2025, PAA entered into a definitive SPA with Keyera, pursuant to which Keyera agreed to acquire all of the issued and outstanding shares of PMC ULC, PAA’s wholly-owned subsidiary that owns substantially all of the Canadian NGL Business. This transaction is expected to close around the end of the first quarter of 2026, subject to the satisfaction or waiver of customary closing conditions, including receipt of regulatory approvals. PAA expects to receive net proceeds from the sale of approximately $3.2 billion, after taxes, expenses and a potential special one-time distribution that is subject to approval by the board of directors of our general partner. Any proceeds from the pending sale of the Canadian NGL Business will be used to reduce leverage. See Note 1 to our Consolidated Financial Statements for additional information regarding the pending sale of the Canadian NGL Business.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financing activities primarily relate to funding investment capital projects, acquisitions and refinancing of debt maturities, as well as short-term working capital (including borrowings for NYMEX and ICE margin deposits) and hedged inventory borrowings related to our NGL business and contango market activities, and the payment of distributions to our shareholders and noncontrolling interests.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Borrowings and Repayments Under Credit Agreements and Term Loans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PAA had net borrowings under its commercial paper program of $577 million. The net borrowings resulted primarily from funding needs for EPIC acquisition. See Note 8 to our Consolidated Financial Statements for additional information regarding this acquisition.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PAA had net repayments under its commercial paper program of $40 million. The net repayments resulted primarily from cash flow from operating activities and proceeds from the issuance of $650 million, 5.70% senior notes in June 2024, which offset borrowings during the year related to funding needs for capital investments, inventory purchases, repayment of $750 million, 3.60% senior notes due November 2024, and other general partnership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EPIC acquisition completed in November 2025, PAA assumed the EPIC credit agreement, which provided for a $1.2 billion term loan (the “EPIC term loan”) and a $125 million revolving credit facility. In November 2025, PAA entered into a term loan agreement that provides for a $1.1 billion senior unsecured term loan. On December 1, 2025, PAA used the proceeds from this term loan to repay the $1.1 billion of borrowings outstanding under the EPIC term loan and terminated the EPIC credit agreement. The closing of the Canadian NGL Business divestiture will trigger mandatory prepayment of all amounts outstanding under the PAA term loan agreement within seven business days of the closing of such divestiture. We intend to use a portion of the proceeds from the pending sale of the Canadian NGL Business to repay the borrowings outstanding under the term loan. See Note 11 for additional information regarding the EPIC credit agreement and the PAA term loan agreement.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Senior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Issuances of PAA Senior Notes.</w:t>
      </w:r>
      <w:r>
        <w:rPr>
          <w:color w:val="000000"/>
        </w:rPr>
        <w:t xml:space="preserve"> </w:t>
      </w:r>
      <w:r>
        <w:rPr>
          <w:rFonts w:ascii="Times New Roman;serif" w:hAnsi="Times New Roman;serif"/>
          <w:b w:val="false"/>
          <w:color w:val="000000"/>
          <w:sz w:val="20"/>
        </w:rPr>
        <w:t xml:space="preserve">During 2025 and 2024, PAA issued senior unsecured notes as summarized in the table below (in millions):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541"/>
        <w:gridCol w:w="458"/>
        <w:gridCol w:w="422"/>
        <w:gridCol w:w="109"/>
        <w:gridCol w:w="109"/>
        <w:gridCol w:w="109"/>
        <w:gridCol w:w="975"/>
        <w:gridCol w:w="975"/>
        <w:gridCol w:w="978"/>
        <w:gridCol w:w="109"/>
        <w:gridCol w:w="109"/>
        <w:gridCol w:w="109"/>
        <w:gridCol w:w="443"/>
        <w:gridCol w:w="406"/>
        <w:gridCol w:w="387"/>
        <w:gridCol w:w="109"/>
        <w:gridCol w:w="109"/>
        <w:gridCol w:w="109"/>
        <w:gridCol w:w="211"/>
        <w:gridCol w:w="616"/>
        <w:gridCol w:w="109"/>
        <w:gridCol w:w="109"/>
        <w:gridCol w:w="109"/>
        <w:gridCol w:w="109"/>
        <w:gridCol w:w="224"/>
        <w:gridCol w:w="495"/>
        <w:gridCol w:w="115"/>
        <w:gridCol w:w="109"/>
        <w:gridCol w:w="109"/>
        <w:gridCol w:w="109"/>
        <w:gridCol w:w="224"/>
        <w:gridCol w:w="495"/>
        <w:gridCol w:w="115"/>
        <w:gridCol w:w="109"/>
        <w:gridCol w:w="109"/>
        <w:gridCol w:w="163"/>
      </w:tblGrid>
      <w:tr>
        <w:trPr/>
        <w:tc>
          <w:tcPr>
            <w:tcW w:w="54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Gross</w:t>
            </w:r>
          </w:p>
          <w:p>
            <w:pPr>
              <w:pStyle w:val="TableContents"/>
              <w:bidi w:val="0"/>
              <w:spacing w:lineRule="auto" w:line="240" w:before="0" w:after="0"/>
              <w:jc w:val="center"/>
              <w:rPr/>
            </w:pPr>
            <w:r>
              <w:rPr>
                <w:rFonts w:ascii="Times New Roman;serif" w:hAnsi="Times New Roman;serif"/>
                <w:b/>
                <w:color w:val="000000"/>
                <w:sz w:val="16"/>
              </w:rPr>
              <w:t>Proceeds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w:t>
            </w:r>
          </w:p>
          <w:p>
            <w:pPr>
              <w:pStyle w:val="TableContents"/>
              <w:bidi w:val="0"/>
              <w:spacing w:lineRule="auto" w:line="240" w:before="0" w:after="0"/>
              <w:jc w:val="center"/>
              <w:rPr/>
            </w:pPr>
            <w:r>
              <w:rPr>
                <w:rFonts w:ascii="Times New Roman;serif" w:hAnsi="Times New Roman;serif"/>
                <w:b/>
                <w:color w:val="000000"/>
                <w:sz w:val="16"/>
              </w:rPr>
              <w:t>Proceeds</w:t>
            </w:r>
            <w:r>
              <w:rPr>
                <w:rFonts w:ascii="Times New Roman;serif" w:hAnsi="Times New Roman;serif"/>
                <w:b/>
                <w:color w:val="000000"/>
                <w:sz w:val="10"/>
              </w:rPr>
              <w:t>(2)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4.70% PAA senior notes issued at 99.872% of face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(3)</w:t>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5.60% PAA senior notes issued at 100.518% of face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(3)</w:t>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4.70% PAA senior notes issued at 99.865% of face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(4)</w:t>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5.60% PAA senior notes issued at 99.798% of face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(4)</w:t>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5.95% PAA senior notes issued at 99.761% of face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(5)</w:t>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5.70% PAA senior notes issued at 99.953% of face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(6)</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Face value of notes less the applicable premium or discount (before deducting for initial purchaser discounts, commissions and offering expenses).</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Face value of notes less the applicable premium or discount, initial purchaser discounts, commissions and offering expenses.</w:t>
      </w:r>
    </w:p>
    <w:p>
      <w:pPr>
        <w:pStyle w:val="TextBody"/>
        <w:bidi w:val="0"/>
        <w:spacing w:lineRule="auto" w:line="288" w:before="120" w:after="283"/>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PAA used the net proceeds from these offerings for general partnership purposes.</w:t>
      </w:r>
    </w:p>
    <w:p>
      <w:pPr>
        <w:pStyle w:val="TextBody"/>
        <w:bidi w:val="0"/>
        <w:spacing w:lineRule="auto" w:line="288" w:before="120" w:after="283"/>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PAA used the net proceeds from these offerings to (i) redeem on October 3, 2025 the principal amount of its $1.0 billion, 4.65% senior notes due October 2025 and (ii) fund a portion of the purchase price for the EPIC Pipeline acquisition. See Note 8 to our Consolidated Financial Statements for additional information regarding this acquisition.</w:t>
      </w:r>
    </w:p>
    <w:p>
      <w:pPr>
        <w:pStyle w:val="TextBody"/>
        <w:bidi w:val="0"/>
        <w:spacing w:lineRule="auto" w:line="288" w:before="120" w:after="283"/>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PAA used the net proceeds from this offering to (i) fund the acquisitions completed during the first quarter of 2025, (ii) fund the repurchase in January 2025 of 12.7 million Series A preferred units, including accrued and unpaid distributions and (iii) repay outstanding borrowings under its credit facilities and commercial paper program, and pending such uses, for general partnership purposes. See Note 8 and Note 12 to its Consolidated Financial Statements for additional information regarding its recently completed acquisitions and its Series A preferred units, respectively.</w:t>
      </w:r>
    </w:p>
    <w:p>
      <w:pPr>
        <w:pStyle w:val="TextBody"/>
        <w:bidi w:val="0"/>
        <w:spacing w:lineRule="auto" w:line="288" w:before="120" w:after="283"/>
        <w:ind w:left="0" w:right="0" w:hanging="720"/>
        <w:jc w:val="left"/>
        <w:rPr/>
      </w:pPr>
      <w:r>
        <w:rPr>
          <w:rFonts w:ascii="Times New Roman;serif" w:hAnsi="Times New Roman;serif"/>
          <w:b w:val="false"/>
          <w:color w:val="000000"/>
          <w:sz w:val="13"/>
        </w:rPr>
        <w:t>(6)</w:t>
      </w:r>
      <w:r>
        <w:rPr>
          <w:rFonts w:ascii="Times New Roman;serif" w:hAnsi="Times New Roman;serif"/>
          <w:b w:val="false"/>
          <w:color w:val="000000"/>
          <w:sz w:val="20"/>
        </w:rPr>
        <w:t>PAA used the net proceeds from the offering, along with other cash on hand, to repay on November 1, 2024 the principal amount of its $750 million, 3.60% senior notes due November 2024. Prior to such repayment, PAA used a portion of the net proceeds from the offering to repay outstanding borrowings under its commercial paper program and for general partnership purposes.</w:t>
      </w:r>
    </w:p>
    <w:p>
      <w:pPr>
        <w:pStyle w:val="TextBody"/>
        <w:bidi w:val="0"/>
        <w:spacing w:before="0" w:after="0"/>
        <w:ind w:left="0" w:right="0" w:firstLine="720"/>
        <w:jc w:val="left"/>
        <w:rPr/>
      </w:pPr>
      <w:r>
        <w:rPr/>
      </w:r>
    </w:p>
    <w:p>
      <w:pPr>
        <w:pStyle w:val="TextBody"/>
        <w:bidi w:val="0"/>
        <w:spacing w:lineRule="auto" w:line="288" w:before="120" w:after="283"/>
        <w:ind w:left="0" w:right="0" w:firstLine="720"/>
        <w:jc w:val="left"/>
        <w:rPr/>
      </w:pPr>
      <w:r>
        <w:rPr>
          <w:rFonts w:ascii="Times New Roman;serif" w:hAnsi="Times New Roman;serif"/>
          <w:b w:val="false"/>
          <w:i/>
          <w:color w:val="000000"/>
          <w:sz w:val="20"/>
        </w:rPr>
        <w:t>Repayments of PAA Senior Notes.</w:t>
      </w:r>
      <w:r>
        <w:rPr>
          <w:color w:val="000000"/>
        </w:rPr>
        <w:t> </w:t>
      </w:r>
      <w:r>
        <w:rPr>
          <w:rFonts w:ascii="Times New Roman;serif" w:hAnsi="Times New Roman;serif"/>
          <w:b w:val="false"/>
          <w:color w:val="000000"/>
          <w:sz w:val="20"/>
        </w:rPr>
        <w:t xml:space="preserve">During 2025 and 2024, PAA repaid the following senior unsecured notes in full (in millions): </w:t>
      </w:r>
    </w:p>
    <w:p>
      <w:pPr>
        <w:pStyle w:val="TextBody"/>
        <w:bidi w:val="0"/>
        <w:spacing w:before="0" w:after="0"/>
        <w:ind w:left="0" w:right="0" w:firstLine="720"/>
        <w:jc w:val="left"/>
        <w:rPr/>
      </w:pPr>
      <w:r>
        <w:rPr/>
      </w:r>
    </w:p>
    <w:tbl>
      <w:tblPr>
        <w:tblW w:w="7396" w:type="dxa"/>
        <w:jc w:val="center"/>
        <w:tblInd w:w="0" w:type="dxa"/>
        <w:tblLayout w:type="fixed"/>
        <w:tblCellMar>
          <w:top w:w="28" w:type="dxa"/>
          <w:left w:w="28" w:type="dxa"/>
          <w:bottom w:w="28" w:type="dxa"/>
          <w:right w:w="28" w:type="dxa"/>
        </w:tblCellMar>
      </w:tblPr>
      <w:tblGrid>
        <w:gridCol w:w="585"/>
        <w:gridCol w:w="516"/>
        <w:gridCol w:w="518"/>
        <w:gridCol w:w="109"/>
        <w:gridCol w:w="109"/>
        <w:gridCol w:w="109"/>
        <w:gridCol w:w="1004"/>
        <w:gridCol w:w="1004"/>
        <w:gridCol w:w="1007"/>
        <w:gridCol w:w="109"/>
        <w:gridCol w:w="109"/>
        <w:gridCol w:w="109"/>
        <w:gridCol w:w="469"/>
        <w:gridCol w:w="469"/>
        <w:gridCol w:w="471"/>
        <w:gridCol w:w="109"/>
        <w:gridCol w:w="109"/>
        <w:gridCol w:w="109"/>
        <w:gridCol w:w="109"/>
        <w:gridCol w:w="109"/>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$1,000 million 4.65% PAA senior notes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October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$750 million 3.60% PAA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PAA repaid these senior notes with a combination of proceeds from its senior notes issued in September 2025, cash on hand and borrowings under its commercial paper program.</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PAA repaid these senior notes with a combination of proceeds from its senior notes issued in June 2024, cash on hand and borrowings under its commercial paper program.</w:t>
      </w:r>
    </w:p>
    <w:p>
      <w:pPr>
        <w:pStyle w:val="TextBody"/>
        <w:bidi w:val="0"/>
        <w:spacing w:before="120" w:after="283"/>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Registration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PAA Registration Statements</w:t>
      </w:r>
      <w:r>
        <w:rPr>
          <w:rFonts w:ascii="Times New Roman;serif" w:hAnsi="Times New Roman;serif"/>
          <w:b w:val="false"/>
          <w:color w:val="000000"/>
          <w:sz w:val="20"/>
        </w:rPr>
        <w:t>.  PAA periodically accesses the capital markets for both equity and debt financing. PAA has filed with the SEC a universal shelf registration statement that, subject to effectiveness at the time of use, allows PAA to issue up to a specified amount of debt or equity securities (“PAA Traditional Shelf”), under which PAA had approximately $1.1 billion of unsold securities available at December 31, 2025. PAA did not conduct any offerings under its Traditional Shelf during the year 2025. PAA also has access to a universal shelf registration statement (“PAA WKSI Shelf”), which provides it with the ability to offer and sell an unlimited amount of debt and equity securities, subject to market conditions and capital needs. The offerings of PAA’s senior notes during 2025 were conducted under its WKSI Shelf.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Common Equity Repurchase Program</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2020, the board of directors of our general partner approved a $500 million common equity repurchase program (the “Program”) to be utilized as an additional method of returning capital to investors. The Program authorizes the repurchase from time to time of up to $500 million of PAA’s common units and/or our Class A shares via open market purchases or negotiated transactions conducted in accordance with applicable regulatory requirements. Ultimately, the amount, timing and pace of potential repurchase activity will be determined by a number of factors, including market conditions, PAA’s financial performance and flexibility, PAA’s actual and expected free cash flow after distributions, the absolute and relative equity prices of PAA’s common units and our Class A shares, and the extent to which PAA is positioned to achieve and maintain its targeted leverage ratio. No time limit has been set for completion of the Program, and the Program may be suspended or discontinued at any time. The Program does not obligate PAA or us to acquire a particular number of common units or Class A shares. Any PAA common units or Class A shares that are repurchased will be canceled.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 repurchased approximately 0.5 million common units under the Program during the year ended December 31, 2025 for a total purchase price of $8 million, including commissions and fees. There were no repurchases under the Program during the year ended December 31, 2024. The remaining available capacity under the Program as of December 31, 2025 was $190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Preferred Unit Repurchase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31, 2025, PAA repurchased approximately 12.7 million units, or 18%, of its outstanding Series A preferred units at the issue price of $26.25 per unit for a purchase price of approximately $333 million, plus accrued and unpaid distributions through January 30, 2025 of approximately $10 million. PAA used a portion of the net proceeds from its January 2025 senior notes offering to fund this repurchase. See Note 12 to our Consolidated Financial Statements for more information regarding PAA’s Series A preferred units.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Distributions to Our Class A Shareholders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distribute 100% of our available cash to our Class A shareholders of record within 55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among other things, the proper conduct of our business (including future capital expenditures and anticipated credit needs), compliance with legal or contractual obligations and funding of future distributions to our shareholders. See Item 5. “Market for Registrant’s Shares, Related Shareholder Matters and Issuer Purchases of Equity Securities—Cash Distribution Policy” for additional discussion regarding distributions.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13, 2026, we paid a quarterly distribution of $0.4175 per Class A share ($1.67 per Class A share on an annualized basis). The distribution was paid to Class A shareholders of record as of January 30, 2026, with respect to the quarter ended December 31, 2025. See Note 12 to our Consolidated Financial Statements for details of distributions paid during the three years ended December 31,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Distributions to Noncontrolling Interests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 represent amounts paid on interests in consolidated entities that are not owned by us. As of December 31, 2025, noncontrolling interests in our subsidiaries consisted of (i) limited partner interests in PAA including a 70% interest in PAA’s common units and PAA’s Series A preferred units combined and 100% of PAA’s Series B preferred units, (ii) an approximate 15% limited partner interest in AAP, (iii) a 35% interest in the Permian JV, (iv) a 30% interest in Cactus II and (v) a 33% interest in Red River. See Note 12 to our Consolidated Financial Statements for details of distributions paid to noncontrolling interests during the three years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Distributions to PAA’s Series A preferred unitholders.</w:t>
      </w:r>
      <w:r>
        <w:rPr>
          <w:color w:val="000000"/>
        </w:rPr>
        <w:t xml:space="preserve"> </w:t>
      </w:r>
      <w:r>
        <w:rPr>
          <w:rFonts w:ascii="Times New Roman;serif" w:hAnsi="Times New Roman;serif"/>
          <w:b w:val="false"/>
          <w:color w:val="000000"/>
          <w:sz w:val="20"/>
        </w:rPr>
        <w:t>Holders of PAA’s Series A preferred units are entitled to receive quarterly distributions, subject to customary anti-dilution adjustments, of $0.615 per unit ($2.46 per unit annualized).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Distributions to PAA’s Series B preferred unitholders.</w:t>
      </w:r>
      <w:r>
        <w:rPr>
          <w:color w:val="000000"/>
        </w:rPr>
        <w:t xml:space="preserve"> </w:t>
      </w:r>
      <w:r>
        <w:rPr>
          <w:rFonts w:ascii="Times New Roman;serif" w:hAnsi="Times New Roman;serif"/>
          <w:b w:val="false"/>
          <w:color w:val="000000"/>
          <w:sz w:val="20"/>
        </w:rPr>
        <w:t>Holders of PAA’s Series B preferred units are entitled to receive, when, as and if declared by PAA’s general partner out of legally available funds for such purpose, cumulative cash distributions, as applicable. Distributions on the Series B preferred units accumulate based on the applicable three-month SOFR, plus a credit spread adjustment of 0.26161%, plus 4.11% per annum. The distribution rate for the quarterly distribution paid on February 17, 2026 was 8.22342% per annum ($21.02 per Series B preferred unit).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Distributions to PAA’s common unitholders. </w:t>
      </w:r>
      <w:r>
        <w:rPr>
          <w:rFonts w:ascii="Times New Roman;serif" w:hAnsi="Times New Roman;serif"/>
          <w:b w:val="false"/>
          <w:color w:val="000000"/>
          <w:sz w:val="20"/>
        </w:rPr>
        <w:t xml:space="preserve">On February 13, 2026, PAA paid a quarterly distribution of $0.4175 per common unit ($1.67 per common unit on an annualized basis). The total distribution of $295 million was paid to common unitholders of record as of January 30, 2026, with respect to the quarter ended December 31, 2025.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12 to our Consolidated Financial Statements for details of distributions paid during the three years ended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discussion of contingencies that may impact us, see Note 19 to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Commitments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11 to our Consolidated Financial Statements for information regarding our debt obligations and Note 19 for information regarding our leases and other commitments.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Purchase Obligations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doing business, we purchase crude oil from third parties under contracts, the majority of which range in term from thirty-day evergreen to five years, with a limited number of contracts with remaining terms extending up to 10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our best estimate of the amount and timing of these payments as of December 31, 2025 (in millions):</w:t>
      </w:r>
    </w:p>
    <w:p>
      <w:pPr>
        <w:pStyle w:val="TextBody"/>
        <w:bidi w:val="0"/>
        <w:spacing w:before="0" w:after="0"/>
        <w:jc w:val="left"/>
        <w:rPr/>
      </w:pPr>
      <w:r>
        <w:rPr/>
      </w:r>
    </w:p>
    <w:tbl>
      <w:tblPr>
        <w:tblW w:w="10600" w:type="dxa"/>
        <w:jc w:val="center"/>
        <w:tblInd w:w="0" w:type="dxa"/>
        <w:tblLayout w:type="fixed"/>
        <w:tblCellMar>
          <w:top w:w="28" w:type="dxa"/>
          <w:left w:w="28" w:type="dxa"/>
          <w:bottom w:w="28" w:type="dxa"/>
          <w:right w:w="28" w:type="dxa"/>
        </w:tblCellMar>
      </w:tblPr>
      <w:tblGrid>
        <w:gridCol w:w="435"/>
        <w:gridCol w:w="382"/>
        <w:gridCol w:w="38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2031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Crude oil and other purchases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Amounts are primarily based on estimated volumes and market prices based on average activity during December 2025.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Letters of Credit.</w:t>
      </w:r>
      <w:r>
        <w:rPr>
          <w:color w:val="000000"/>
        </w:rPr>
        <w:t xml:space="preserve"> </w:t>
      </w:r>
      <w:r>
        <w:rPr>
          <w:rFonts w:ascii="Times New Roman;serif" w:hAnsi="Times New Roman;serif"/>
          <w:b w:val="false"/>
          <w:color w:val="000000"/>
          <w:sz w:val="20"/>
        </w:rPr>
        <w:t>In connection with our merchant activities, we provide certain suppliers with irrevocable standby letters of credit to secure 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2025 and 2024, we had outstanding letters of credit of approximately $95 million and $90 million,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 off-balance sheet arrangements as defined by Item 303 of Regulation S-K.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Investments in Unconsolidated Entities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invested in entities that are not consolidated in our financial statements. None of these entities had debt outstanding as of December 31, 2025. We may elect at any time to make additional capital contributions to any of these entities. The following table sets forth selected information regarding these entities as of December 31, 2025 (unaudited, dollars in millions):</w:t>
      </w:r>
    </w:p>
    <w:tbl>
      <w:tblPr>
        <w:tblW w:w="10205" w:type="dxa"/>
        <w:jc w:val="left"/>
        <w:tblInd w:w="0" w:type="dxa"/>
        <w:tblLayout w:type="fixed"/>
        <w:tblCellMar>
          <w:top w:w="28" w:type="dxa"/>
          <w:left w:w="28" w:type="dxa"/>
          <w:bottom w:w="28" w:type="dxa"/>
          <w:right w:w="28" w:type="dxa"/>
        </w:tblCellMar>
      </w:tblPr>
      <w:tblGrid>
        <w:gridCol w:w="1199"/>
        <w:gridCol w:w="1040"/>
        <w:gridCol w:w="1053"/>
        <w:gridCol w:w="109"/>
        <w:gridCol w:w="109"/>
        <w:gridCol w:w="109"/>
        <w:gridCol w:w="871"/>
        <w:gridCol w:w="871"/>
        <w:gridCol w:w="873"/>
        <w:gridCol w:w="109"/>
        <w:gridCol w:w="109"/>
        <w:gridCol w:w="109"/>
        <w:gridCol w:w="295"/>
        <w:gridCol w:w="295"/>
        <w:gridCol w:w="296"/>
        <w:gridCol w:w="109"/>
        <w:gridCol w:w="109"/>
        <w:gridCol w:w="109"/>
        <w:gridCol w:w="211"/>
        <w:gridCol w:w="616"/>
        <w:gridCol w:w="109"/>
        <w:gridCol w:w="109"/>
        <w:gridCol w:w="109"/>
        <w:gridCol w:w="109"/>
        <w:gridCol w:w="279"/>
        <w:gridCol w:w="477"/>
        <w:gridCol w:w="145"/>
        <w:gridCol w:w="109"/>
        <w:gridCol w:w="158"/>
      </w:tblGrid>
      <w:tr>
        <w:trPr/>
        <w:tc>
          <w:tcPr>
            <w:tcW w:w="119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Type of Operation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Our</w:t>
              <w:br/>
              <w:t>Ownership</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br/>
              <w:t>Entity</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Cash</w:t>
              <w:br/>
              <w:t>and</w:t>
              <w:br/>
              <w:t>Restricted</w:t>
              <w:br/>
              <w:t>Cash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BridgeTex Pipeline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Capline Pipeline Company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Diamond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Crude Oil Pipeline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Eagle Ford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Crude Oil Pipeline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Eagle Ford Terminals Corpus Christi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Crude Oil Terminal and Dock</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Saddlehorn Pipeline Company,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White Cliffs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Wink to Webster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We serve as operator of the asset.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the assumptions, judgments and estimates involved in the accounting for our (i) estimated fair value of assets and liabilities acquired and identification of associated goodwill and intangible assets, (ii) fair value of derivatives, (iii) accruals and contingent liabilities, (iv) property and equipment, depreciation and amortization expense and asset retirement obligations, (v) impairment assessments of property and equipment, investments in unconsolidated entities and intangible assets and (vi) inventory valuations have the greatest potential impact on our Consolidated Financial Statements. These areas are key components of our results of operations and are based on complex rules which require us to make judgments and estimates. Therefore, we consider these to be our critical accounting policies and estimates, which are discussed below. For further information on all of our significant accounting policies, see Note 2 to our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Fair Value of Assets and Liabilities Acquired and Identification of Associated Goodwill and Intangible Assets.</w:t>
      </w:r>
      <w:r>
        <w:rPr>
          <w:color w:val="000000"/>
        </w:rPr>
        <w:t xml:space="preserve"> </w:t>
      </w:r>
      <w:r>
        <w:rPr>
          <w:rFonts w:ascii="Times New Roman;serif" w:hAnsi="Times New Roman;serif"/>
          <w:b w:val="false"/>
          <w:color w:val="000000"/>
          <w:sz w:val="20"/>
        </w:rPr>
        <w:t>In accordance with Financial Accounting Standards Board (“FASB”) guidance regarding business combinations, with each acquisition, we allocate the cost of the acquired entity to the assets acquired and liabilities assumed based on their estimated fair values at the date of acquisition. If the initial accounting for the business combination is incomplete when the combination occurs, an estimate will be recorded. We also expense the transaction costs as incurred in connection with each acquisition, except for acquisitions of equity method investments. In addition, we are required to recognize intangible assets separately from goodwill.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third-party assessments.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Through two separate transactions completed in the fourth quarter of 2025, we acquired 100% of the entity that owns EPIC Crude Oil Pipeline for aggregate consideration of approximately $2.9 billion, inclusive of approximately $1.1 billion of debt assumed. We also agreed to aggregate potential earnout payments of up to approximately $350 million.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31, 2025, we acquired Ironwood Midstream Energy Partners II, LLC (“Ironwood Midstream”), which owns a gathering system in the Eagle Ford Basin, for approximately $481 million in cash.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8 to our Consolidated Financial Statements for discussion of the methods, assumptions and estimates used in the determination of the fair value of the assets and liabilities acquired and identification of associated intangible assets for these transactions.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Fair Value of Derivatives.</w:t>
      </w:r>
      <w:r>
        <w:rPr>
          <w:color w:val="000000"/>
        </w:rPr>
        <w:t xml:space="preserve"> </w:t>
      </w:r>
      <w:r>
        <w:rPr>
          <w:rFonts w:ascii="Times New Roman;serif" w:hAnsi="Times New Roman;serif"/>
          <w:b w:val="false"/>
          <w:color w:val="000000"/>
          <w:sz w:val="20"/>
        </w:rPr>
        <w:t>The fair value of a derivative at a particular period end does not reflect the end results of a particular transaction, and will most likely not reflect the gain or loss at the conclusion of a transaction. We reflect estimates for these items based on our internal records and information from third parties. We have commodity, interest rate and foreign currency derivatives that are accounted for as assets and liabilities at fair value on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the resolution of the uncertainties involved in these estimates has not historically had a material impact on our results of operations or financial condition, we cannot provide assurance that actual amounts will not vary significantly from estimated amounts. See Item 7A.  Quantitative and Qualitative Disclosures About Market Risk and Note 13 to our Consolidated Financial Statements for a discussion regarding our derivatives and risk management activities.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Accruals and Contingent Liabilities.</w:t>
      </w:r>
      <w:r>
        <w:rPr>
          <w:color w:val="000000"/>
        </w:rPr>
        <w:t xml:space="preserve">  </w:t>
      </w:r>
      <w:r>
        <w:rPr>
          <w:rFonts w:ascii="Times New Roman;serif" w:hAnsi="Times New Roman;serif"/>
          <w:b w:val="false"/>
          <w:color w:val="000000"/>
          <w:sz w:val="20"/>
        </w:rPr>
        <w:t>We record accruals or liabilities for, among other things, environmental remediation, potential legal claims or settlements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$9 million. Although the resolution of these uncertainties has not historically had a material impact on our results of operations or financial condition, we cannot provide assurance that actual amounts will not vary significantly from estimated amounts.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Property and Equipment, Depreciation and Amortization Expense and Asset Retirement Obligations.</w:t>
      </w:r>
      <w:r>
        <w:rPr>
          <w:color w:val="000000"/>
        </w:rPr>
        <w:t xml:space="preserve"> </w:t>
      </w:r>
      <w:r>
        <w:rPr>
          <w:rFonts w:ascii="Times New Roman;serif" w:hAnsi="Times New Roman;serif"/>
          <w:b w:val="false"/>
          <w:color w:val="000000"/>
          <w:sz w:val="20"/>
        </w:rPr>
        <w:t>We compute depreciation and amortization 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 A hypothetical variance of 5% in our aggregate estimate for the retirement obligations discussed above would have an impact on earnings of up to approximately $6 million. Although the resolution of these uncertainties has not historically had a material impact on our results of operations or financial condition, we cannot provide assurance that actual amounts will not vary significantly from estimated amounts.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7 and Note 10 to our Consolidated Financial Statements for additional information on our property and equipment, intangible assets and depreciation and amortization expense. See Note 2 to our Consolidated Financial Statements for additional information on our asset retirement obligations.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Impairment Assessments of Property and Equipment, Investments in Unconsolidated Entities and Intangible Assets. </w:t>
      </w:r>
      <w:r>
        <w:rPr>
          <w:rFonts w:ascii="Times New Roman;serif" w:hAnsi="Times New Roman;serif"/>
          <w:b w:val="false"/>
          <w:color w:val="000000"/>
          <w:sz w:val="20"/>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whether there is an event or circumstance that may be indicative of an impairment;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grouping of assets;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intention of “holding”, “abandoning” or “selling” an asset;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forecast of undiscounted expected future cash flow over the asset’s estimated useful life;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an impairment exists, the fair value of the asset or asset group.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when we evaluate property and equipment and other long-lived assets for recoverability, it may also be necessary to review related depreciation estimates and methods.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 accounted for under the equity method of accounting are assessed for impairment when events or circumstances suggest that a decline in value may be other than temporary. Examples of such events or circumstances include continuing operating losses of the entity and/or long-term negative changes in the entity’s core business. When it is determined that an indicated impairment is other than temporary, a charge is recognized for the difference between the investment’s carrying amount and its estimated fair value. We consider the fair value estimate used to calculate the impairment of investments in unconsolidated entities a critical accounting estimate. In determining the existence of an other-than-temporary impairment of carrying value, we make a number of subjective assumptions as to:</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whether there is an event or circumstance that may be indicative of a decline in value of the investment;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whether the decline in value is other than temporary;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fair value of the investment.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with indefinite lives are not amortized but are instead periodically assessed for impairment. Intangible assets with finite lives are amortized over their estimated useful life as determined by management. Impairment testing entails estimating future net cash flows relating to the business, based on the grouping of assets and management’s estimate of future revenues, future cash flows and market conditions including pricing, demand, competition, operating costs and other factors. Uncertainties associated with these estimates include changes in production decline rates, production interruptions, fluctuations in refinery capacity or product slates, economic obsolescence factors in the area and potential future sources of cash flow. In addition, changes in our weighted average cost of capital from our estimates could have a significant impact on fair value. We cannot provide assurance that actual amounts will not vary significantly from estimated amounts. Resolutions of these uncertainties have resulted, and in the future may result, in impairments that impact our results of operations and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change in our outlook or use could result in impairments that may be material to our results of operations or financial condition. See “—Executive Summary— Market Overview and Outlook” and Note 7, Note 9 and Note 10 to our Consolidated Financial Statements for additional information.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Inventory Valuations. </w:t>
      </w:r>
      <w:r>
        <w:rPr>
          <w:rFonts w:ascii="Times New Roman;serif" w:hAnsi="Times New Roman;serif"/>
          <w:b w:val="false"/>
          <w:color w:val="000000"/>
          <w:sz w:val="20"/>
        </w:rPr>
        <w:t>Inventory, including long-term inventory, primarily consists of crude oil and NGL and is valued at the lower of cost or net realizable value,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2025, 2024 and 2023, we did not record any charges related to the valuation adjustment of our inventory. See Note 6 to our Consolidated Financial Statements for further discussion regarding inventory.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2 to our Consolidated Financial Statements for information regarding the effect of recent accounting pronouncements on our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7A.  Quantitative and Qualitative Disclosures About Market Risk</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various market risks, including commodity price risk, interest rate risk and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derivative instruments to hedge price risk associated with the following commodities: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u w:val="single"/>
        </w:rPr>
        <w:t>Crude oil</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utilize crude oil derivatives to hedge commodity price risk inherent in our pipeline, terminalling and merchant activities. Our objectives for these derivatives include hedging changes in inventory positions associated with our lease gathering activities, anticipated purchases and sales, stored inventory and basis differentials. We manage these exposures with various instruments including futures, forwards, swaps and options.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u w:val="single"/>
        </w:rPr>
        <w:t>Power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utilize power derivatives to hedge anticipated operational requirements related to our crude oil pipelines. We manage these exposures with various instruments including futures, swaps and options.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13 to our Consolidated Financial Statements for further discussion regarding our hedging strategies and objectives.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our commodity derivatives and the change in fair value as of December 31, 2025 that would be expected from a 10% price increase or decrease is shown in the table below (in millions):</w:t>
      </w:r>
    </w:p>
    <w:p>
      <w:pPr>
        <w:pStyle w:val="TextBody"/>
        <w:bidi w:val="0"/>
        <w:spacing w:before="0" w:after="0"/>
        <w:ind w:left="0" w:right="0" w:firstLine="720"/>
        <w:jc w:val="left"/>
        <w:rPr/>
      </w:pPr>
      <w:r>
        <w:rPr/>
      </w:r>
    </w:p>
    <w:tbl>
      <w:tblPr>
        <w:tblW w:w="5247" w:type="dxa"/>
        <w:jc w:val="center"/>
        <w:tblInd w:w="0" w:type="dxa"/>
        <w:tblLayout w:type="fixed"/>
        <w:tblCellMar>
          <w:top w:w="28" w:type="dxa"/>
          <w:left w:w="28" w:type="dxa"/>
          <w:bottom w:w="28" w:type="dxa"/>
          <w:right w:w="28" w:type="dxa"/>
        </w:tblCellMar>
      </w:tblPr>
      <w:tblGrid>
        <w:gridCol w:w="495"/>
        <w:gridCol w:w="435"/>
        <w:gridCol w:w="435"/>
        <w:gridCol w:w="316"/>
        <w:gridCol w:w="406"/>
        <w:gridCol w:w="164"/>
        <w:gridCol w:w="109"/>
        <w:gridCol w:w="109"/>
        <w:gridCol w:w="109"/>
        <w:gridCol w:w="402"/>
        <w:gridCol w:w="516"/>
        <w:gridCol w:w="208"/>
        <w:gridCol w:w="109"/>
        <w:gridCol w:w="109"/>
        <w:gridCol w:w="109"/>
        <w:gridCol w:w="403"/>
        <w:gridCol w:w="518"/>
        <w:gridCol w:w="295"/>
      </w:tblGrid>
      <w:tr>
        <w:trPr/>
        <w:tc>
          <w:tcPr>
            <w:tcW w:w="4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Effect of 10%</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Price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Effect of 10%</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Price Decrease</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Debt</w:t>
      </w:r>
      <w:r>
        <w:rPr>
          <w:rFonts w:ascii="Times New Roman;serif" w:hAnsi="Times New Roman;serif"/>
          <w:b w:val="false"/>
          <w:color w:val="000000"/>
          <w:sz w:val="20"/>
        </w:rPr>
        <w:t xml:space="preserve">. 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We did not have any interest rate derivatives as of December 31, 2025. All of PAA’s senior notes are fixed rate notes and thus are not subject to interest rate risk. Our variable rate debt outstanding at December 31, 2025, approximately $2.069 billion, was subject to interest rate resets that generally occur within one month or less. The average interest rate on variable rate debt that was outstanding during the year ended December 31, 2025 was 4.6%, based upon rates in effect during the year. See Note 11 to our Consolidated Financial Statements for additional information regarding our debt arrangements.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Series B Preferred Units</w:t>
      </w:r>
      <w:r>
        <w:rPr>
          <w:rFonts w:ascii="Times New Roman;serif" w:hAnsi="Times New Roman;serif"/>
          <w:b w:val="false"/>
          <w:color w:val="000000"/>
          <w:sz w:val="20"/>
        </w:rPr>
        <w:t xml:space="preserve">. Distributions on PAA’s Series B preferred units accumulate and are payable quarterly in arrears on the 15th day of February, May, August and November. Beginning August 15, 2023, distributions on PAA’s Series B preferred units accumulate based on the applicable three-month SOFR, plus certain adjustments. Based upon the Series B preferred units outstanding at December 31, 2025 and the liquidation preference of $1,000 per unit, a change of 100 basis points in interest rates would increase or decrease the annual distributions on PAA’s Series B preferred units by approximately $8 million. See Note 12 to our Consolidated Financial Statements for additional information regarding PAA’s Series B preferred unit distributions.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Currency Exchange Rate Risk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foreign currency derivatives to hedge foreign currency exchange rate risk associated with our exposure to fluctuations in the USD-to-CAD exchange rate. The fair value of our foreign currency derivatives was an asset of $8 million as of December 31, 2025. A 10% increase in the exchange rate (USD-to-CAD) would have resulted in an increase of $329 million to the fair value of our foreign currency derivatives. A 10% decrease in the exchange rate (USD-to-CAD) would have resulted in a decrease of $329 million to the fair value of our foreign currency derivatives. See Note 13 to our Consolidated Financial Statements for additional information regarding our currency exchange rate risk hedging.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8.  </w:t>
      </w:r>
      <w:r>
        <w:rPr>
          <w:rFonts w:ascii="Times New Roman;serif" w:hAnsi="Times New Roman;serif"/>
          <w:b/>
          <w:i/>
          <w:color w:val="000000"/>
          <w:sz w:val="20"/>
        </w:rPr>
        <w:t>Financial Statements and Supplementary Data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“Index to the Consolidated Financial Statements” on page F-1.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9.  </w:t>
      </w:r>
      <w:r>
        <w:rPr>
          <w:rFonts w:ascii="Times New Roman;serif" w:hAnsi="Times New Roman;serif"/>
          <w:b/>
          <w:i/>
          <w:color w:val="000000"/>
          <w:sz w:val="20"/>
        </w:rPr>
        <w:t>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9A.</w:t>
      </w:r>
      <w:r>
        <w:rPr>
          <w:color w:val="000000"/>
        </w:rPr>
        <w:t xml:space="preserve">  </w:t>
      </w:r>
      <w:r>
        <w:rPr>
          <w:rFonts w:ascii="Times New Roman;serif" w:hAnsi="Times New Roman;serif"/>
          <w:b/>
          <w:i/>
          <w:color w:val="000000"/>
          <w:sz w:val="20"/>
        </w:rPr>
        <w:t>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Applicable SEC rules require an evaluation of the effectiveness of our DCP. Management, under the supervision and with the participation of our Chief Executive Officer and Chief Financial Officer, has evaluated the effectiveness of our DCP as of December 31, 2025, the end of the period covered by this report, and, based on such evaluation, our Chief Executive Officer and Chief Financial Officer have concluded that our DCP is effective.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2025. See “Management’s Report on Internal Control Over Financial Reporting” on page F-2 of our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PricewaterhouseCoopers LLP, assessed the effectiveness of our internal control over financial reporting, as stated in the firm’s report. See “Report of Independent Registered Public Accounting Firm” on page F-3 of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fourth quarter of 2025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Certifications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9B.</w:t>
      </w:r>
      <w:r>
        <w:rPr>
          <w:color w:val="000000"/>
        </w:rPr>
        <w:t xml:space="preserve">  </w:t>
      </w:r>
      <w:r>
        <w:rPr>
          <w:rFonts w:ascii="Times New Roman;serif" w:hAnsi="Times New Roman;serif"/>
          <w:b/>
          <w:i/>
          <w:color w:val="000000"/>
          <w:sz w:val="20"/>
        </w:rPr>
        <w:t>Other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quarter ended December 31, 2025, none of our directors or officers (as defined in Rule 16a-1(f) of the Securities Exchange Act of 1934) adopted or terminated a Rule 10b5-1 trading arrangement or non-Rule 10b5-1 trading arrangement (as such terms are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9C.</w:t>
      </w:r>
      <w:r>
        <w:rPr>
          <w:color w:val="000000"/>
        </w:rPr>
        <w:t xml:space="preserve">  </w:t>
      </w:r>
      <w:r>
        <w:rPr>
          <w:rFonts w:ascii="Times New Roman;serif" w:hAnsi="Times New Roman;serif"/>
          <w:b/>
          <w:i/>
          <w:color w:val="000000"/>
          <w:sz w:val="20"/>
        </w:rPr>
        <w:t>Disclosure Regarding Foreign Jurisdictions that Prevent Inspections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10.  </w:t>
      </w:r>
      <w:r>
        <w:rPr>
          <w:rFonts w:ascii="Times New Roman;serif" w:hAnsi="Times New Roman;serif"/>
          <w:b/>
          <w:i/>
          <w:color w:val="000000"/>
          <w:sz w:val="20"/>
        </w:rPr>
        <w:t xml:space="preserve">Directors and Executive Officers of Our General Partner and Corporate Governance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will be set forth in the Proxy Statement for our 2026 Annual Meeting, which will be filed with the SEC within 120 days after the end of the fiscal year ended December 31, 2025, and is incorporated herein by reference thereto.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Directors and Executive Officers</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the date of filing this report, the following individuals were serving as our executive officers and/or directors:</w:t>
      </w:r>
    </w:p>
    <w:tbl>
      <w:tblPr>
        <w:tblW w:w="10046" w:type="dxa"/>
        <w:jc w:val="left"/>
        <w:tblInd w:w="0" w:type="dxa"/>
        <w:tblLayout w:type="fixed"/>
        <w:tblCellMar>
          <w:top w:w="28" w:type="dxa"/>
          <w:left w:w="28" w:type="dxa"/>
          <w:bottom w:w="28" w:type="dxa"/>
          <w:right w:w="28" w:type="dxa"/>
        </w:tblCellMar>
      </w:tblPr>
      <w:tblGrid>
        <w:gridCol w:w="738"/>
        <w:gridCol w:w="647"/>
        <w:gridCol w:w="654"/>
        <w:gridCol w:w="109"/>
        <w:gridCol w:w="109"/>
        <w:gridCol w:w="109"/>
        <w:gridCol w:w="2247"/>
        <w:gridCol w:w="2247"/>
        <w:gridCol w:w="3186"/>
      </w:tblGrid>
      <w:tr>
        <w:trPr/>
        <w:tc>
          <w:tcPr>
            <w:tcW w:w="7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Principal Occupation or Employment</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Willie Chiang </w:t>
            </w:r>
            <w:r>
              <w:rPr>
                <w:rFonts w:ascii="Times New Roman;serif" w:hAnsi="Times New Roman;serif"/>
                <w:b w:val="false"/>
                <w:color w:val="000000"/>
                <w:sz w:val="13"/>
              </w:rPr>
              <w:t>(1)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Chairman of the Board, Chief Executive Officer and President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Chris R. Chandler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Operating Officer</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 Swanson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Jeremy L. Goebel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Commercial Officer</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Richard K. McGee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Secretary</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Chris Herbold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Finance and Chief Accounting Officer</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Greg L. Armstrong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Advisor to the Chief Executive Officer (former Chairman and Chief Executive Officer)</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Victor Burk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Former Senior Advisor, Alvarez and Marsal</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Ellen R. DeSanctis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Former Senior Vice President, ConocoPhillips</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Kevin McCarthy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Former Vice Chairman, Kayne Anderson Capital Advisors, L.P.</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Harry N. Pefanis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Advisor to the Chief Executive Officer (former President)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Gary R. Petersen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Managing Partner, EnCap Investments L.P.</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Alexandra D. Pruner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Advisor, Perella Weinberg Partners</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John T. Raymond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Managing Partner and Chief Executive Officer, The Energy &amp; Minerals Group</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Bobby S. Shackouls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Chairman and CEO, Burlington Resources Inc.</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Lawrence M. Ziemba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Executive Vice President, Refining, Phillips 66</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81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Executive officer (for purposes of Item 401(b) of Regulation S-K)</w:t>
      </w:r>
    </w:p>
    <w:p>
      <w:pPr>
        <w:pStyle w:val="TextBody"/>
        <w:bidi w:val="0"/>
        <w:spacing w:lineRule="auto" w:line="288" w:before="0" w:after="0"/>
        <w:ind w:left="0" w:right="0" w:hanging="81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Director</w:t>
      </w:r>
    </w:p>
    <w:p>
      <w:pPr>
        <w:pStyle w:val="TextBody"/>
        <w:bidi w:val="0"/>
        <w:spacing w:before="0" w:after="0"/>
        <w:ind w:left="0" w:right="0" w:hanging="81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 complete list of our officers, including the executive officers listed above, is available on our website at </w:t>
      </w:r>
      <w:r>
        <w:rPr>
          <w:rFonts w:ascii="Times New Roman;serif" w:hAnsi="Times New Roman;serif"/>
          <w:b w:val="false"/>
          <w:i/>
          <w:color w:val="000000"/>
          <w:sz w:val="20"/>
        </w:rPr>
        <w:t>www.plains.com</w:t>
      </w:r>
      <w:r>
        <w:rPr>
          <w:color w:val="000000"/>
        </w:rPr>
        <w:t xml:space="preserve"> </w:t>
      </w:r>
      <w:r>
        <w:rPr>
          <w:rFonts w:ascii="Times New Roman;serif" w:hAnsi="Times New Roman;serif"/>
          <w:b w:val="false"/>
          <w:color w:val="000000"/>
          <w:sz w:val="20"/>
        </w:rPr>
        <w:t>under Who We Are—Leadership.</w:t>
      </w:r>
    </w:p>
    <w:p>
      <w:pPr>
        <w:pStyle w:val="TextBody"/>
        <w:bidi w:val="0"/>
        <w:spacing w:before="0" w:after="0"/>
        <w:ind w:left="0" w:right="0" w:hanging="81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erif" w:hAnsi="Times New Roman;serif"/>
          <w:b/>
          <w:color w:val="000000"/>
          <w:sz w:val="20"/>
        </w:rPr>
        <w:t xml:space="preserve">Item 11.  </w:t>
      </w:r>
      <w:r>
        <w:rPr>
          <w:rFonts w:ascii="Times New Roman;serif" w:hAnsi="Times New Roman;serif"/>
          <w:b/>
          <w:i/>
          <w:color w:val="000000"/>
          <w:sz w:val="20"/>
        </w:rPr>
        <w:t>Executive Compensation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will be set forth in the Proxy Statement for our 2026 Annual Meeting, which will be filed with the SEC within 120 days after the end of the fiscal year ended December 31, 2025, and is incorporated herein by reference thereto.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erif" w:hAnsi="Times New Roman;serif"/>
          <w:b/>
          <w:color w:val="000000"/>
          <w:sz w:val="20"/>
        </w:rPr>
        <w:t xml:space="preserve">Item 12.  </w:t>
      </w:r>
      <w:r>
        <w:rPr>
          <w:rFonts w:ascii="Times New Roman;serif" w:hAnsi="Times New Roman;serif"/>
          <w:b/>
          <w:i/>
          <w:color w:val="000000"/>
          <w:sz w:val="20"/>
        </w:rPr>
        <w:t>Security Ownership of Certain Beneficial Owners and Management and Related Shareholder Matters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in the Proxy Statement for our 2026 Annual Meeting, which will be filed with the SEC within 120 days after the end of the fiscal year ended December 31, 2025, and is incorporated herein by reference thereto.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pPr>
      <w:r>
        <w:rPr>
          <w:rFonts w:ascii="Times New Roman;serif" w:hAnsi="Times New Roman;serif"/>
          <w:b/>
          <w:color w:val="000000"/>
          <w:sz w:val="20"/>
        </w:rPr>
        <w:t xml:space="preserve">Item 13.  </w:t>
      </w:r>
      <w:r>
        <w:rPr>
          <w:rFonts w:ascii="Times New Roman;serif" w:hAnsi="Times New Roman;serif"/>
          <w:b/>
          <w:i/>
          <w:color w:val="000000"/>
          <w:sz w:val="20"/>
        </w:rPr>
        <w:t>Certain Relationships and Related Transactions, and Director Independence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will be set forth in the Proxy Statement for our 2026 Annual Meeting, which will be filed with the SEC within 120 days after the end of the fiscal year ended December 31, 2025, and is incorporated herein by reference thereto.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erif" w:hAnsi="Times New Roman;serif"/>
          <w:b/>
          <w:color w:val="000000"/>
          <w:sz w:val="20"/>
        </w:rPr>
        <w:t xml:space="preserve">Item 14.  </w:t>
      </w:r>
      <w:r>
        <w:rPr>
          <w:rFonts w:ascii="Times New Roman;serif" w:hAnsi="Times New Roman;serif"/>
          <w:b/>
          <w:i/>
          <w:color w:val="000000"/>
          <w:sz w:val="20"/>
        </w:rPr>
        <w:t>Principal Accountant Fees and Services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will be set forth in the Proxy Statement for our 2026 Annual Meeting, which will be filed with the SEC within 120 days after the end of the fiscal year ended December 31, 2025, and is incorporated herein by reference thereto.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15.  </w:t>
      </w:r>
      <w:r>
        <w:rPr>
          <w:rFonts w:ascii="Times New Roman;serif" w:hAnsi="Times New Roman;serif"/>
          <w:b/>
          <w:i/>
          <w:color w:val="000000"/>
          <w:sz w:val="20"/>
        </w:rPr>
        <w:t>Exhibits and Financial Statement Schedules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color w:val="000000"/>
          <w:sz w:val="20"/>
        </w:rPr>
        <w:t>(a) (1)    </w:t>
      </w:r>
      <w:r>
        <w:rPr>
          <w:rFonts w:ascii="Times New Roman;serif" w:hAnsi="Times New Roman;serif"/>
          <w:b w:val="false"/>
          <w:i/>
          <w:color w:val="000000"/>
          <w:sz w:val="20"/>
        </w:rPr>
        <w:t>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“Index to the Consolidated Financial Statements” set forth on Page F-1.</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(2)    </w:t>
      </w:r>
      <w:r>
        <w:rPr>
          <w:rFonts w:ascii="Times New Roman;serif" w:hAnsi="Times New Roman;serif"/>
          <w:b w:val="false"/>
          <w:i/>
          <w:color w:val="000000"/>
          <w:sz w:val="20"/>
        </w:rPr>
        <w:t>Financial Statement Schedules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schedules are omitted because they are either not applicable or the required information is shown in the Consolidated Financial Statements or notes thereto.</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(3)    </w:t>
      </w:r>
      <w:r>
        <w:rPr>
          <w:rFonts w:ascii="Times New Roman;serif" w:hAnsi="Times New Roman;serif"/>
          <w:b w:val="false"/>
          <w:i/>
          <w:color w:val="000000"/>
          <w:sz w:val="20"/>
        </w:rPr>
        <w:t>Exhibits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92"/>
        <w:gridCol w:w="257"/>
        <w:gridCol w:w="258"/>
        <w:gridCol w:w="109"/>
        <w:gridCol w:w="109"/>
        <w:gridCol w:w="109"/>
        <w:gridCol w:w="115"/>
        <w:gridCol w:w="115"/>
        <w:gridCol w:w="116"/>
        <w:gridCol w:w="109"/>
        <w:gridCol w:w="109"/>
        <w:gridCol w:w="109"/>
        <w:gridCol w:w="2912"/>
        <w:gridCol w:w="2652"/>
        <w:gridCol w:w="2677"/>
        <w:gridCol w:w="157"/>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Simplification Agreement, dated as of July 11, 2016, by and among PAA GP Holdings LLC, Plains GP Holdings, L.P., Plains All American GP LLC, Plains AAP, L.P., PAA GP LLC and Plains All American Pipeline, L.P. (incorporated by reference to Exhibit 2.1 to PAA’s Current Report on Form 8-K filed July 14, 2016).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Agreement and Plan of Merger dated as of July 12, 2021 by and among Plains Pipeline, L.P., Plains Marketing, L.P., Oryx Midstream Holdings LLC, Middle Cadence Holdings LLC, POP HoldCo LLC, Oryx Wink Oil Marketing LLC, Oryx Permian Oil Marketing LLC, Plains Oryx Permian Basin LLC, Plains Oryx Permian Basin Marketing LLC and Plains Oryx Permian Basin Pipeline LLC (incorporated by reference to Exhibit 2.1 to our Current Report on Form 8-K filed July 13, 2021).</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Share Purchase Agreement dated as of June 17, 2025 by and between Plains Midstream Luxembourg S.A.R.L. and Keyera Corp. (portions of this exhibit have been omitted pursuant to Item 601(b)(2) of Regulation S-K) (incorporated by reference to Exhibit 2.1 to our Quarterly Report on Form 10-Q for the quarter ended June 30,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Purchase and Sale Agreement dated August 30, 2025 by and among Altus Midstream Processing LP, Kinetik EC Holdco LLC, Rattler Midstream Operating LLC and Rattler OMOG LLC, as Sellers, and Plains BK Holdco LLC, as Buyer, and the other parties thereto (portions of this exhibit have been omitted pursuant to Item 601(b)(2) of Regulation S-K) (incorporated by reference to Exhibit 2.1 to our Current Report on Form 8-K filed November 6,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Equity Purchase Agreement dated November 3, 2025 by and among EPIC Crude Parent, L.P., as Seller, and Plains BK Holdco LLC, as Buyer, and the other parties thereto (portions of this exhibit have been omitted pursuant to Item 601(b)(2) of Registration S-K (incorporated by reference to Exhibit 2.2 to our Current Report on Form 8-K filed November 6,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Seventh Amended and Restated Agreement of Limited Partnership of Plains All American Pipeline, L.P. dated as of October 10, 2017 (incorporated by reference to Exhibit 3.1 to PAA’s Current Report on Form 8-K filed October 12, 2017).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Seventh Amended and Restated Limited Liability Company Agreement of Plains All American GP LLC dated November 15, 2016 (incorporated by reference to Exhibit 3.3 to our Current Report on Form 8-K filed November 21, 2016).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Eighth Amended and Restated Limited Partnership Agreement of Plains AAP, L.P. dated November 15, 2016 (incorporated by reference to Exhibit 3.4 to our Current Report on Form 8-K filed November 21, 2016).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Amendment No. 1 dated September 26, 2018 to the Eighth Amended and Restated Limited Partnership Agreement of Plains AAP, L.P. (incorporated by reference to Exhibit 3.1 to our Current Report on Form 8-K filed October 2, 2018).</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Amendment No. 2 dated May 23, 2019 to the Eighth Amended and Restated Limited Partnership Agreement of Plains AAP, L.P. (incorporated by reference to Exhibit 3.1 to our Current Report on Form 8-K filed May 30, 2019).</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tbl>
      <w:tblPr>
        <w:tblW w:w="10205" w:type="dxa"/>
        <w:jc w:val="left"/>
        <w:tblInd w:w="0" w:type="dxa"/>
        <w:tblLayout w:type="fixed"/>
        <w:tblCellMar>
          <w:top w:w="28" w:type="dxa"/>
          <w:left w:w="28" w:type="dxa"/>
          <w:bottom w:w="28" w:type="dxa"/>
          <w:right w:w="28" w:type="dxa"/>
        </w:tblCellMar>
      </w:tblPr>
      <w:tblGrid>
        <w:gridCol w:w="173"/>
        <w:gridCol w:w="152"/>
        <w:gridCol w:w="156"/>
        <w:gridCol w:w="109"/>
        <w:gridCol w:w="109"/>
        <w:gridCol w:w="109"/>
        <w:gridCol w:w="115"/>
        <w:gridCol w:w="115"/>
        <w:gridCol w:w="116"/>
        <w:gridCol w:w="109"/>
        <w:gridCol w:w="109"/>
        <w:gridCol w:w="109"/>
        <w:gridCol w:w="2921"/>
        <w:gridCol w:w="2820"/>
        <w:gridCol w:w="2827"/>
        <w:gridCol w:w="156"/>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Amendment No. 3 dated August 17, 2023 to the Eighth Amended and Restated Limited Partnership Agreement of Plains AAP, L.P. (incorporated by reference to Exhibit 3.1 to our Current Report on Form 8-K filed August 21, 2023).</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Limited Liability Company Agreement of PAA GP LLC dated December 28, 2007 (incorporated by reference to Exhibit 3.3 to PAA’s Current Report on Form 8-K filed January 4, 2008).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Certificate of Limited Partnership of Plains GP Holdings, L.P. (incorporated by reference to Exhibit 3.1 to our Registration Statement on Form S-1 (333-190227) filed July 29, 2013).</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Second Amended and Restated Agreement of Limited Partnership of Plains GP Holdings, L.P. dated as of November 15, 2016 (incorporated by reference to Exhibit 3.2 to our Current Report on Form 8-K filed November 21, 2016).</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Amendment No. 1 dated April 6, 2020 to the Second Amended and Restated Agreement of Limited Partnership of Plains GP Holdings, L.P. (incorporated by reference to Exhibit 3.1 to our Current Report on Form 8-K filed April 9, 2020).</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Certificate of Formation of PAA GP Holdings LLC (incorporated by reference to Exhibit 3.3 to our Registration Statement on Form S-1 (333-190227) filed July 29, 2013).</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Fourth Amended and Restated Limited Liability Company Agreement of PAA GP Holdings LLC dated effective as of August 19, 2021 (incorporated by reference to Exhibit 3.11 to our Annual Report on Form 10-K for the year ended December 31, 2021).</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Indenture dated September 25, 2002 among Plains All American Pipeline, L.P., PAA Finance Corp. and Wachovia Bank, National Association, as trustee (incorporated by reference to Exhibit 4.1 to PAA’s Quarterly Report on Form 10-Q for the quarter ended September 30, 2002).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PAA’s Current Report on Form 8-K filed May 12, 2006).</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PAA’s Current Report on Form 8-K filed October 30, 2006).</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Twenty-First Supplemental Indenture (5.15% Senior Notes due 2042) dated March 22, 2012 among Plains All American Pipeline, L.P., PAA Finance Corp. and U.S. Bank National Association, as trustee (incorporated by reference to Exhibit 4.3 to PAA’s Current Report on Form 8-K filed March 26, 2012).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Twenty-Third Supplemental Indenture (4.30% Senior Notes due 2043) dated December 10, 2012, by and among Plains All American Pipeline, L.P., PAA Finance Corp. and U.S. Bank National Association, as trustee (incorporated by reference to Exhibit 4.3 to PAA’s Current Report on Form 8-K filed December 12, 2012).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Thirtieth Supplemental Indenture (4.50% Senior Notes due 2026) dated November 22, 2016, by and among Plains All American Pipeline, L.P., PAA Finance Corp. and U.S. Bank National Association, as trustee (incorporated by reference to Exhibit 4.1 to PAA’s Current Report on Form 8-K filed November 29, 2016).</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Thirty-First Supplemental Indenture (3.55% Senior Notes due 2029) dated September 16, 2019, by and among Plains All American Pipeline, L.P., PAA Finance Corp. and U.S. Bank National Association, as trustee (incorporated by reference to Exhibit 4.1 to PAA’s Current Report on Form 8-K filed September 17, 2019).</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115"/>
        <w:gridCol w:w="115"/>
        <w:gridCol w:w="116"/>
        <w:gridCol w:w="109"/>
        <w:gridCol w:w="109"/>
        <w:gridCol w:w="109"/>
        <w:gridCol w:w="2879"/>
        <w:gridCol w:w="2841"/>
        <w:gridCol w:w="2848"/>
        <w:gridCol w:w="15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Thirty-Second Supplemental Indenture (3.80% Senior Notes due 2030) dated June 11, 2020, by and among Plains All American Pipeline, L.P., PAA Finance Corp. and U.S. Bank National Association, as trustee (incorporated by reference to Exhibit 4.1 to PAA’s Current Report on Form 8-K filed June 11, 2020).</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Thirty-Third Supplemental Indenture (5.70% Senior Notes due 2034) dated June 27, 2024, by and among Plains All American Pipeline, L.P., PAA Finance Corp. and U.S. Bank Trust Company, National Association, as trustee (incorporated by reference to Exhibit 4.1 to PAA’s Current Report on Form 8-K filed June 27, 2024).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Thirty-Fourth Supplemental Indenture (5.950% Senior Notes due 2035) dated January 15, 2025, by and among Plains All American Pipeline, L.P., PAA Finance Corp. and U.S. Bank Trust Company, National Association, as trustee (incorporated by reference to Exhibit 4.1 to our Current Report on Form 8-K filed January 15, 2025).</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80"/>
                  <w:sz w:val="20"/>
                  <w:u w:val="single"/>
                </w:rPr>
                <w:t xml:space="preserve">Thirty-Fifth Supplemental Indenture (4.70% Senior Notes due 2031) dated September 8, 2025, by and among Plains All American Pipeline, L.P., PAA Finance Corp. and U.S. Bank Trust Company, National Association, as trustee (incorporated by reference to Exhibit 4.1 to PAA's Current Report on Form 8-K filed </w:t>
              </w:r>
            </w:hyperlink>
            <w:hyperlink r:id="rId38">
              <w:r>
                <w:rPr>
                  <w:rStyle w:val="InternetLink"/>
                  <w:rFonts w:ascii="Times New Roman;serif" w:hAnsi="Times New Roman;serif"/>
                  <w:b w:val="false"/>
                  <w:color w:val="000080"/>
                  <w:sz w:val="20"/>
                  <w:u w:val="single"/>
                </w:rPr>
                <w:t>November 14, 2025</w:t>
              </w:r>
            </w:hyperlink>
            <w:hyperlink r:id="rId39">
              <w:r>
                <w:rPr>
                  <w:rStyle w:val="InternetLink"/>
                  <w:rFonts w:ascii="Times New Roman;serif" w:hAnsi="Times New Roman;serif"/>
                  <w:b w:val="false"/>
                  <w:color w:val="000080"/>
                  <w:sz w:val="20"/>
                  <w:u w:val="single"/>
                </w:rPr>
                <w:t>).</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80"/>
                  <w:sz w:val="20"/>
                  <w:u w:val="single"/>
                </w:rPr>
                <w:t xml:space="preserve">Thirty-Sixth Supplemental Indenture (5.60% Senior Notes due 2036) dated September 8, 2025, by and among Plains All American Pipeline, L.P., PAA Finance Corp. and U.S. Bank Trust Company, National Association, as trustee (incorporated by reference to Exhibit 4.3 to PAA's Current Report on Form 8-K filed </w:t>
              </w:r>
            </w:hyperlink>
            <w:hyperlink r:id="rId41">
              <w:r>
                <w:rPr>
                  <w:rStyle w:val="InternetLink"/>
                  <w:rFonts w:ascii="Times New Roman;serif" w:hAnsi="Times New Roman;serif"/>
                  <w:b w:val="false"/>
                  <w:color w:val="000080"/>
                  <w:sz w:val="20"/>
                  <w:u w:val="single"/>
                </w:rPr>
                <w:t>November</w:t>
              </w:r>
            </w:hyperlink>
            <w:hyperlink r:id="rId42">
              <w:r>
                <w:rPr>
                  <w:rStyle w:val="InternetLink"/>
                  <w:rFonts w:ascii="Times New Roman;serif" w:hAnsi="Times New Roman;serif"/>
                  <w:b w:val="false"/>
                  <w:color w:val="000080"/>
                  <w:sz w:val="20"/>
                  <w:u w:val="single"/>
                </w:rPr>
                <w:t xml:space="preserve"> </w:t>
              </w:r>
            </w:hyperlink>
            <w:hyperlink r:id="rId43">
              <w:r>
                <w:rPr>
                  <w:rStyle w:val="InternetLink"/>
                  <w:rFonts w:ascii="Times New Roman;serif" w:hAnsi="Times New Roman;serif"/>
                  <w:b w:val="false"/>
                  <w:color w:val="000080"/>
                  <w:sz w:val="20"/>
                  <w:u w:val="single"/>
                </w:rPr>
                <w:t>14</w:t>
              </w:r>
            </w:hyperlink>
            <w:hyperlink r:id="rId44">
              <w:r>
                <w:rPr>
                  <w:rStyle w:val="InternetLink"/>
                  <w:rFonts w:ascii="Times New Roman;serif" w:hAnsi="Times New Roman;serif"/>
                  <w:b w:val="false"/>
                  <w:color w:val="000080"/>
                  <w:sz w:val="20"/>
                  <w:u w:val="single"/>
                </w:rPr>
                <w:t>, 2025).</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Shareholder and Registration Rights Agreement dated October 21, 2013 by and among Plains GP Holdings, L.P. and the other parties signatory thereto (incorporated by reference to Exhibit 4.1 to our Current Report on Form 8-K filed October 25, 2013).</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80"/>
                  <w:sz w:val="20"/>
                  <w:u w:val="single"/>
                </w:rPr>
                <w:t>Description of Our Securities</w:t>
              </w:r>
            </w:hyperlink>
            <w:hyperlink r:id="rId47">
              <w:r>
                <w:rPr>
                  <w:rStyle w:val="InternetLink"/>
                  <w:rFonts w:ascii="Times New Roman;serif" w:hAnsi="Times New Roman;serif"/>
                  <w:b w:val="false"/>
                  <w:color w:val="000080"/>
                  <w:sz w:val="20"/>
                  <w:u w:val="single"/>
                </w:rPr>
                <w:t xml:space="preserve"> (incorporated by reference to Exhibit 4.1</w:t>
              </w:r>
            </w:hyperlink>
            <w:hyperlink r:id="rId48">
              <w:r>
                <w:rPr>
                  <w:rStyle w:val="InternetLink"/>
                  <w:rFonts w:ascii="Times New Roman;serif" w:hAnsi="Times New Roman;serif"/>
                  <w:b w:val="false"/>
                  <w:color w:val="000080"/>
                  <w:sz w:val="20"/>
                  <w:u w:val="single"/>
                </w:rPr>
                <w:t>5 to our Annual Report on Form 10-K for the year ended December 31, 2024)</w:t>
              </w:r>
            </w:hyperlink>
            <w:hyperlink r:id="rId49">
              <w:r>
                <w:rPr>
                  <w:rStyle w:val="InternetLink"/>
                  <w:rFonts w:ascii="Times New Roman;serif" w:hAnsi="Times New Roman;serif"/>
                  <w:b w:val="false"/>
                  <w:color w:val="000080"/>
                  <w:sz w:val="20"/>
                  <w:u w:val="single"/>
                </w:rPr>
                <w:t>.</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Credit Agreement dated as of August 20, 2021,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 (incorporated by reference to Exhibit 10.1 to our Current Report on Form 8-K filed August 26, 2021).</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20"/>
                  <w:u w:val="single"/>
                </w:rPr>
                <w:t>First Amendment to Credit Agreement dated as of August 22, 2022,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 (incorporated by reference to Exhibit 10.1 to our Current Report on Form 8-K filed August 25, 2022).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Second Amendment to Credit Agreement dated as of August 19, 2024,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 (incorporated by reference to Exhibit 10.1 to our Current Report on Form 8-K filed August 22, 2024).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Fourth Amended and Restated Credit Agreement dated as of August 20, 2021,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 (incorporated by reference to Exhibit 10.2 to our Current Report on Form 8-K filed August 26, 2021).</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First Amendment to Fourth Amended and Restated Credit Agreement dated as of August 22, 2022,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 (incorporated by reference to Exhibit 10.2 to our Current Report on Form 8-K filed August 25, 2022).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tbl>
      <w:tblPr>
        <w:tblW w:w="10205" w:type="dxa"/>
        <w:jc w:val="left"/>
        <w:tblInd w:w="0" w:type="dxa"/>
        <w:tblLayout w:type="fixed"/>
        <w:tblCellMar>
          <w:top w:w="28" w:type="dxa"/>
          <w:left w:w="28" w:type="dxa"/>
          <w:bottom w:w="28" w:type="dxa"/>
          <w:right w:w="28" w:type="dxa"/>
        </w:tblCellMar>
      </w:tblPr>
      <w:tblGrid>
        <w:gridCol w:w="222"/>
        <w:gridCol w:w="196"/>
        <w:gridCol w:w="199"/>
        <w:gridCol w:w="109"/>
        <w:gridCol w:w="109"/>
        <w:gridCol w:w="109"/>
        <w:gridCol w:w="115"/>
        <w:gridCol w:w="115"/>
        <w:gridCol w:w="116"/>
        <w:gridCol w:w="109"/>
        <w:gridCol w:w="109"/>
        <w:gridCol w:w="109"/>
        <w:gridCol w:w="2961"/>
        <w:gridCol w:w="2732"/>
        <w:gridCol w:w="2738"/>
        <w:gridCol w:w="157"/>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20"/>
                  <w:u w:val="single"/>
                </w:rPr>
                <w:t>Second Amendment to Fourth Amended and Restated Credit Agreement dated as of August 19, 2024,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 (incorporated by reference to Exhibit 10.2 to our Current Report on Form 8-K filed August 22, 2024).</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80"/>
                  <w:sz w:val="20"/>
                  <w:u w:val="single"/>
                </w:rPr>
                <w:t>C</w:t>
              </w:r>
            </w:hyperlink>
            <w:hyperlink r:id="rId57">
              <w:r>
                <w:rPr>
                  <w:rStyle w:val="InternetLink"/>
                  <w:rFonts w:ascii="Times New Roman;serif" w:hAnsi="Times New Roman;serif"/>
                  <w:b w:val="false"/>
                  <w:color w:val="000080"/>
                  <w:sz w:val="20"/>
                  <w:u w:val="single"/>
                </w:rPr>
                <w:t>redit Agreement, dated as of October 15, 2024, by and among EPIC Crude Holdings, EPIC Crude Services, LP, as borrower, Goldman Sachs Bank USA, as administrative and collateral agent, and the lenders and letters of credit issuers party thereto from time to time, as amended (incorporated by reference to Exhibit 10.1 to our Current Report on Form 8-K filed November 6,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20"/>
                  <w:u w:val="single"/>
                </w:rPr>
                <w:t>Term Loan Agreement, dated as of November 26, 2025, by and among Plains All American Pipeline, L.P., PNC Bank, National Association, as administrative agent, and the other lenders party thereto (incorporated by reference to Exhibit 10.1 to our Current Report on Form 8-K filed December 3,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FF"/>
                  <w:sz w:val="20"/>
                  <w:u w:val="single"/>
                </w:rPr>
                <w:t>Contribution and Assumption Agreement dated December 28, 2007, by and between Plains AAP, L.P. and PAA GP LLC (incorporated by reference to Exhibit 10.2 to PAA’s Current Report on Form 8-K filed January 4, 2008).</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FF"/>
                  <w:sz w:val="20"/>
                  <w:u w:val="single"/>
                </w:rPr>
                <w:t>Omnibus Agreement by and among PAA GP Holdings LLC, Plains GP Holdings, L.P., Plains All American GP LLC, Plains AAP, L.P., PAA GP LLC, and Plains All American Pipeline, L.P., dated November 15, 2016 (incorporated by reference to Exhibit 10.1 to our Current Report on Form 8-K filed November 21, 2016).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20"/>
                  <w:u w:val="single"/>
                </w:rPr>
                <w:t>Amended and Restated Administrative Agreement by and among PAA GP Holdings LLC, Plains GP Holdings, L.P., Plains All American GP LLC, Plains AAP, L.P., PAA GP LLC, and Plains All American Pipeline, L.P., dated November 15, 2016 (incorporated by reference to Exhibit 10.2 to our Current Report on Form 8-K filed November 21, 2016).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erif" w:hAnsi="Times New Roman;serif"/>
                  <w:b w:val="false"/>
                  <w:color w:val="0000FF"/>
                  <w:sz w:val="20"/>
                  <w:u w:val="single"/>
                </w:rPr>
                <w:t>Amended and Restated Employment Agreement between Plains All American GP LLC and Greg L. Armstrong dated as of June 30, 2001 (incorporated by reference to Exhibit 10.1 to PAA’s Quarterly Report on Form 10-Q for the quarter ended September 30, 2001).</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erif" w:hAnsi="Times New Roman;serif"/>
                  <w:b w:val="false"/>
                  <w:color w:val="0000FF"/>
                  <w:sz w:val="20"/>
                  <w:u w:val="single"/>
                </w:rPr>
                <w:t>First Amendment to Amended and Restated Employment Agreement dated December 4, 2008 between Plains All American GP LLC and Greg L. Armstrong (incorporated by reference to Exhibit 10.49 to PAA’s Annual Report on Form 10-K for the year ended December 31, 2008).</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erif" w:hAnsi="Times New Roman;serif"/>
                  <w:b w:val="false"/>
                  <w:color w:val="0000FF"/>
                  <w:sz w:val="20"/>
                  <w:u w:val="single"/>
                </w:rPr>
                <w:t>Waiver Agreement dated as of December 23, 2010 between Plains All American GP LLC and Greg L. Armstrong (incorporated by reference to Exhibit 10.31 to PAA’s Annual Report on Form 10-K for the year ended December 31, 2010).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erif" w:hAnsi="Times New Roman;serif"/>
                  <w:b w:val="false"/>
                  <w:color w:val="0000FF"/>
                  <w:sz w:val="20"/>
                  <w:u w:val="single"/>
                </w:rPr>
                <w:t>Waiver Agreement dated October 21, 2013 to the Amended and Restated Employment Agreement dated June 30, 2001 of Greg L. Armstrong (incorporated by reference to Exhibit 10.4 to our Current Report on Form 8-K filed October 25, 2013).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erif" w:hAnsi="Times New Roman;serif"/>
                  <w:b w:val="false"/>
                  <w:color w:val="0000FF"/>
                  <w:sz w:val="20"/>
                  <w:u w:val="single"/>
                </w:rPr>
                <w:t>Second Amended and Restated Employment Agreement dated effective October 1, 2018 between Plains All American GP LLC and Greg L. Armstrong (incorporated by reference to Exhibit 10.6 to our Quarterly Report on Form 10-Q for the quarter ended September 30, 2018).</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erif" w:hAnsi="Times New Roman;serif"/>
                  <w:b w:val="false"/>
                  <w:color w:val="0000FF"/>
                  <w:sz w:val="20"/>
                  <w:u w:val="single"/>
                </w:rPr>
                <w:t>Third Amended and Restated Employment Agreement dated effective January 1, 2020 between Plains All American GP LLC and Greg L. Armstrong (incorporated by reference to Exhibit 10.31 to our Annual Report on Form 10-K for the year ended December 31, 2019).</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erif" w:hAnsi="Times New Roman;serif"/>
                  <w:b w:val="false"/>
                  <w:color w:val="0000FF"/>
                  <w:sz w:val="20"/>
                  <w:u w:val="single"/>
                </w:rPr>
                <w:t>Amendment No. 1 to Third Amended and Restated Employment Agreement dated effective December 31, 2021 between Plains All American GP LLC and Greg L. Armstrong (incorporated by reference to Exhibit 10.12 to our Annual Report on Form 10-K for the year ended December 31, 2021).</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erif" w:hAnsi="Times New Roman;serif"/>
                  <w:b w:val="false"/>
                  <w:color w:val="0000FF"/>
                  <w:sz w:val="20"/>
                  <w:u w:val="single"/>
                </w:rPr>
                <w:t>Fourth Amended and Restated Employment Agreement dated effective May 23, 2024 between Plains All American GP LLC and Greg L. Armstrong (incorporated by reference to Exhibit 10.1 to our Quarterly Report on Form 10-Q for the quarter ended September 30,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erif" w:hAnsi="Times New Roman;serif"/>
                  <w:b w:val="false"/>
                  <w:color w:val="0000FF"/>
                  <w:sz w:val="20"/>
                  <w:u w:val="single"/>
                </w:rPr>
                <w:t>Amended and Restated Employment Agreement between Plains All American GP LLC and Harry N. Pefanis dated as of June 30, 2001 (incorporated by reference to Exhibit 10.2 to PAA’s Quarterly Report on Form 10-Q for the quarter ended September 30, 2001).</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tbl>
      <w:tblPr>
        <w:tblW w:w="10205" w:type="dxa"/>
        <w:jc w:val="left"/>
        <w:tblInd w:w="0" w:type="dxa"/>
        <w:tblLayout w:type="fixed"/>
        <w:tblCellMar>
          <w:top w:w="28" w:type="dxa"/>
          <w:left w:w="28" w:type="dxa"/>
          <w:bottom w:w="28" w:type="dxa"/>
          <w:right w:w="28" w:type="dxa"/>
        </w:tblCellMar>
      </w:tblPr>
      <w:tblGrid>
        <w:gridCol w:w="241"/>
        <w:gridCol w:w="212"/>
        <w:gridCol w:w="214"/>
        <w:gridCol w:w="109"/>
        <w:gridCol w:w="109"/>
        <w:gridCol w:w="109"/>
        <w:gridCol w:w="115"/>
        <w:gridCol w:w="115"/>
        <w:gridCol w:w="116"/>
        <w:gridCol w:w="109"/>
        <w:gridCol w:w="109"/>
        <w:gridCol w:w="109"/>
        <w:gridCol w:w="2792"/>
        <w:gridCol w:w="2792"/>
        <w:gridCol w:w="2797"/>
        <w:gridCol w:w="157"/>
      </w:tblGrid>
      <w:tr>
        <w:trPr/>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erif" w:hAnsi="Times New Roman;serif"/>
                  <w:b w:val="false"/>
                  <w:color w:val="0000FF"/>
                  <w:sz w:val="20"/>
                  <w:u w:val="single"/>
                </w:rPr>
                <w:t>First Amendment to Amended and Restated Employment Agreement dated December 4, 2008 between Plains All American GP LLC and Harry N. Pefanis (incorporated by reference to Exhibit 10.50 to PAA’s Annual Report on Form 10-K for the year ended December 31, 2008).</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erif" w:hAnsi="Times New Roman;serif"/>
                  <w:b w:val="false"/>
                  <w:color w:val="0000FF"/>
                  <w:sz w:val="20"/>
                  <w:u w:val="single"/>
                </w:rPr>
                <w:t>Amendment No. 2 dated August 15, 2019 to Harry Pefanis Amended and Restated Employment Agreement (incorporated by reference to Exhibit 10.1 to our Quarterly Report on Form 10-Q for the quarter ended September 30, 2019).</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erif" w:hAnsi="Times New Roman;serif"/>
                  <w:b w:val="false"/>
                  <w:color w:val="0000FF"/>
                  <w:sz w:val="20"/>
                  <w:u w:val="single"/>
                </w:rPr>
                <w:t>Waiver Agreement dated as of December 23, 2010 between Plains All American GP LLC and Harry N. Pefanis (incorporated by reference to Exhibit 10.32 to PAA’s Annual Report on Form 10-K for the year ended December 31, 2010).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erif" w:hAnsi="Times New Roman;serif"/>
                  <w:b w:val="false"/>
                  <w:color w:val="0000FF"/>
                  <w:sz w:val="20"/>
                  <w:u w:val="single"/>
                </w:rPr>
                <w:t>Waiver Agreement dated October 21, 2013 to the Amended and Restated Employment Agreement dated June 30, 2001 of Harry N. Pefanis (incorporated by reference to Exhibit 10.5 to our Current Report on Form 8-K filed October 25, 2013).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erif" w:hAnsi="Times New Roman;serif"/>
                  <w:b w:val="false"/>
                  <w:color w:val="0000FF"/>
                  <w:sz w:val="20"/>
                  <w:u w:val="single"/>
                </w:rPr>
                <w:t>Employment Agreement dated effective June 1, 2025 between Plains All American GP LLC and Harry N. Pefanis (incorporated by reference to Exhibit 10.2 to our Quarterly Report on Form 10-Q for the quarter ended September 30,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Times New Roman;serif" w:hAnsi="Times New Roman;serif"/>
                  <w:b w:val="false"/>
                  <w:color w:val="0000FF"/>
                  <w:sz w:val="20"/>
                  <w:u w:val="single"/>
                </w:rPr>
                <w:t>Employment Agreement between Plains All American GP LLC and Willie Chiang dated July 10, 2015 (incorporated by reference to Exhibit 10.53 to PAA’s Annual Report on Form 10-K for the year ended December 31, 2015).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erif" w:hAnsi="Times New Roman;serif"/>
                  <w:b w:val="false"/>
                  <w:color w:val="0000FF"/>
                  <w:sz w:val="20"/>
                  <w:u w:val="single"/>
                </w:rPr>
                <w:t>Amended and Restated Employment Agreement dated effective October 1, 2018 between Plains All American GP LLC and Willie Chiang (incorporated by reference to Exhibit 10.7 to our Quarterly Report on Form 10-Q for the quarter ended September 30, 2018).</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Times New Roman;serif" w:hAnsi="Times New Roman;serif"/>
                  <w:b w:val="false"/>
                  <w:color w:val="0000FF"/>
                  <w:sz w:val="20"/>
                  <w:u w:val="single"/>
                </w:rPr>
                <w:t>LTIP Grant Letter dated August 16, 2018 (Willie Chiang) incorporated by reference to Exhibit 10.8 to our Quarterly Report on Form 10-Q for the quarter ended September 30, 2018).</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erif" w:hAnsi="Times New Roman;serif"/>
                  <w:b w:val="false"/>
                  <w:color w:val="0000FF"/>
                  <w:sz w:val="20"/>
                  <w:u w:val="single"/>
                </w:rPr>
                <w:t>Amendment dated August 14, 2025 to Special Promotional LTIP Grant Letter dated August 16, 2018 (Willie Chiang) (incorporated by reference to Exhibit 10.6 to our Quarterly Report on Form 10-Q for the quarter ended September 30,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"https://www.sec.gov/Archives/edgar/data/0001070423/000110465921049049/tm212450-1_def14a.htm" \l "tAPPA"</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Plains All American 2021 Long-Term Incentive Plan (incorporated by reference to Exhibit A to PAA’s Definitive Proxy Statement filed on April 12, 2021).</w:t>
            </w:r>
            <w:r>
              <w:rPr>
                <w:rStyle w:val="InternetLink"/>
                <w:sz w:val="20"/>
                <w:u w:val="single"/>
                <w:b w:val="false"/>
                <w:rFonts w:ascii="Times New Roman;serif" w:hAnsi="Times New Roman;serif"/>
                <w:color w:val="0000FF"/>
              </w:rPr>
              <w:fldChar w:fldCharType="end"/>
            </w:r>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"https://www.sec.gov/Archives/edgar/data/1070423/000119312513390367/d597666ddef14a.htm" \l "rom597666_10"</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Plains All American 2013 Long-Term Incentive Plan (incorporated by reference to Exhibit A to PAA’s Definitive Proxy Statement filed on October 3, 2013).</w:t>
            </w:r>
            <w:r>
              <w:rPr>
                <w:rStyle w:val="InternetLink"/>
                <w:sz w:val="20"/>
                <w:u w:val="single"/>
                <w:b w:val="false"/>
                <w:rFonts w:ascii="Times New Roman;serif" w:hAnsi="Times New Roman;serif"/>
                <w:color w:val="0000FF"/>
              </w:rPr>
              <w:fldChar w:fldCharType="end"/>
            </w:r>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erif" w:hAnsi="Times New Roman;serif"/>
                  <w:b w:val="false"/>
                  <w:color w:val="0000FF"/>
                  <w:sz w:val="20"/>
                  <w:u w:val="single"/>
                </w:rPr>
                <w:t>Plains All American PNG Successor Long-Term Incentive Plan (incorporated by reference to Exhibit 4.4 to PAA’s Registration Statement on Form S-8 (333-193139) filed December 31, 2013).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erif" w:hAnsi="Times New Roman;serif"/>
                  <w:b w:val="false"/>
                  <w:color w:val="0000FF"/>
                  <w:sz w:val="20"/>
                  <w:u w:val="single"/>
                </w:rPr>
                <w:t>PAA Natural Gas Storage, L.P. 2010 Long-Term Incentive Plan (incorporated by reference to Exhibit 10.2 to PNG’s Current Report on Form 8-K filed May 11, 2010).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Times New Roman;serif" w:hAnsi="Times New Roman;serif"/>
                  <w:b w:val="false"/>
                  <w:color w:val="0000FF"/>
                  <w:sz w:val="20"/>
                  <w:u w:val="single"/>
                </w:rPr>
                <w:t>Plains GP Holdings, L.P. Long Term Incentive Plan (incorporated by reference to Exhibit 10.3 to our Current Report on Form 8-K filed October 25, 2013).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Times New Roman;serif" w:hAnsi="Times New Roman;serif"/>
                  <w:b w:val="false"/>
                  <w:color w:val="0000FF"/>
                  <w:sz w:val="20"/>
                  <w:u w:val="single"/>
                </w:rPr>
                <w:t>Contribution Agreement dated October 21, 2013, by and among Plains GP Holdings, L.P., PAA GP Holdings LLC and the other parties signatory thereto (incorporated by reference to Exhibit 10.2 to our Current Report on Form 8-K filed October 25, 2013).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10.36**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4">
              <w:r>
                <w:rPr>
                  <w:rStyle w:val="InternetLink"/>
                  <w:rFonts w:ascii="Times New Roman;serif" w:hAnsi="Times New Roman;serif"/>
                  <w:b w:val="false"/>
                  <w:color w:val="0000FF"/>
                  <w:sz w:val="20"/>
                  <w:u w:val="single"/>
                </w:rPr>
                <w:t>Form of Special Retention LTIP Grant Letter dated November 20, 2019 (incorporated by reference to Exhibit 10.54 to our Annual Report on Form 10-K for the year ended December 31, 2020).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10.37**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Times New Roman;serif" w:hAnsi="Times New Roman;serif"/>
                  <w:b w:val="false"/>
                  <w:color w:val="0000FF"/>
                  <w:sz w:val="20"/>
                  <w:u w:val="single"/>
                </w:rPr>
                <w:t>Form of Amended and Restated Special Retention LTIP Grant Letter Dated February 24, 2022 (incorporated by reference to Exhibit 10.1 to our Quarterly Report on Form 10-Q for the quarter ended March 31, 2022).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6">
              <w:r>
                <w:rPr>
                  <w:rStyle w:val="InternetLink"/>
                  <w:rFonts w:ascii="Times New Roman;serif" w:hAnsi="Times New Roman;serif"/>
                  <w:b w:val="false"/>
                  <w:color w:val="0000FF"/>
                  <w:sz w:val="20"/>
                  <w:u w:val="single"/>
                </w:rPr>
                <w:t>Form of LTIP Grant Letter dated August 17, 2023 (Named Executive Officers) (incorporated by reference to Exhibit 10.1 to our Quarterly Report on Form 10-Q for the quarter ended September 30, 2023).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tbl>
      <w:tblPr>
        <w:tblW w:w="10205" w:type="dxa"/>
        <w:jc w:val="left"/>
        <w:tblInd w:w="0" w:type="dxa"/>
        <w:tblLayout w:type="fixed"/>
        <w:tblCellMar>
          <w:top w:w="28" w:type="dxa"/>
          <w:left w:w="28" w:type="dxa"/>
          <w:bottom w:w="28" w:type="dxa"/>
          <w:right w:w="28" w:type="dxa"/>
        </w:tblCellMar>
      </w:tblPr>
      <w:tblGrid>
        <w:gridCol w:w="270"/>
        <w:gridCol w:w="237"/>
        <w:gridCol w:w="239"/>
        <w:gridCol w:w="109"/>
        <w:gridCol w:w="109"/>
        <w:gridCol w:w="109"/>
        <w:gridCol w:w="115"/>
        <w:gridCol w:w="115"/>
        <w:gridCol w:w="116"/>
        <w:gridCol w:w="109"/>
        <w:gridCol w:w="109"/>
        <w:gridCol w:w="109"/>
        <w:gridCol w:w="3379"/>
        <w:gridCol w:w="2458"/>
        <w:gridCol w:w="2465"/>
        <w:gridCol w:w="157"/>
      </w:tblGrid>
      <w:tr>
        <w:trPr/>
        <w:tc>
          <w:tcPr>
            <w:tcW w:w="2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9"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erif" w:hAnsi="Times New Roman;serif"/>
                  <w:b w:val="false"/>
                  <w:color w:val="0000FF"/>
                  <w:sz w:val="20"/>
                  <w:u w:val="single"/>
                </w:rPr>
                <w:t>Form of LTIP Grant Letter dated August 15, 2024 (Named Executive Officers) (incorporated by reference to Exhibit 10.3 to our Quarterly Report on Form 10-Q for the quarter ended September 30, 2024).</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Times New Roman;serif" w:hAnsi="Times New Roman;serif"/>
                  <w:b w:val="false"/>
                  <w:color w:val="0000FF"/>
                  <w:sz w:val="20"/>
                  <w:u w:val="single"/>
                </w:rPr>
                <w:t>Form of LTIP Grant Letter dated August 14, 2025 (Named Executive Officers) (incorporated by reference to Exhibit 10.3 to our Quarterly Report on Form 10-Q for the quarter ended September 30,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Times New Roman;serif" w:hAnsi="Times New Roman;serif"/>
                  <w:b w:val="false"/>
                  <w:color w:val="0000FF"/>
                  <w:sz w:val="20"/>
                  <w:u w:val="single"/>
                </w:rPr>
                <w:t>Form of LTIP Grant Letter dated August 14, 2025 (Directors) (incorporated by reference to Exhibit 10.4 to our Quarterly Report on Form 10-Q for the quarter ended September 30,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Times New Roman;serif" w:hAnsi="Times New Roman;serif"/>
                  <w:b w:val="false"/>
                  <w:color w:val="0000FF"/>
                  <w:sz w:val="20"/>
                  <w:u w:val="single"/>
                </w:rPr>
                <w:t>Form of Special Retention LTIP Grant Letter dated August 14, 2025 (incorporated by reference to Exhibit 10.5 to our Quarterly Report on Form 10-Q for the quarter ended September 30,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1">
              <w:r>
                <w:rPr>
                  <w:rStyle w:val="InternetLink"/>
                  <w:rFonts w:ascii="Times New Roman;serif" w:hAnsi="Times New Roman;serif"/>
                  <w:b w:val="false"/>
                  <w:color w:val="000080"/>
                  <w:sz w:val="20"/>
                  <w:u w:val="single"/>
                </w:rPr>
                <w:t>Policy on Insider Trading</w:t>
              </w:r>
            </w:hyperlink>
            <w:hyperlink r:id="rId92">
              <w:r>
                <w:rPr>
                  <w:rStyle w:val="InternetLink"/>
                  <w:rFonts w:ascii="Times New Roman;serif" w:hAnsi="Times New Roman;serif"/>
                  <w:b w:val="false"/>
                  <w:color w:val="000080"/>
                  <w:sz w:val="20"/>
                  <w:u w:val="single"/>
                </w:rPr>
                <w:t xml:space="preserve"> (incor</w:t>
              </w:r>
            </w:hyperlink>
            <w:hyperlink r:id="rId93">
              <w:r>
                <w:rPr>
                  <w:rStyle w:val="InternetLink"/>
                  <w:rFonts w:ascii="Times New Roman;serif" w:hAnsi="Times New Roman;serif"/>
                  <w:b w:val="false"/>
                  <w:color w:val="000080"/>
                  <w:sz w:val="20"/>
                  <w:u w:val="single"/>
                </w:rPr>
                <w:t>porated by reference to Exhibit 19.1 to our Annual Report on Form 10-K for the year ended December 31, 2024)</w:t>
              </w:r>
            </w:hyperlink>
            <w:hyperlink r:id="rId94">
              <w:r>
                <w:rPr>
                  <w:rStyle w:val="InternetLink"/>
                  <w:rFonts w:ascii="Times New Roman;serif" w:hAnsi="Times New Roman;serif"/>
                  <w:b w:val="false"/>
                  <w:color w:val="000080"/>
                  <w:sz w:val="20"/>
                  <w:u w:val="single"/>
                </w:rPr>
                <w:t>.</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5">
              <w:r>
                <w:rPr>
                  <w:rStyle w:val="InternetLink"/>
                  <w:rFonts w:ascii="Times New Roman;serif" w:hAnsi="Times New Roman;serif"/>
                  <w:b w:val="false"/>
                  <w:color w:val="000080"/>
                  <w:sz w:val="20"/>
                  <w:u w:val="single"/>
                </w:rPr>
                <w:t>Policy Regarding Special Trading Procedures</w:t>
              </w:r>
            </w:hyperlink>
            <w:hyperlink r:id="rId96">
              <w:r>
                <w:rPr>
                  <w:rStyle w:val="InternetLink"/>
                  <w:rFonts w:ascii="Times New Roman;serif" w:hAnsi="Times New Roman;serif"/>
                  <w:b w:val="false"/>
                  <w:color w:val="000080"/>
                  <w:sz w:val="20"/>
                  <w:u w:val="single"/>
                </w:rPr>
                <w:t xml:space="preserve"> (incorporated by reference to Exhibit 19.2 to our Annual Report on Form 10-K for the year ended December 31, 2024)</w:t>
              </w:r>
            </w:hyperlink>
            <w:hyperlink r:id="rId97">
              <w:r>
                <w:rPr>
                  <w:rStyle w:val="InternetLink"/>
                  <w:rFonts w:ascii="Times New Roman;serif" w:hAnsi="Times New Roman;serif"/>
                  <w:b w:val="false"/>
                  <w:color w:val="000080"/>
                  <w:sz w:val="20"/>
                  <w:u w:val="single"/>
                </w:rPr>
                <w:t>.</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202510-kexhibit211.htm">
              <w:r>
                <w:rPr>
                  <w:rStyle w:val="InternetLink"/>
                  <w:rFonts w:ascii="Times New Roman;serif" w:hAnsi="Times New Roman;serif"/>
                  <w:b w:val="false"/>
                  <w:color w:val="0000FF"/>
                  <w:sz w:val="20"/>
                  <w:u w:val="single"/>
                </w:rPr>
                <w:t>List of Subsidiaries of Plains GP Holdings, L.P.</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202510-kexhibit231.htm">
              <w:r>
                <w:rPr>
                  <w:rStyle w:val="InternetLink"/>
                  <w:rFonts w:ascii="Times New Roman;serif" w:hAnsi="Times New Roman;serif"/>
                  <w:b w:val="false"/>
                  <w:color w:val="0000FF"/>
                  <w:sz w:val="20"/>
                  <w:u w:val="single"/>
                </w:rPr>
                <w:t>Consent of PricewaterhouseCoopers LLP.</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202510-kexhibit311.htm">
              <w:r>
                <w:rPr>
                  <w:rStyle w:val="InternetLink"/>
                  <w:rFonts w:ascii="Times New Roman;serif" w:hAnsi="Times New Roman;serif"/>
                  <w:b w:val="false"/>
                  <w:color w:val="0000FF"/>
                  <w:sz w:val="20"/>
                  <w:u w:val="single"/>
                </w:rPr>
                <w:t>Certification of Principal Executive Officer pursuant to Exchange Act Rules 13a-14(a) and 15d-14(a).</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202510-kexhibit312.htm">
              <w:r>
                <w:rPr>
                  <w:rStyle w:val="InternetLink"/>
                  <w:rFonts w:ascii="Times New Roman;serif" w:hAnsi="Times New Roman;serif"/>
                  <w:b w:val="false"/>
                  <w:color w:val="0000FF"/>
                  <w:sz w:val="20"/>
                  <w:u w:val="single"/>
                </w:rPr>
                <w:t>Certification of Principal Financial Officer pursuant to Exchange Act Rules 13a-14(a) and 15d-14(a).</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202510-kexhibit321.htm">
              <w:r>
                <w:rPr>
                  <w:rStyle w:val="InternetLink"/>
                  <w:rFonts w:ascii="Times New Roman;serif" w:hAnsi="Times New Roman;serif"/>
                  <w:b w:val="false"/>
                  <w:color w:val="0000FF"/>
                  <w:sz w:val="20"/>
                  <w:u w:val="single"/>
                </w:rPr>
                <w:t>Certification of Principal Executive Officer pursuant to 18 U.S.C. 1350.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202510-kexhibit322.htm">
              <w:r>
                <w:rPr>
                  <w:rStyle w:val="InternetLink"/>
                  <w:rFonts w:ascii="Times New Roman;serif" w:hAnsi="Times New Roman;serif"/>
                  <w:b w:val="false"/>
                  <w:color w:val="0000FF"/>
                  <w:sz w:val="20"/>
                  <w:u w:val="single"/>
                </w:rPr>
                <w:t>Certification of Principal Financial Officer pursuant to 18 U.S.C. 1350.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8">
              <w:r>
                <w:rPr>
                  <w:rStyle w:val="InternetLink"/>
                  <w:rFonts w:ascii="Times New Roman;serif" w:hAnsi="Times New Roman;serif"/>
                  <w:b w:val="false"/>
                  <w:color w:val="0000FF"/>
                  <w:sz w:val="20"/>
                  <w:u w:val="single"/>
                </w:rPr>
                <w:t>Amended and Restated Clawback Policy (incorporated by reference to Exhibit 97.1 to our Annual Report on Form 10-K for the year ended December 31, 2023).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157"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color w:val="000000"/>
        </w:rPr>
        <w:t>†    </w:t>
      </w:r>
      <w:r>
        <w:rPr>
          <w:rFonts w:ascii="Times New Roman;serif" w:hAnsi="Times New Roman;serif"/>
          <w:b w:val="false"/>
          <w:color w:val="000000"/>
          <w:sz w:val="20"/>
        </w:rPr>
        <w:t>Filed herewith.</w:t>
      </w:r>
    </w:p>
    <w:p>
      <w:pPr>
        <w:pStyle w:val="TextBody"/>
        <w:bidi w:val="0"/>
        <w:spacing w:lineRule="auto" w:line="288" w:before="120" w:after="283"/>
        <w:ind w:left="0" w:right="0" w:hanging="360"/>
        <w:jc w:val="left"/>
        <w:rPr/>
      </w:pPr>
      <w:r>
        <w:rPr>
          <w:color w:val="000000"/>
        </w:rPr>
        <w:t>††    </w:t>
      </w:r>
      <w:r>
        <w:rPr>
          <w:rFonts w:ascii="Times New Roman;serif" w:hAnsi="Times New Roman;serif"/>
          <w:b w:val="false"/>
          <w:color w:val="000000"/>
          <w:sz w:val="20"/>
        </w:rPr>
        <w:t>Furnished herewith.</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Certain schedules have been omitted pursuant to Item 601(b)(2) of Regulation S-K. A copy of any omitted schedule will be furnished supplementally to the SEC upon request.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Management compensatory plan or arrangement.</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16.  </w:t>
      </w:r>
      <w:r>
        <w:rPr>
          <w:rFonts w:ascii="Times New Roman;serif" w:hAnsi="Times New Roman;serif"/>
          <w:b/>
          <w:i/>
          <w:color w:val="000000"/>
          <w:sz w:val="20"/>
        </w:rPr>
        <w:t>Form 10-K Summary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575"/>
        <w:gridCol w:w="507"/>
        <w:gridCol w:w="509"/>
        <w:gridCol w:w="414"/>
        <w:gridCol w:w="414"/>
        <w:gridCol w:w="414"/>
        <w:gridCol w:w="2146"/>
        <w:gridCol w:w="2146"/>
        <w:gridCol w:w="3080"/>
      </w:tblGrid>
      <w:tr>
        <w:trPr/>
        <w:tc>
          <w:tcPr>
            <w:tcW w:w="57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PLAINS GP HOLDINGS, L.P.</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PAA GP HOLDINGS LLC,</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its general partner</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Willie Chiang</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Willie Chiang,</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Chairman of the Board, Chief Executive Officer and President of PAA GP Holdings LLC</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(Principal Executive Officer)</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 Swanson</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 Swanson,</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Executive Vice President and Chief Financial Officer</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of PAA GP Holdings LLC</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(Principal Financial Officer)</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 Herbold</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Chris Herbold,</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Senior Vice President, Finance and Chief Accounting Officer of PAA GP Holdings LLC</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(Principal Accounting Officer)</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661"/>
        <w:gridCol w:w="498"/>
        <w:gridCol w:w="502"/>
        <w:gridCol w:w="109"/>
        <w:gridCol w:w="109"/>
        <w:gridCol w:w="109"/>
        <w:gridCol w:w="2255"/>
        <w:gridCol w:w="2127"/>
        <w:gridCol w:w="2154"/>
        <w:gridCol w:w="109"/>
        <w:gridCol w:w="109"/>
        <w:gridCol w:w="109"/>
        <w:gridCol w:w="393"/>
        <w:gridCol w:w="393"/>
        <w:gridCol w:w="568"/>
      </w:tblGrid>
      <w:tr>
        <w:trPr/>
        <w:tc>
          <w:tcPr>
            <w:tcW w:w="66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Willie Chiang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Chairman of the Board, Chief Executive Officer and President of PAA GP Holdings LLC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Willie Chiang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Al Swanson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of PAA GP Holdings LLC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 Swanson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Chris Herbold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Finance and Chief Accounting Officer of PAA GP Holdings LLC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Chris Herbold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Greg L. Armstrong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Greg L. Armstrong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Victor Burk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Victor Burk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Ellen R. DeSanctis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Ellen R. DeSanctis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Kevin McCarthy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Kevin McCarthy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Harry N. Pefanis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Harry N. Pefanis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Gary R. Petersen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Gary R. Petersen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Alexandra D. Pruner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Alexandra D. Pruner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John T. Raymond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John T. Raymond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Bobby S. Shackouls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Bobby S. Shackouls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Lawrence M. Ziemba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Lawrence M. Ziemba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THE CONSOLIDATED FINANCIAL STATEMENTS</w:t>
      </w:r>
    </w:p>
    <w:tbl>
      <w:tblPr>
        <w:tblW w:w="10205" w:type="dxa"/>
        <w:jc w:val="center"/>
        <w:tblInd w:w="0" w:type="dxa"/>
        <w:tblLayout w:type="fixed"/>
        <w:tblCellMar>
          <w:top w:w="28" w:type="dxa"/>
          <w:left w:w="28" w:type="dxa"/>
          <w:bottom w:w="28" w:type="dxa"/>
          <w:right w:w="28" w:type="dxa"/>
        </w:tblCellMar>
      </w:tblPr>
      <w:tblGrid>
        <w:gridCol w:w="3594"/>
        <w:gridCol w:w="3033"/>
        <w:gridCol w:w="3055"/>
        <w:gridCol w:w="152"/>
        <w:gridCol w:w="152"/>
        <w:gridCol w:w="219"/>
      </w:tblGrid>
      <w:tr>
        <w:trPr/>
        <w:tc>
          <w:tcPr>
            <w:tcW w:w="3594" w:type="dxa"/>
            <w:tcBorders/>
            <w:vAlign w:val="center"/>
          </w:tcPr>
          <w:p>
            <w:pPr>
              <w:pStyle w:val="TableContents"/>
              <w:bidi w:val="0"/>
              <w:spacing w:before="0" w:after="283"/>
              <w:jc w:val="left"/>
              <w:rPr>
                <w:sz w:val="4"/>
                <w:szCs w:val="4"/>
              </w:rPr>
            </w:pPr>
            <w:r>
              <w:rPr>
                <w:sz w:val="4"/>
                <w:szCs w:val="4"/>
              </w:rPr>
            </w:r>
          </w:p>
        </w:tc>
        <w:tc>
          <w:tcPr>
            <w:tcW w:w="3033"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9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w:t>
            </w:r>
          </w:p>
        </w:tc>
        <w:tc>
          <w:tcPr>
            <w:tcW w:w="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60">
              <w:r>
                <w:rPr>
                  <w:rStyle w:val="InternetLink"/>
                  <w:rFonts w:ascii="Times New Roman;serif" w:hAnsi="Times New Roman;serif"/>
                  <w:b w:val="false"/>
                  <w:color w:val="0000FF"/>
                  <w:sz w:val="20"/>
                  <w:u w:val="single"/>
                </w:rPr>
                <w:t>Management’s Report on Internal Control Over Financial Reporting</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60">
              <w:r>
                <w:rPr>
                  <w:rStyle w:val="InternetLink"/>
                  <w:rFonts w:ascii="Times New Roman;serif" w:hAnsi="Times New Roman;serif"/>
                  <w:b w:val="false"/>
                  <w:color w:val="000080"/>
                  <w:sz w:val="20"/>
                  <w:u w:val="single"/>
                </w:rPr>
                <w:t>F-</w:t>
              </w:r>
            </w:hyperlink>
            <w:hyperlink w:anchor="i0c15c301e2e1454884c7405821cd32fa_160">
              <w:r>
                <w:rPr>
                  <w:rStyle w:val="InternetLink"/>
                  <w:rFonts w:ascii="Times New Roman;serif" w:hAnsi="Times New Roman;serif"/>
                  <w:b w:val="false"/>
                  <w:color w:val="000080"/>
                  <w:sz w:val="20"/>
                  <w:u w:val="single"/>
                </w:rPr>
                <w:t>2</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63">
              <w:r>
                <w:rPr>
                  <w:rStyle w:val="InternetLink"/>
                  <w:rFonts w:ascii="Times New Roman;serif" w:hAnsi="Times New Roman;serif"/>
                  <w:b w:val="false"/>
                  <w:color w:val="0000FF"/>
                  <w:sz w:val="20"/>
                  <w:u w:val="single"/>
                </w:rPr>
                <w:t>Report of Independent Registered Public Accounting Firm (PCAOB ID:</w:t>
              </w:r>
            </w:hyperlink>
            <w:hyperlink w:anchor="i0c15c301e2e1454884c7405821cd32fa_163">
              <w:r>
                <w:rPr>
                  <w:rStyle w:val="InternetLink"/>
                  <w:color w:val="0E32E1"/>
                  <w:u w:val="single"/>
                </w:rPr>
                <w:t xml:space="preserve"> </w:t>
              </w:r>
            </w:hyperlink>
            <w:r>
              <w:rPr>
                <w:rFonts w:ascii="Times New Roman;serif" w:hAnsi="Times New Roman;serif"/>
                <w:b w:val="false"/>
                <w:color w:val="0E32E1"/>
                <w:sz w:val="20"/>
                <w:u w:val="single"/>
              </w:rPr>
              <w:t>238</w:t>
            </w:r>
            <w:hyperlink w:anchor="i0c15c301e2e1454884c7405821cd32fa_163">
              <w:r>
                <w:rPr>
                  <w:rStyle w:val="InternetLink"/>
                  <w:rFonts w:ascii="Times New Roman;serif" w:hAnsi="Times New Roman;serif"/>
                  <w:b w:val="false"/>
                  <w:color w:val="0000FF"/>
                  <w:sz w:val="20"/>
                  <w:u w:val="single"/>
                </w:rPr>
                <w:t>)</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63">
              <w:r>
                <w:rPr>
                  <w:rStyle w:val="InternetLink"/>
                  <w:rFonts w:ascii="Times New Roman;serif" w:hAnsi="Times New Roman;serif"/>
                  <w:b w:val="false"/>
                  <w:color w:val="000080"/>
                  <w:sz w:val="20"/>
                  <w:u w:val="single"/>
                </w:rPr>
                <w:t>F-</w:t>
              </w:r>
            </w:hyperlink>
            <w:hyperlink w:anchor="i0c15c301e2e1454884c7405821cd32fa_163">
              <w:r>
                <w:rPr>
                  <w:rStyle w:val="InternetLink"/>
                  <w:rFonts w:ascii="Times New Roman;serif" w:hAnsi="Times New Roman;serif"/>
                  <w:b w:val="false"/>
                  <w:color w:val="000080"/>
                  <w:sz w:val="20"/>
                  <w:u w:val="single"/>
                </w:rPr>
                <w:t>3</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69">
              <w:r>
                <w:rPr>
                  <w:rStyle w:val="InternetLink"/>
                  <w:rFonts w:ascii="Times New Roman;serif" w:hAnsi="Times New Roman;serif"/>
                  <w:b w:val="false"/>
                  <w:color w:val="000080"/>
                  <w:sz w:val="20"/>
                  <w:u w:val="single"/>
                </w:rPr>
                <w:t>Consolidated Balance Sheets as of December 31, 202</w:t>
              </w:r>
            </w:hyperlink>
            <w:hyperlink w:anchor="i0c15c301e2e1454884c7405821cd32fa_169">
              <w:r>
                <w:rPr>
                  <w:rStyle w:val="InternetLink"/>
                  <w:rFonts w:ascii="Times New Roman;serif" w:hAnsi="Times New Roman;serif"/>
                  <w:b w:val="false"/>
                  <w:color w:val="000080"/>
                  <w:sz w:val="20"/>
                  <w:u w:val="single"/>
                </w:rPr>
                <w:t>5</w:t>
              </w:r>
            </w:hyperlink>
            <w:hyperlink w:anchor="i0c15c301e2e1454884c7405821cd32fa_169">
              <w:r>
                <w:rPr>
                  <w:rStyle w:val="InternetLink"/>
                  <w:rFonts w:ascii="Times New Roman;serif" w:hAnsi="Times New Roman;serif"/>
                  <w:b w:val="false"/>
                  <w:color w:val="000080"/>
                  <w:sz w:val="20"/>
                  <w:u w:val="single"/>
                </w:rPr>
                <w:t xml:space="preserve"> and 202</w:t>
              </w:r>
            </w:hyperlink>
            <w:hyperlink w:anchor="i0c15c301e2e1454884c7405821cd32fa_169">
              <w:r>
                <w:rPr>
                  <w:rStyle w:val="InternetLink"/>
                  <w:rFonts w:ascii="Times New Roman;serif" w:hAnsi="Times New Roman;serif"/>
                  <w:b w:val="false"/>
                  <w:color w:val="000080"/>
                  <w:sz w:val="20"/>
                  <w:u w:val="single"/>
                </w:rPr>
                <w:t>4</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69">
              <w:r>
                <w:rPr>
                  <w:rStyle w:val="InternetLink"/>
                  <w:rFonts w:ascii="Times New Roman;serif" w:hAnsi="Times New Roman;serif"/>
                  <w:b w:val="false"/>
                  <w:color w:val="000080"/>
                  <w:sz w:val="20"/>
                  <w:u w:val="single"/>
                </w:rPr>
                <w:t>F-</w:t>
              </w:r>
            </w:hyperlink>
            <w:hyperlink w:anchor="i0c15c301e2e1454884c7405821cd32fa_169">
              <w:r>
                <w:rPr>
                  <w:rStyle w:val="InternetLink"/>
                  <w:rFonts w:ascii="Times New Roman;serif" w:hAnsi="Times New Roman;serif"/>
                  <w:b w:val="false"/>
                  <w:color w:val="000080"/>
                  <w:sz w:val="20"/>
                  <w:u w:val="single"/>
                </w:rPr>
                <w:t>5</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72">
              <w:r>
                <w:rPr>
                  <w:rStyle w:val="InternetLink"/>
                  <w:rFonts w:ascii="Times New Roman;serif" w:hAnsi="Times New Roman;serif"/>
                  <w:b w:val="false"/>
                  <w:color w:val="000080"/>
                  <w:sz w:val="20"/>
                  <w:u w:val="single"/>
                </w:rPr>
                <w:t>Consolidated Statements of Operations for the years ended December 31, 202</w:t>
              </w:r>
            </w:hyperlink>
            <w:hyperlink w:anchor="i0c15c301e2e1454884c7405821cd32fa_172">
              <w:r>
                <w:rPr>
                  <w:rStyle w:val="InternetLink"/>
                  <w:rFonts w:ascii="Times New Roman;serif" w:hAnsi="Times New Roman;serif"/>
                  <w:b w:val="false"/>
                  <w:color w:val="000080"/>
                  <w:sz w:val="20"/>
                  <w:u w:val="single"/>
                </w:rPr>
                <w:t>5</w:t>
              </w:r>
            </w:hyperlink>
            <w:hyperlink w:anchor="i0c15c301e2e1454884c7405821cd32fa_172">
              <w:r>
                <w:rPr>
                  <w:rStyle w:val="InternetLink"/>
                  <w:rFonts w:ascii="Times New Roman;serif" w:hAnsi="Times New Roman;serif"/>
                  <w:b w:val="false"/>
                  <w:color w:val="000080"/>
                  <w:sz w:val="20"/>
                  <w:u w:val="single"/>
                </w:rPr>
                <w:t>, 202</w:t>
              </w:r>
            </w:hyperlink>
            <w:hyperlink w:anchor="i0c15c301e2e1454884c7405821cd32fa_172">
              <w:r>
                <w:rPr>
                  <w:rStyle w:val="InternetLink"/>
                  <w:rFonts w:ascii="Times New Roman;serif" w:hAnsi="Times New Roman;serif"/>
                  <w:b w:val="false"/>
                  <w:color w:val="000080"/>
                  <w:sz w:val="20"/>
                  <w:u w:val="single"/>
                </w:rPr>
                <w:t>4</w:t>
              </w:r>
            </w:hyperlink>
            <w:hyperlink w:anchor="i0c15c301e2e1454884c7405821cd32fa_172">
              <w:r>
                <w:rPr>
                  <w:rStyle w:val="InternetLink"/>
                  <w:rFonts w:ascii="Times New Roman;serif" w:hAnsi="Times New Roman;serif"/>
                  <w:b w:val="false"/>
                  <w:color w:val="000080"/>
                  <w:sz w:val="20"/>
                  <w:u w:val="single"/>
                </w:rPr>
                <w:t xml:space="preserve"> and 202</w:t>
              </w:r>
            </w:hyperlink>
            <w:hyperlink w:anchor="i0c15c301e2e1454884c7405821cd32fa_172">
              <w:r>
                <w:rPr>
                  <w:rStyle w:val="InternetLink"/>
                  <w:rFonts w:ascii="Times New Roman;serif" w:hAnsi="Times New Roman;serif"/>
                  <w:b w:val="false"/>
                  <w:color w:val="000080"/>
                  <w:sz w:val="20"/>
                  <w:u w:val="single"/>
                </w:rPr>
                <w:t>3</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72">
              <w:r>
                <w:rPr>
                  <w:rStyle w:val="InternetLink"/>
                  <w:rFonts w:ascii="Times New Roman;serif" w:hAnsi="Times New Roman;serif"/>
                  <w:b w:val="false"/>
                  <w:color w:val="000080"/>
                  <w:sz w:val="20"/>
                  <w:u w:val="single"/>
                </w:rPr>
                <w:t>F-</w:t>
              </w:r>
            </w:hyperlink>
            <w:hyperlink w:anchor="i0c15c301e2e1454884c7405821cd32fa_172">
              <w:r>
                <w:rPr>
                  <w:rStyle w:val="InternetLink"/>
                  <w:rFonts w:ascii="Times New Roman;serif" w:hAnsi="Times New Roman;serif"/>
                  <w:b w:val="false"/>
                  <w:color w:val="000080"/>
                  <w:sz w:val="20"/>
                  <w:u w:val="single"/>
                </w:rPr>
                <w:t>6</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15c301e2e1454884c7405821cd32fa_175">
              <w:r>
                <w:rPr>
                  <w:rStyle w:val="InternetLink"/>
                  <w:rFonts w:ascii="Times New Roman;serif" w:hAnsi="Times New Roman;serif"/>
                  <w:b w:val="false"/>
                  <w:color w:val="000080"/>
                  <w:sz w:val="20"/>
                  <w:u w:val="single"/>
                </w:rPr>
                <w:t>Consolidated Statements of Comprehensive Income for the years ended December 31, 202</w:t>
              </w:r>
            </w:hyperlink>
            <w:hyperlink w:anchor="i0c15c301e2e1454884c7405821cd32fa_175">
              <w:r>
                <w:rPr>
                  <w:rStyle w:val="InternetLink"/>
                  <w:rFonts w:ascii="Times New Roman;serif" w:hAnsi="Times New Roman;serif"/>
                  <w:b w:val="false"/>
                  <w:color w:val="000080"/>
                  <w:sz w:val="20"/>
                  <w:u w:val="single"/>
                </w:rPr>
                <w:t>5</w:t>
              </w:r>
            </w:hyperlink>
            <w:hyperlink w:anchor="i0c15c301e2e1454884c7405821cd32fa_175">
              <w:r>
                <w:rPr>
                  <w:rStyle w:val="InternetLink"/>
                  <w:rFonts w:ascii="Times New Roman;serif" w:hAnsi="Times New Roman;serif"/>
                  <w:b w:val="false"/>
                  <w:color w:val="000080"/>
                  <w:sz w:val="20"/>
                  <w:u w:val="single"/>
                </w:rPr>
                <w:t>, 202</w:t>
              </w:r>
            </w:hyperlink>
            <w:hyperlink w:anchor="i0c15c301e2e1454884c7405821cd32fa_175">
              <w:r>
                <w:rPr>
                  <w:rStyle w:val="InternetLink"/>
                  <w:rFonts w:ascii="Times New Roman;serif" w:hAnsi="Times New Roman;serif"/>
                  <w:b w:val="false"/>
                  <w:color w:val="000080"/>
                  <w:sz w:val="20"/>
                  <w:u w:val="single"/>
                </w:rPr>
                <w:t>4</w:t>
              </w:r>
            </w:hyperlink>
            <w:hyperlink w:anchor="i0c15c301e2e1454884c7405821cd32fa_175">
              <w:r>
                <w:rPr>
                  <w:rStyle w:val="InternetLink"/>
                  <w:rFonts w:ascii="Times New Roman;serif" w:hAnsi="Times New Roman;serif"/>
                  <w:b w:val="false"/>
                  <w:color w:val="000080"/>
                  <w:sz w:val="20"/>
                  <w:u w:val="single"/>
                </w:rPr>
                <w:t xml:space="preserve"> and 202</w:t>
              </w:r>
            </w:hyperlink>
            <w:hyperlink w:anchor="i0c15c301e2e1454884c7405821cd32fa_175">
              <w:r>
                <w:rPr>
                  <w:rStyle w:val="InternetLink"/>
                  <w:rFonts w:ascii="Times New Roman;serif" w:hAnsi="Times New Roman;serif"/>
                  <w:b w:val="false"/>
                  <w:color w:val="000080"/>
                  <w:sz w:val="20"/>
                  <w:u w:val="single"/>
                </w:rPr>
                <w:t>3</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75">
              <w:r>
                <w:rPr>
                  <w:rStyle w:val="InternetLink"/>
                  <w:rFonts w:ascii="Times New Roman;serif" w:hAnsi="Times New Roman;serif"/>
                  <w:b w:val="false"/>
                  <w:color w:val="000080"/>
                  <w:sz w:val="20"/>
                  <w:u w:val="single"/>
                </w:rPr>
                <w:t>F-</w:t>
              </w:r>
            </w:hyperlink>
            <w:hyperlink w:anchor="i0c15c301e2e1454884c7405821cd32fa_175">
              <w:r>
                <w:rPr>
                  <w:rStyle w:val="InternetLink"/>
                  <w:rFonts w:ascii="Times New Roman;serif" w:hAnsi="Times New Roman;serif"/>
                  <w:b w:val="false"/>
                  <w:color w:val="000080"/>
                  <w:sz w:val="20"/>
                  <w:u w:val="single"/>
                </w:rPr>
                <w:t>7</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15c301e2e1454884c7405821cd32fa_178">
              <w:r>
                <w:rPr>
                  <w:rStyle w:val="InternetLink"/>
                  <w:rFonts w:ascii="Times New Roman;serif" w:hAnsi="Times New Roman;serif"/>
                  <w:b w:val="false"/>
                  <w:color w:val="000080"/>
                  <w:sz w:val="20"/>
                  <w:u w:val="single"/>
                </w:rPr>
                <w:t>Consolidated Statements of Changes in Accumulated Other Comprehensive Income/(Loss) for the years ended December 31, 202</w:t>
              </w:r>
            </w:hyperlink>
            <w:hyperlink w:anchor="i0c15c301e2e1454884c7405821cd32fa_178">
              <w:r>
                <w:rPr>
                  <w:rStyle w:val="InternetLink"/>
                  <w:rFonts w:ascii="Times New Roman;serif" w:hAnsi="Times New Roman;serif"/>
                  <w:b w:val="false"/>
                  <w:color w:val="000080"/>
                  <w:sz w:val="20"/>
                  <w:u w:val="single"/>
                </w:rPr>
                <w:t>5</w:t>
              </w:r>
            </w:hyperlink>
            <w:hyperlink w:anchor="i0c15c301e2e1454884c7405821cd32fa_178">
              <w:r>
                <w:rPr>
                  <w:rStyle w:val="InternetLink"/>
                  <w:rFonts w:ascii="Times New Roman;serif" w:hAnsi="Times New Roman;serif"/>
                  <w:b w:val="false"/>
                  <w:color w:val="000080"/>
                  <w:sz w:val="20"/>
                  <w:u w:val="single"/>
                </w:rPr>
                <w:t>, 202</w:t>
              </w:r>
            </w:hyperlink>
            <w:hyperlink w:anchor="i0c15c301e2e1454884c7405821cd32fa_178">
              <w:r>
                <w:rPr>
                  <w:rStyle w:val="InternetLink"/>
                  <w:rFonts w:ascii="Times New Roman;serif" w:hAnsi="Times New Roman;serif"/>
                  <w:b w:val="false"/>
                  <w:color w:val="000080"/>
                  <w:sz w:val="20"/>
                  <w:u w:val="single"/>
                </w:rPr>
                <w:t>4</w:t>
              </w:r>
            </w:hyperlink>
            <w:hyperlink w:anchor="i0c15c301e2e1454884c7405821cd32fa_178">
              <w:r>
                <w:rPr>
                  <w:rStyle w:val="InternetLink"/>
                  <w:rFonts w:ascii="Times New Roman;serif" w:hAnsi="Times New Roman;serif"/>
                  <w:b w:val="false"/>
                  <w:color w:val="000080"/>
                  <w:sz w:val="20"/>
                  <w:u w:val="single"/>
                </w:rPr>
                <w:t xml:space="preserve"> and 202</w:t>
              </w:r>
            </w:hyperlink>
            <w:hyperlink w:anchor="i0c15c301e2e1454884c7405821cd32fa_178">
              <w:r>
                <w:rPr>
                  <w:rStyle w:val="InternetLink"/>
                  <w:rFonts w:ascii="Times New Roman;serif" w:hAnsi="Times New Roman;serif"/>
                  <w:b w:val="false"/>
                  <w:color w:val="000080"/>
                  <w:sz w:val="20"/>
                  <w:u w:val="single"/>
                </w:rPr>
                <w:t>3</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78">
              <w:r>
                <w:rPr>
                  <w:rStyle w:val="InternetLink"/>
                  <w:rFonts w:ascii="Times New Roman;serif" w:hAnsi="Times New Roman;serif"/>
                  <w:b w:val="false"/>
                  <w:color w:val="000080"/>
                  <w:sz w:val="20"/>
                  <w:u w:val="single"/>
                </w:rPr>
                <w:t>F-</w:t>
              </w:r>
            </w:hyperlink>
            <w:hyperlink w:anchor="i0c15c301e2e1454884c7405821cd32fa_178">
              <w:r>
                <w:rPr>
                  <w:rStyle w:val="InternetLink"/>
                  <w:rFonts w:ascii="Times New Roman;serif" w:hAnsi="Times New Roman;serif"/>
                  <w:b w:val="false"/>
                  <w:color w:val="000080"/>
                  <w:sz w:val="20"/>
                  <w:u w:val="single"/>
                </w:rPr>
                <w:t>7</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81">
              <w:r>
                <w:rPr>
                  <w:rStyle w:val="InternetLink"/>
                  <w:rFonts w:ascii="Times New Roman;serif" w:hAnsi="Times New Roman;serif"/>
                  <w:b w:val="false"/>
                  <w:color w:val="000080"/>
                  <w:sz w:val="20"/>
                  <w:u w:val="single"/>
                </w:rPr>
                <w:t>Consolidated Statements of Cash Flows for the years ended December 31, 202</w:t>
              </w:r>
            </w:hyperlink>
            <w:hyperlink w:anchor="i0c15c301e2e1454884c7405821cd32fa_181">
              <w:r>
                <w:rPr>
                  <w:rStyle w:val="InternetLink"/>
                  <w:rFonts w:ascii="Times New Roman;serif" w:hAnsi="Times New Roman;serif"/>
                  <w:b w:val="false"/>
                  <w:color w:val="000080"/>
                  <w:sz w:val="20"/>
                  <w:u w:val="single"/>
                </w:rPr>
                <w:t>5</w:t>
              </w:r>
            </w:hyperlink>
            <w:hyperlink w:anchor="i0c15c301e2e1454884c7405821cd32fa_181">
              <w:r>
                <w:rPr>
                  <w:rStyle w:val="InternetLink"/>
                  <w:rFonts w:ascii="Times New Roman;serif" w:hAnsi="Times New Roman;serif"/>
                  <w:b w:val="false"/>
                  <w:color w:val="000080"/>
                  <w:sz w:val="20"/>
                  <w:u w:val="single"/>
                </w:rPr>
                <w:t>, 202</w:t>
              </w:r>
            </w:hyperlink>
            <w:hyperlink w:anchor="i0c15c301e2e1454884c7405821cd32fa_181">
              <w:r>
                <w:rPr>
                  <w:rStyle w:val="InternetLink"/>
                  <w:rFonts w:ascii="Times New Roman;serif" w:hAnsi="Times New Roman;serif"/>
                  <w:b w:val="false"/>
                  <w:color w:val="000080"/>
                  <w:sz w:val="20"/>
                  <w:u w:val="single"/>
                </w:rPr>
                <w:t>4</w:t>
              </w:r>
            </w:hyperlink>
            <w:hyperlink w:anchor="i0c15c301e2e1454884c7405821cd32fa_181">
              <w:r>
                <w:rPr>
                  <w:rStyle w:val="InternetLink"/>
                  <w:rFonts w:ascii="Times New Roman;serif" w:hAnsi="Times New Roman;serif"/>
                  <w:b w:val="false"/>
                  <w:color w:val="000080"/>
                  <w:sz w:val="20"/>
                  <w:u w:val="single"/>
                </w:rPr>
                <w:t xml:space="preserve"> and 202</w:t>
              </w:r>
            </w:hyperlink>
            <w:hyperlink w:anchor="i0c15c301e2e1454884c7405821cd32fa_181">
              <w:r>
                <w:rPr>
                  <w:rStyle w:val="InternetLink"/>
                  <w:rFonts w:ascii="Times New Roman;serif" w:hAnsi="Times New Roman;serif"/>
                  <w:b w:val="false"/>
                  <w:color w:val="000080"/>
                  <w:sz w:val="20"/>
                  <w:u w:val="single"/>
                </w:rPr>
                <w:t>3</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81">
              <w:r>
                <w:rPr>
                  <w:rStyle w:val="InternetLink"/>
                  <w:rFonts w:ascii="Times New Roman;serif" w:hAnsi="Times New Roman;serif"/>
                  <w:b w:val="false"/>
                  <w:color w:val="000080"/>
                  <w:sz w:val="20"/>
                  <w:u w:val="single"/>
                </w:rPr>
                <w:t>F-</w:t>
              </w:r>
            </w:hyperlink>
            <w:hyperlink w:anchor="i0c15c301e2e1454884c7405821cd32fa_181">
              <w:r>
                <w:rPr>
                  <w:rStyle w:val="InternetLink"/>
                  <w:rFonts w:ascii="Times New Roman;serif" w:hAnsi="Times New Roman;serif"/>
                  <w:b w:val="false"/>
                  <w:color w:val="000080"/>
                  <w:sz w:val="20"/>
                  <w:u w:val="single"/>
                </w:rPr>
                <w:t>8</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15c301e2e1454884c7405821cd32fa_184">
              <w:r>
                <w:rPr>
                  <w:rStyle w:val="InternetLink"/>
                  <w:rFonts w:ascii="Times New Roman;serif" w:hAnsi="Times New Roman;serif"/>
                  <w:b w:val="false"/>
                  <w:color w:val="000080"/>
                  <w:sz w:val="20"/>
                  <w:u w:val="single"/>
                </w:rPr>
                <w:t>Consolidated Statements of Changes in Partners’ Capital for the years ended December 31, 202</w:t>
              </w:r>
            </w:hyperlink>
            <w:hyperlink w:anchor="i0c15c301e2e1454884c7405821cd32fa_184">
              <w:r>
                <w:rPr>
                  <w:rStyle w:val="InternetLink"/>
                  <w:rFonts w:ascii="Times New Roman;serif" w:hAnsi="Times New Roman;serif"/>
                  <w:b w:val="false"/>
                  <w:color w:val="000080"/>
                  <w:sz w:val="20"/>
                  <w:u w:val="single"/>
                </w:rPr>
                <w:t>5</w:t>
              </w:r>
            </w:hyperlink>
            <w:hyperlink w:anchor="i0c15c301e2e1454884c7405821cd32fa_184">
              <w:r>
                <w:rPr>
                  <w:rStyle w:val="InternetLink"/>
                  <w:rFonts w:ascii="Times New Roman;serif" w:hAnsi="Times New Roman;serif"/>
                  <w:b w:val="false"/>
                  <w:color w:val="000080"/>
                  <w:sz w:val="20"/>
                  <w:u w:val="single"/>
                </w:rPr>
                <w:t>, 202</w:t>
              </w:r>
            </w:hyperlink>
            <w:hyperlink w:anchor="i0c15c301e2e1454884c7405821cd32fa_184">
              <w:r>
                <w:rPr>
                  <w:rStyle w:val="InternetLink"/>
                  <w:rFonts w:ascii="Times New Roman;serif" w:hAnsi="Times New Roman;serif"/>
                  <w:b w:val="false"/>
                  <w:color w:val="000080"/>
                  <w:sz w:val="20"/>
                  <w:u w:val="single"/>
                </w:rPr>
                <w:t>4</w:t>
              </w:r>
            </w:hyperlink>
            <w:hyperlink w:anchor="i0c15c301e2e1454884c7405821cd32fa_184">
              <w:r>
                <w:rPr>
                  <w:rStyle w:val="InternetLink"/>
                  <w:rFonts w:ascii="Times New Roman;serif" w:hAnsi="Times New Roman;serif"/>
                  <w:b w:val="false"/>
                  <w:color w:val="000080"/>
                  <w:sz w:val="20"/>
                  <w:u w:val="single"/>
                </w:rPr>
                <w:t xml:space="preserve"> and 202</w:t>
              </w:r>
            </w:hyperlink>
            <w:hyperlink w:anchor="i0c15c301e2e1454884c7405821cd32fa_184">
              <w:r>
                <w:rPr>
                  <w:rStyle w:val="InternetLink"/>
                  <w:rFonts w:ascii="Times New Roman;serif" w:hAnsi="Times New Roman;serif"/>
                  <w:b w:val="false"/>
                  <w:color w:val="000080"/>
                  <w:sz w:val="20"/>
                  <w:u w:val="single"/>
                </w:rPr>
                <w:t>3</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84">
              <w:r>
                <w:rPr>
                  <w:rStyle w:val="InternetLink"/>
                  <w:rFonts w:ascii="Times New Roman;serif" w:hAnsi="Times New Roman;serif"/>
                  <w:b w:val="false"/>
                  <w:color w:val="000080"/>
                  <w:sz w:val="20"/>
                  <w:u w:val="single"/>
                </w:rPr>
                <w:t>F-</w:t>
              </w:r>
            </w:hyperlink>
            <w:hyperlink w:anchor="i0c15c301e2e1454884c7405821cd32fa_184">
              <w:r>
                <w:rPr>
                  <w:rStyle w:val="InternetLink"/>
                  <w:rFonts w:ascii="Times New Roman;serif" w:hAnsi="Times New Roman;serif"/>
                  <w:b w:val="false"/>
                  <w:color w:val="000080"/>
                  <w:sz w:val="20"/>
                  <w:u w:val="single"/>
                </w:rPr>
                <w:t>9</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87">
              <w:r>
                <w:rPr>
                  <w:rStyle w:val="InternetLink"/>
                  <w:rFonts w:ascii="Times New Roman;serif" w:hAnsi="Times New Roman;serif"/>
                  <w:b w:val="false"/>
                  <w:color w:val="0000FF"/>
                  <w:sz w:val="20"/>
                  <w:u w:val="single"/>
                </w:rPr>
                <w:t>Notes to the Consolidated Financial Statements: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87">
              <w:r>
                <w:rPr>
                  <w:rStyle w:val="InternetLink"/>
                  <w:rFonts w:ascii="Times New Roman;serif" w:hAnsi="Times New Roman;serif"/>
                  <w:b w:val="false"/>
                  <w:color w:val="000080"/>
                  <w:sz w:val="20"/>
                  <w:u w:val="single"/>
                </w:rPr>
                <w:t>F-</w:t>
              </w:r>
            </w:hyperlink>
            <w:hyperlink w:anchor="i0c15c301e2e1454884c7405821cd32fa_187">
              <w:r>
                <w:rPr>
                  <w:rStyle w:val="InternetLink"/>
                  <w:rFonts w:ascii="Times New Roman;serif" w:hAnsi="Times New Roman;serif"/>
                  <w:b w:val="false"/>
                  <w:color w:val="000080"/>
                  <w:sz w:val="20"/>
                  <w:u w:val="single"/>
                </w:rPr>
                <w:t>10</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90">
              <w:r>
                <w:rPr>
                  <w:rStyle w:val="InternetLink"/>
                  <w:rFonts w:ascii="Times New Roman;serif" w:hAnsi="Times New Roman;serif"/>
                  <w:b w:val="false"/>
                  <w:color w:val="0000FF"/>
                  <w:sz w:val="20"/>
                  <w:u w:val="single"/>
                </w:rPr>
                <w:t>1. Organization and Basis of Consolidation and Presentation</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90">
              <w:r>
                <w:rPr>
                  <w:rStyle w:val="InternetLink"/>
                  <w:rFonts w:ascii="Times New Roman;serif" w:hAnsi="Times New Roman;serif"/>
                  <w:b w:val="false"/>
                  <w:color w:val="000080"/>
                  <w:sz w:val="20"/>
                  <w:u w:val="single"/>
                </w:rPr>
                <w:t>F-</w:t>
              </w:r>
            </w:hyperlink>
            <w:hyperlink w:anchor="i0c15c301e2e1454884c7405821cd32fa_190">
              <w:r>
                <w:rPr>
                  <w:rStyle w:val="InternetLink"/>
                  <w:rFonts w:ascii="Times New Roman;serif" w:hAnsi="Times New Roman;serif"/>
                  <w:b w:val="false"/>
                  <w:color w:val="000080"/>
                  <w:sz w:val="20"/>
                  <w:u w:val="single"/>
                </w:rPr>
                <w:t>10</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93">
              <w:r>
                <w:rPr>
                  <w:rStyle w:val="InternetLink"/>
                  <w:rFonts w:ascii="Times New Roman;serif" w:hAnsi="Times New Roman;serif"/>
                  <w:b w:val="false"/>
                  <w:color w:val="0000FF"/>
                  <w:sz w:val="20"/>
                  <w:u w:val="single"/>
                </w:rPr>
                <w:t>2. Summary of Significant Accounting Policies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93">
              <w:r>
                <w:rPr>
                  <w:rStyle w:val="InternetLink"/>
                  <w:rFonts w:ascii="Times New Roman;serif" w:hAnsi="Times New Roman;serif"/>
                  <w:b w:val="false"/>
                  <w:color w:val="000080"/>
                  <w:sz w:val="20"/>
                  <w:u w:val="single"/>
                </w:rPr>
                <w:t>F-</w:t>
              </w:r>
            </w:hyperlink>
            <w:hyperlink w:anchor="i0c15c301e2e1454884c7405821cd32fa_193">
              <w:r>
                <w:rPr>
                  <w:rStyle w:val="InternetLink"/>
                  <w:rFonts w:ascii="Times New Roman;serif" w:hAnsi="Times New Roman;serif"/>
                  <w:b w:val="false"/>
                  <w:color w:val="000080"/>
                  <w:sz w:val="20"/>
                  <w:u w:val="single"/>
                </w:rPr>
                <w:t>12</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2276">
              <w:r>
                <w:rPr>
                  <w:rStyle w:val="InternetLink"/>
                  <w:rFonts w:ascii="Times New Roman;serif" w:hAnsi="Times New Roman;serif"/>
                  <w:b w:val="false"/>
                  <w:color w:val="000080"/>
                  <w:sz w:val="20"/>
                  <w:u w:val="single"/>
                </w:rPr>
                <w:t>3</w:t>
              </w:r>
            </w:hyperlink>
            <w:hyperlink w:anchor="i0c15c301e2e1454884c7405821cd32fa_2276">
              <w:r>
                <w:rPr>
                  <w:rStyle w:val="InternetLink"/>
                  <w:rFonts w:ascii="Times New Roman;serif" w:hAnsi="Times New Roman;serif"/>
                  <w:b w:val="false"/>
                  <w:color w:val="000080"/>
                  <w:sz w:val="20"/>
                  <w:u w:val="single"/>
                </w:rPr>
                <w:t>. Discontinued Operations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2276">
              <w:r>
                <w:rPr>
                  <w:rStyle w:val="InternetLink"/>
                  <w:rFonts w:ascii="Times New Roman;serif" w:hAnsi="Times New Roman;serif"/>
                  <w:b w:val="false"/>
                  <w:color w:val="000080"/>
                  <w:sz w:val="20"/>
                  <w:u w:val="single"/>
                </w:rPr>
                <w:t>F-</w:t>
              </w:r>
            </w:hyperlink>
            <w:hyperlink w:anchor="i0c15c301e2e1454884c7405821cd32fa_2276">
              <w:r>
                <w:rPr>
                  <w:rStyle w:val="InternetLink"/>
                  <w:rFonts w:ascii="Times New Roman;serif" w:hAnsi="Times New Roman;serif"/>
                  <w:b w:val="false"/>
                  <w:color w:val="000080"/>
                  <w:sz w:val="20"/>
                  <w:u w:val="single"/>
                </w:rPr>
                <w:t>15</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196">
              <w:r>
                <w:rPr>
                  <w:rStyle w:val="InternetLink"/>
                  <w:rFonts w:ascii="Times New Roman;serif" w:hAnsi="Times New Roman;serif"/>
                  <w:b w:val="false"/>
                  <w:color w:val="0000FF"/>
                  <w:sz w:val="20"/>
                  <w:u w:val="single"/>
                </w:rPr>
                <w:t>4. Revenues and Accounts Receivable</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196">
              <w:r>
                <w:rPr>
                  <w:rStyle w:val="InternetLink"/>
                  <w:rFonts w:ascii="Times New Roman;serif" w:hAnsi="Times New Roman;serif"/>
                  <w:b w:val="false"/>
                  <w:color w:val="000080"/>
                  <w:sz w:val="20"/>
                  <w:u w:val="single"/>
                </w:rPr>
                <w:t>F-</w:t>
              </w:r>
            </w:hyperlink>
            <w:hyperlink w:anchor="i0c15c301e2e1454884c7405821cd32fa_196">
              <w:r>
                <w:rPr>
                  <w:rStyle w:val="InternetLink"/>
                  <w:rFonts w:ascii="Times New Roman;serif" w:hAnsi="Times New Roman;serif"/>
                  <w:b w:val="false"/>
                  <w:color w:val="000080"/>
                  <w:sz w:val="20"/>
                  <w:u w:val="single"/>
                </w:rPr>
                <w:t>17</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202">
              <w:r>
                <w:rPr>
                  <w:rStyle w:val="InternetLink"/>
                  <w:rFonts w:ascii="Times New Roman;serif" w:hAnsi="Times New Roman;serif"/>
                  <w:b w:val="false"/>
                  <w:color w:val="0000FF"/>
                  <w:sz w:val="20"/>
                  <w:u w:val="single"/>
                </w:rPr>
                <w:t>5. Net Income Per Class A Share</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202">
              <w:r>
                <w:rPr>
                  <w:rStyle w:val="InternetLink"/>
                  <w:rFonts w:ascii="Times New Roman;serif" w:hAnsi="Times New Roman;serif"/>
                  <w:b w:val="false"/>
                  <w:color w:val="000080"/>
                  <w:sz w:val="20"/>
                  <w:u w:val="single"/>
                </w:rPr>
                <w:t>F-</w:t>
              </w:r>
            </w:hyperlink>
            <w:hyperlink w:anchor="i0c15c301e2e1454884c7405821cd32fa_202">
              <w:r>
                <w:rPr>
                  <w:rStyle w:val="InternetLink"/>
                  <w:rFonts w:ascii="Times New Roman;serif" w:hAnsi="Times New Roman;serif"/>
                  <w:b w:val="false"/>
                  <w:color w:val="000080"/>
                  <w:sz w:val="20"/>
                  <w:u w:val="single"/>
                </w:rPr>
                <w:t>21</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205">
              <w:r>
                <w:rPr>
                  <w:rStyle w:val="InternetLink"/>
                  <w:rFonts w:ascii="Times New Roman;serif" w:hAnsi="Times New Roman;serif"/>
                  <w:b w:val="false"/>
                  <w:color w:val="0000FF"/>
                  <w:sz w:val="20"/>
                  <w:u w:val="single"/>
                </w:rPr>
                <w:t>6. Inventory, Linefill and Long-term Inventory</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205">
              <w:r>
                <w:rPr>
                  <w:rStyle w:val="InternetLink"/>
                  <w:rFonts w:ascii="Times New Roman;serif" w:hAnsi="Times New Roman;serif"/>
                  <w:b w:val="false"/>
                  <w:color w:val="000080"/>
                  <w:sz w:val="20"/>
                  <w:u w:val="single"/>
                </w:rPr>
                <w:t>F-</w:t>
              </w:r>
            </w:hyperlink>
            <w:hyperlink w:anchor="i0c15c301e2e1454884c7405821cd32fa_205">
              <w:r>
                <w:rPr>
                  <w:rStyle w:val="InternetLink"/>
                  <w:rFonts w:ascii="Times New Roman;serif" w:hAnsi="Times New Roman;serif"/>
                  <w:b w:val="false"/>
                  <w:color w:val="000080"/>
                  <w:sz w:val="20"/>
                  <w:u w:val="single"/>
                </w:rPr>
                <w:t>22</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208">
              <w:r>
                <w:rPr>
                  <w:rStyle w:val="InternetLink"/>
                  <w:rFonts w:ascii="Times New Roman;serif" w:hAnsi="Times New Roman;serif"/>
                  <w:b w:val="false"/>
                  <w:color w:val="0000FF"/>
                  <w:sz w:val="20"/>
                  <w:u w:val="single"/>
                </w:rPr>
                <w:t>7. Property and Equipment</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208">
              <w:r>
                <w:rPr>
                  <w:rStyle w:val="InternetLink"/>
                  <w:rFonts w:ascii="Times New Roman;serif" w:hAnsi="Times New Roman;serif"/>
                  <w:b w:val="false"/>
                  <w:color w:val="000080"/>
                  <w:sz w:val="20"/>
                  <w:u w:val="single"/>
                </w:rPr>
                <w:t>F-</w:t>
              </w:r>
            </w:hyperlink>
            <w:hyperlink w:anchor="i0c15c301e2e1454884c7405821cd32fa_208">
              <w:r>
                <w:rPr>
                  <w:rStyle w:val="InternetLink"/>
                  <w:rFonts w:ascii="Times New Roman;serif" w:hAnsi="Times New Roman;serif"/>
                  <w:b w:val="false"/>
                  <w:color w:val="000080"/>
                  <w:sz w:val="20"/>
                  <w:u w:val="single"/>
                </w:rPr>
                <w:t>23</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211">
              <w:r>
                <w:rPr>
                  <w:rStyle w:val="InternetLink"/>
                  <w:rFonts w:ascii="Times New Roman;serif" w:hAnsi="Times New Roman;serif"/>
                  <w:b w:val="false"/>
                  <w:color w:val="0000FF"/>
                  <w:sz w:val="20"/>
                  <w:u w:val="single"/>
                </w:rPr>
                <w:t>8. Acquisitions, Divestitures and Other Transactions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211">
              <w:r>
                <w:rPr>
                  <w:rStyle w:val="InternetLink"/>
                  <w:rFonts w:ascii="Times New Roman;serif" w:hAnsi="Times New Roman;serif"/>
                  <w:b w:val="false"/>
                  <w:color w:val="000080"/>
                  <w:sz w:val="20"/>
                  <w:u w:val="single"/>
                </w:rPr>
                <w:t>F-</w:t>
              </w:r>
            </w:hyperlink>
            <w:hyperlink w:anchor="i0c15c301e2e1454884c7405821cd32fa_211">
              <w:r>
                <w:rPr>
                  <w:rStyle w:val="InternetLink"/>
                  <w:rFonts w:ascii="Times New Roman;serif" w:hAnsi="Times New Roman;serif"/>
                  <w:b w:val="false"/>
                  <w:color w:val="000080"/>
                  <w:sz w:val="20"/>
                  <w:u w:val="single"/>
                </w:rPr>
                <w:t>25</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214">
              <w:r>
                <w:rPr>
                  <w:rStyle w:val="InternetLink"/>
                  <w:rFonts w:ascii="Times New Roman;serif" w:hAnsi="Times New Roman;serif"/>
                  <w:b w:val="false"/>
                  <w:color w:val="0000FF"/>
                  <w:sz w:val="20"/>
                  <w:u w:val="single"/>
                </w:rPr>
                <w:t>9. Investments in Unconsolidated Entities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214">
              <w:r>
                <w:rPr>
                  <w:rStyle w:val="InternetLink"/>
                  <w:rFonts w:ascii="Times New Roman;serif" w:hAnsi="Times New Roman;serif"/>
                  <w:b w:val="false"/>
                  <w:color w:val="000080"/>
                  <w:sz w:val="20"/>
                  <w:u w:val="single"/>
                </w:rPr>
                <w:t>F-</w:t>
              </w:r>
            </w:hyperlink>
            <w:hyperlink w:anchor="i0c15c301e2e1454884c7405821cd32fa_214">
              <w:r>
                <w:rPr>
                  <w:rStyle w:val="InternetLink"/>
                  <w:rFonts w:ascii="Times New Roman;serif" w:hAnsi="Times New Roman;serif"/>
                  <w:b w:val="false"/>
                  <w:color w:val="000080"/>
                  <w:sz w:val="20"/>
                  <w:u w:val="single"/>
                </w:rPr>
                <w:t>30</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217">
              <w:r>
                <w:rPr>
                  <w:rStyle w:val="InternetLink"/>
                  <w:rFonts w:ascii="Times New Roman;serif" w:hAnsi="Times New Roman;serif"/>
                  <w:b w:val="false"/>
                  <w:color w:val="0000FF"/>
                  <w:sz w:val="20"/>
                  <w:u w:val="single"/>
                </w:rPr>
                <w:t>10. Intangible Assets, Net</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217">
              <w:r>
                <w:rPr>
                  <w:rStyle w:val="InternetLink"/>
                  <w:rFonts w:ascii="Times New Roman;serif" w:hAnsi="Times New Roman;serif"/>
                  <w:b w:val="false"/>
                  <w:color w:val="000080"/>
                  <w:sz w:val="20"/>
                  <w:u w:val="single"/>
                </w:rPr>
                <w:t>F-</w:t>
              </w:r>
            </w:hyperlink>
            <w:hyperlink w:anchor="i0c15c301e2e1454884c7405821cd32fa_217">
              <w:r>
                <w:rPr>
                  <w:rStyle w:val="InternetLink"/>
                  <w:rFonts w:ascii="Times New Roman;serif" w:hAnsi="Times New Roman;serif"/>
                  <w:b w:val="false"/>
                  <w:color w:val="000080"/>
                  <w:sz w:val="20"/>
                  <w:u w:val="single"/>
                </w:rPr>
                <w:t>33</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220">
              <w:r>
                <w:rPr>
                  <w:rStyle w:val="InternetLink"/>
                  <w:rFonts w:ascii="Times New Roman;serif" w:hAnsi="Times New Roman;serif"/>
                  <w:b w:val="false"/>
                  <w:color w:val="000080"/>
                  <w:sz w:val="20"/>
                  <w:u w:val="single"/>
                </w:rPr>
                <w:t>1</w:t>
              </w:r>
            </w:hyperlink>
            <w:hyperlink w:anchor="i0c15c301e2e1454884c7405821cd32fa_220">
              <w:r>
                <w:rPr>
                  <w:rStyle w:val="InternetLink"/>
                  <w:rFonts w:ascii="Times New Roman;serif" w:hAnsi="Times New Roman;serif"/>
                  <w:b w:val="false"/>
                  <w:color w:val="000080"/>
                  <w:sz w:val="20"/>
                  <w:u w:val="single"/>
                </w:rPr>
                <w:t>1</w:t>
              </w:r>
            </w:hyperlink>
            <w:hyperlink w:anchor="i0c15c301e2e1454884c7405821cd32fa_220">
              <w:r>
                <w:rPr>
                  <w:rStyle w:val="InternetLink"/>
                  <w:rFonts w:ascii="Times New Roman;serif" w:hAnsi="Times New Roman;serif"/>
                  <w:b w:val="false"/>
                  <w:color w:val="000080"/>
                  <w:sz w:val="20"/>
                  <w:u w:val="single"/>
                </w:rPr>
                <w:t>. Debt</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217">
              <w:r>
                <w:rPr>
                  <w:rStyle w:val="InternetLink"/>
                  <w:rFonts w:ascii="Times New Roman;serif" w:hAnsi="Times New Roman;serif"/>
                  <w:b w:val="false"/>
                  <w:color w:val="000080"/>
                  <w:sz w:val="20"/>
                  <w:u w:val="single"/>
                </w:rPr>
                <w:t>F-</w:t>
              </w:r>
            </w:hyperlink>
            <w:hyperlink w:anchor="i0c15c301e2e1454884c7405821cd32fa_220">
              <w:r>
                <w:rPr>
                  <w:rStyle w:val="InternetLink"/>
                  <w:rFonts w:ascii="Times New Roman;serif" w:hAnsi="Times New Roman;serif"/>
                  <w:b w:val="false"/>
                  <w:color w:val="000080"/>
                  <w:sz w:val="20"/>
                  <w:u w:val="single"/>
                </w:rPr>
                <w:t>34</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223">
              <w:r>
                <w:rPr>
                  <w:rStyle w:val="InternetLink"/>
                  <w:rFonts w:ascii="Times New Roman;serif" w:hAnsi="Times New Roman;serif"/>
                  <w:b w:val="false"/>
                  <w:color w:val="000080"/>
                  <w:sz w:val="20"/>
                  <w:u w:val="single"/>
                </w:rPr>
                <w:t>1</w:t>
              </w:r>
            </w:hyperlink>
            <w:hyperlink w:anchor="i0c15c301e2e1454884c7405821cd32fa_223">
              <w:r>
                <w:rPr>
                  <w:rStyle w:val="InternetLink"/>
                  <w:rFonts w:ascii="Times New Roman;serif" w:hAnsi="Times New Roman;serif"/>
                  <w:b w:val="false"/>
                  <w:color w:val="000080"/>
                  <w:sz w:val="20"/>
                  <w:u w:val="single"/>
                </w:rPr>
                <w:t>2</w:t>
              </w:r>
            </w:hyperlink>
            <w:hyperlink w:anchor="i0c15c301e2e1454884c7405821cd32fa_223">
              <w:r>
                <w:rPr>
                  <w:rStyle w:val="InternetLink"/>
                  <w:rFonts w:ascii="Times New Roman;serif" w:hAnsi="Times New Roman;serif"/>
                  <w:b w:val="false"/>
                  <w:color w:val="000080"/>
                  <w:sz w:val="20"/>
                  <w:u w:val="single"/>
                </w:rPr>
                <w:t>. Partners’ Capital and Distributions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223">
              <w:r>
                <w:rPr>
                  <w:rStyle w:val="InternetLink"/>
                  <w:rFonts w:ascii="Times New Roman;serif" w:hAnsi="Times New Roman;serif"/>
                  <w:b w:val="false"/>
                  <w:color w:val="000080"/>
                  <w:sz w:val="20"/>
                  <w:u w:val="single"/>
                </w:rPr>
                <w:t>F-</w:t>
              </w:r>
            </w:hyperlink>
            <w:hyperlink w:anchor="i0c15c301e2e1454884c7405821cd32fa_223">
              <w:r>
                <w:rPr>
                  <w:rStyle w:val="InternetLink"/>
                  <w:rFonts w:ascii="Times New Roman;serif" w:hAnsi="Times New Roman;serif"/>
                  <w:b w:val="false"/>
                  <w:color w:val="000080"/>
                  <w:sz w:val="20"/>
                  <w:u w:val="single"/>
                </w:rPr>
                <w:t>39</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226">
              <w:r>
                <w:rPr>
                  <w:rStyle w:val="InternetLink"/>
                  <w:rFonts w:ascii="Times New Roman;serif" w:hAnsi="Times New Roman;serif"/>
                  <w:b w:val="false"/>
                  <w:color w:val="000080"/>
                  <w:sz w:val="20"/>
                  <w:u w:val="single"/>
                </w:rPr>
                <w:t>1</w:t>
              </w:r>
            </w:hyperlink>
            <w:hyperlink w:anchor="i0c15c301e2e1454884c7405821cd32fa_226">
              <w:r>
                <w:rPr>
                  <w:rStyle w:val="InternetLink"/>
                  <w:rFonts w:ascii="Times New Roman;serif" w:hAnsi="Times New Roman;serif"/>
                  <w:b w:val="false"/>
                  <w:color w:val="000080"/>
                  <w:sz w:val="20"/>
                  <w:u w:val="single"/>
                </w:rPr>
                <w:t>3</w:t>
              </w:r>
            </w:hyperlink>
            <w:hyperlink w:anchor="i0c15c301e2e1454884c7405821cd32fa_226">
              <w:r>
                <w:rPr>
                  <w:rStyle w:val="InternetLink"/>
                  <w:rFonts w:ascii="Times New Roman;serif" w:hAnsi="Times New Roman;serif"/>
                  <w:b w:val="false"/>
                  <w:color w:val="000080"/>
                  <w:sz w:val="20"/>
                  <w:u w:val="single"/>
                </w:rPr>
                <w:t>. Derivatives and Risk Management Activities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226">
              <w:r>
                <w:rPr>
                  <w:rStyle w:val="InternetLink"/>
                  <w:rFonts w:ascii="Times New Roman;serif" w:hAnsi="Times New Roman;serif"/>
                  <w:b w:val="false"/>
                  <w:color w:val="000080"/>
                  <w:sz w:val="20"/>
                  <w:u w:val="single"/>
                </w:rPr>
                <w:t>F-</w:t>
              </w:r>
            </w:hyperlink>
            <w:hyperlink w:anchor="i0c15c301e2e1454884c7405821cd32fa_226">
              <w:r>
                <w:rPr>
                  <w:rStyle w:val="InternetLink"/>
                  <w:rFonts w:ascii="Times New Roman;serif" w:hAnsi="Times New Roman;serif"/>
                  <w:b w:val="false"/>
                  <w:color w:val="000080"/>
                  <w:sz w:val="20"/>
                  <w:u w:val="single"/>
                </w:rPr>
                <w:t>43</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229">
              <w:r>
                <w:rPr>
                  <w:rStyle w:val="InternetLink"/>
                  <w:rFonts w:ascii="Times New Roman;serif" w:hAnsi="Times New Roman;serif"/>
                  <w:b w:val="false"/>
                  <w:color w:val="000080"/>
                  <w:sz w:val="20"/>
                  <w:u w:val="single"/>
                </w:rPr>
                <w:t>1</w:t>
              </w:r>
            </w:hyperlink>
            <w:hyperlink w:anchor="i0c15c301e2e1454884c7405821cd32fa_229">
              <w:r>
                <w:rPr>
                  <w:rStyle w:val="InternetLink"/>
                  <w:rFonts w:ascii="Times New Roman;serif" w:hAnsi="Times New Roman;serif"/>
                  <w:b w:val="false"/>
                  <w:color w:val="000080"/>
                  <w:sz w:val="20"/>
                  <w:u w:val="single"/>
                </w:rPr>
                <w:t>4</w:t>
              </w:r>
            </w:hyperlink>
            <w:hyperlink w:anchor="i0c15c301e2e1454884c7405821cd32fa_229">
              <w:r>
                <w:rPr>
                  <w:rStyle w:val="InternetLink"/>
                  <w:rFonts w:ascii="Times New Roman;serif" w:hAnsi="Times New Roman;serif"/>
                  <w:b w:val="false"/>
                  <w:color w:val="000080"/>
                  <w:sz w:val="20"/>
                  <w:u w:val="single"/>
                </w:rPr>
                <w:t>. Leases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229">
              <w:r>
                <w:rPr>
                  <w:rStyle w:val="InternetLink"/>
                  <w:rFonts w:ascii="Times New Roman;serif" w:hAnsi="Times New Roman;serif"/>
                  <w:b w:val="false"/>
                  <w:color w:val="000080"/>
                  <w:sz w:val="20"/>
                  <w:u w:val="single"/>
                </w:rPr>
                <w:t>F-</w:t>
              </w:r>
            </w:hyperlink>
            <w:hyperlink w:anchor="i0c15c301e2e1454884c7405821cd32fa_229">
              <w:r>
                <w:rPr>
                  <w:rStyle w:val="InternetLink"/>
                  <w:rFonts w:ascii="Times New Roman;serif" w:hAnsi="Times New Roman;serif"/>
                  <w:b w:val="false"/>
                  <w:color w:val="000080"/>
                  <w:sz w:val="20"/>
                  <w:u w:val="single"/>
                </w:rPr>
                <w:t>46</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232">
              <w:r>
                <w:rPr>
                  <w:rStyle w:val="InternetLink"/>
                  <w:rFonts w:ascii="Times New Roman;serif" w:hAnsi="Times New Roman;serif"/>
                  <w:b w:val="false"/>
                  <w:color w:val="000080"/>
                  <w:sz w:val="20"/>
                  <w:u w:val="single"/>
                </w:rPr>
                <w:t>1</w:t>
              </w:r>
            </w:hyperlink>
            <w:hyperlink w:anchor="i0c15c301e2e1454884c7405821cd32fa_232">
              <w:r>
                <w:rPr>
                  <w:rStyle w:val="InternetLink"/>
                  <w:rFonts w:ascii="Times New Roman;serif" w:hAnsi="Times New Roman;serif"/>
                  <w:b w:val="false"/>
                  <w:color w:val="000080"/>
                  <w:sz w:val="20"/>
                  <w:u w:val="single"/>
                </w:rPr>
                <w:t>5</w:t>
              </w:r>
            </w:hyperlink>
            <w:hyperlink w:anchor="i0c15c301e2e1454884c7405821cd32fa_232">
              <w:r>
                <w:rPr>
                  <w:rStyle w:val="InternetLink"/>
                  <w:rFonts w:ascii="Times New Roman;serif" w:hAnsi="Times New Roman;serif"/>
                  <w:b w:val="false"/>
                  <w:color w:val="000080"/>
                  <w:sz w:val="20"/>
                  <w:u w:val="single"/>
                </w:rPr>
                <w:t>. Income Taxes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232">
              <w:r>
                <w:rPr>
                  <w:rStyle w:val="InternetLink"/>
                  <w:rFonts w:ascii="Times New Roman;serif" w:hAnsi="Times New Roman;serif"/>
                  <w:b w:val="false"/>
                  <w:color w:val="000080"/>
                  <w:sz w:val="20"/>
                  <w:u w:val="single"/>
                </w:rPr>
                <w:t>F-</w:t>
              </w:r>
            </w:hyperlink>
            <w:hyperlink w:anchor="i0c15c301e2e1454884c7405821cd32fa_232">
              <w:r>
                <w:rPr>
                  <w:rStyle w:val="InternetLink"/>
                  <w:rFonts w:ascii="Times New Roman;serif" w:hAnsi="Times New Roman;serif"/>
                  <w:b w:val="false"/>
                  <w:color w:val="000080"/>
                  <w:sz w:val="20"/>
                  <w:u w:val="single"/>
                </w:rPr>
                <w:t>49</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235">
              <w:r>
                <w:rPr>
                  <w:rStyle w:val="InternetLink"/>
                  <w:rFonts w:ascii="Times New Roman;serif" w:hAnsi="Times New Roman;serif"/>
                  <w:b w:val="false"/>
                  <w:color w:val="000080"/>
                  <w:sz w:val="20"/>
                  <w:u w:val="single"/>
                </w:rPr>
                <w:t>1</w:t>
              </w:r>
            </w:hyperlink>
            <w:hyperlink w:anchor="i0c15c301e2e1454884c7405821cd32fa_235">
              <w:r>
                <w:rPr>
                  <w:rStyle w:val="InternetLink"/>
                  <w:rFonts w:ascii="Times New Roman;serif" w:hAnsi="Times New Roman;serif"/>
                  <w:b w:val="false"/>
                  <w:color w:val="000080"/>
                  <w:sz w:val="20"/>
                  <w:u w:val="single"/>
                </w:rPr>
                <w:t>6</w:t>
              </w:r>
            </w:hyperlink>
            <w:hyperlink w:anchor="i0c15c301e2e1454884c7405821cd32fa_235">
              <w:r>
                <w:rPr>
                  <w:rStyle w:val="InternetLink"/>
                  <w:rFonts w:ascii="Times New Roman;serif" w:hAnsi="Times New Roman;serif"/>
                  <w:b w:val="false"/>
                  <w:color w:val="000080"/>
                  <w:sz w:val="20"/>
                  <w:u w:val="single"/>
                </w:rPr>
                <w:t>. Major Customers and Concentration of Credit Risk</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235">
              <w:r>
                <w:rPr>
                  <w:rStyle w:val="InternetLink"/>
                  <w:rFonts w:ascii="Times New Roman;serif" w:hAnsi="Times New Roman;serif"/>
                  <w:b w:val="false"/>
                  <w:color w:val="000080"/>
                  <w:sz w:val="20"/>
                  <w:u w:val="single"/>
                </w:rPr>
                <w:t>F-</w:t>
              </w:r>
            </w:hyperlink>
            <w:hyperlink w:anchor="i0c15c301e2e1454884c7405821cd32fa_235">
              <w:r>
                <w:rPr>
                  <w:rStyle w:val="InternetLink"/>
                  <w:rFonts w:ascii="Times New Roman;serif" w:hAnsi="Times New Roman;serif"/>
                  <w:b w:val="false"/>
                  <w:color w:val="000080"/>
                  <w:sz w:val="20"/>
                  <w:u w:val="single"/>
                </w:rPr>
                <w:t>53</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238">
              <w:r>
                <w:rPr>
                  <w:rStyle w:val="InternetLink"/>
                  <w:rFonts w:ascii="Times New Roman;serif" w:hAnsi="Times New Roman;serif"/>
                  <w:b w:val="false"/>
                  <w:color w:val="000080"/>
                  <w:sz w:val="20"/>
                  <w:u w:val="single"/>
                </w:rPr>
                <w:t>1</w:t>
              </w:r>
            </w:hyperlink>
            <w:hyperlink w:anchor="i0c15c301e2e1454884c7405821cd32fa_238">
              <w:r>
                <w:rPr>
                  <w:rStyle w:val="InternetLink"/>
                  <w:rFonts w:ascii="Times New Roman;serif" w:hAnsi="Times New Roman;serif"/>
                  <w:b w:val="false"/>
                  <w:color w:val="000080"/>
                  <w:sz w:val="20"/>
                  <w:u w:val="single"/>
                </w:rPr>
                <w:t>7</w:t>
              </w:r>
            </w:hyperlink>
            <w:hyperlink w:anchor="i0c15c301e2e1454884c7405821cd32fa_238">
              <w:r>
                <w:rPr>
                  <w:rStyle w:val="InternetLink"/>
                  <w:rFonts w:ascii="Times New Roman;serif" w:hAnsi="Times New Roman;serif"/>
                  <w:b w:val="false"/>
                  <w:color w:val="000080"/>
                  <w:sz w:val="20"/>
                  <w:u w:val="single"/>
                </w:rPr>
                <w:t>. Related Party Transactions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238">
              <w:r>
                <w:rPr>
                  <w:rStyle w:val="InternetLink"/>
                  <w:rFonts w:ascii="Times New Roman;serif" w:hAnsi="Times New Roman;serif"/>
                  <w:b w:val="false"/>
                  <w:color w:val="000080"/>
                  <w:sz w:val="20"/>
                  <w:u w:val="single"/>
                </w:rPr>
                <w:t>F-</w:t>
              </w:r>
            </w:hyperlink>
            <w:hyperlink w:anchor="i0c15c301e2e1454884c7405821cd32fa_238">
              <w:r>
                <w:rPr>
                  <w:rStyle w:val="InternetLink"/>
                  <w:rFonts w:ascii="Times New Roman;serif" w:hAnsi="Times New Roman;serif"/>
                  <w:b w:val="false"/>
                  <w:color w:val="000080"/>
                  <w:sz w:val="20"/>
                  <w:u w:val="single"/>
                </w:rPr>
                <w:t>53</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241">
              <w:r>
                <w:rPr>
                  <w:rStyle w:val="InternetLink"/>
                  <w:rFonts w:ascii="Times New Roman;serif" w:hAnsi="Times New Roman;serif"/>
                  <w:b w:val="false"/>
                  <w:color w:val="000080"/>
                  <w:sz w:val="20"/>
                  <w:u w:val="single"/>
                </w:rPr>
                <w:t>1</w:t>
              </w:r>
            </w:hyperlink>
            <w:hyperlink w:anchor="i0c15c301e2e1454884c7405821cd32fa_241">
              <w:r>
                <w:rPr>
                  <w:rStyle w:val="InternetLink"/>
                  <w:rFonts w:ascii="Times New Roman;serif" w:hAnsi="Times New Roman;serif"/>
                  <w:b w:val="false"/>
                  <w:color w:val="000080"/>
                  <w:sz w:val="20"/>
                  <w:u w:val="single"/>
                </w:rPr>
                <w:t>8</w:t>
              </w:r>
            </w:hyperlink>
            <w:hyperlink w:anchor="i0c15c301e2e1454884c7405821cd32fa_241">
              <w:r>
                <w:rPr>
                  <w:rStyle w:val="InternetLink"/>
                  <w:rFonts w:ascii="Times New Roman;serif" w:hAnsi="Times New Roman;serif"/>
                  <w:b w:val="false"/>
                  <w:color w:val="000080"/>
                  <w:sz w:val="20"/>
                  <w:u w:val="single"/>
                </w:rPr>
                <w:t>. Equity-Indexed Compensation Plans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241">
              <w:r>
                <w:rPr>
                  <w:rStyle w:val="InternetLink"/>
                  <w:rFonts w:ascii="Times New Roman;serif" w:hAnsi="Times New Roman;serif"/>
                  <w:b w:val="false"/>
                  <w:color w:val="000080"/>
                  <w:sz w:val="20"/>
                  <w:u w:val="single"/>
                </w:rPr>
                <w:t>F-</w:t>
              </w:r>
            </w:hyperlink>
            <w:hyperlink w:anchor="i0c15c301e2e1454884c7405821cd32fa_241">
              <w:r>
                <w:rPr>
                  <w:rStyle w:val="InternetLink"/>
                  <w:rFonts w:ascii="Times New Roman;serif" w:hAnsi="Times New Roman;serif"/>
                  <w:b w:val="false"/>
                  <w:color w:val="000080"/>
                  <w:sz w:val="20"/>
                  <w:u w:val="single"/>
                </w:rPr>
                <w:t>54</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244">
              <w:r>
                <w:rPr>
                  <w:rStyle w:val="InternetLink"/>
                  <w:rFonts w:ascii="Times New Roman;serif" w:hAnsi="Times New Roman;serif"/>
                  <w:b w:val="false"/>
                  <w:color w:val="000080"/>
                  <w:sz w:val="20"/>
                  <w:u w:val="single"/>
                </w:rPr>
                <w:t>1</w:t>
              </w:r>
            </w:hyperlink>
            <w:hyperlink w:anchor="i0c15c301e2e1454884c7405821cd32fa_244">
              <w:r>
                <w:rPr>
                  <w:rStyle w:val="InternetLink"/>
                  <w:rFonts w:ascii="Times New Roman;serif" w:hAnsi="Times New Roman;serif"/>
                  <w:b w:val="false"/>
                  <w:color w:val="000080"/>
                  <w:sz w:val="20"/>
                  <w:u w:val="single"/>
                </w:rPr>
                <w:t>9</w:t>
              </w:r>
            </w:hyperlink>
            <w:hyperlink w:anchor="i0c15c301e2e1454884c7405821cd32fa_244">
              <w:r>
                <w:rPr>
                  <w:rStyle w:val="InternetLink"/>
                  <w:rFonts w:ascii="Times New Roman;serif" w:hAnsi="Times New Roman;serif"/>
                  <w:b w:val="false"/>
                  <w:color w:val="000080"/>
                  <w:sz w:val="20"/>
                  <w:u w:val="single"/>
                </w:rPr>
                <w:t>. Commitments and Contingencies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244">
              <w:r>
                <w:rPr>
                  <w:rStyle w:val="InternetLink"/>
                  <w:rFonts w:ascii="Times New Roman;serif" w:hAnsi="Times New Roman;serif"/>
                  <w:b w:val="false"/>
                  <w:color w:val="000080"/>
                  <w:sz w:val="20"/>
                  <w:u w:val="single"/>
                </w:rPr>
                <w:t>F-</w:t>
              </w:r>
            </w:hyperlink>
            <w:hyperlink w:anchor="i0c15c301e2e1454884c7405821cd32fa_244">
              <w:r>
                <w:rPr>
                  <w:rStyle w:val="InternetLink"/>
                  <w:rFonts w:ascii="Times New Roman;serif" w:hAnsi="Times New Roman;serif"/>
                  <w:b w:val="false"/>
                  <w:color w:val="000080"/>
                  <w:sz w:val="20"/>
                  <w:u w:val="single"/>
                </w:rPr>
                <w:t>55</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247">
              <w:r>
                <w:rPr>
                  <w:rStyle w:val="InternetLink"/>
                  <w:rFonts w:ascii="Times New Roman;serif" w:hAnsi="Times New Roman;serif"/>
                  <w:b w:val="false"/>
                  <w:color w:val="0000FF"/>
                  <w:sz w:val="20"/>
                  <w:u w:val="single"/>
                </w:rPr>
                <w:t>20. Segment Information</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247">
              <w:r>
                <w:rPr>
                  <w:rStyle w:val="InternetLink"/>
                  <w:rFonts w:ascii="Times New Roman;serif" w:hAnsi="Times New Roman;serif"/>
                  <w:b w:val="false"/>
                  <w:color w:val="000080"/>
                  <w:sz w:val="20"/>
                  <w:u w:val="single"/>
                </w:rPr>
                <w:t>F-</w:t>
              </w:r>
            </w:hyperlink>
            <w:hyperlink w:anchor="i0c15c301e2e1454884c7405821cd32fa_247">
              <w:r>
                <w:rPr>
                  <w:rStyle w:val="InternetLink"/>
                  <w:rFonts w:ascii="Times New Roman;serif" w:hAnsi="Times New Roman;serif"/>
                  <w:b w:val="false"/>
                  <w:color w:val="000080"/>
                  <w:sz w:val="20"/>
                  <w:u w:val="single"/>
                </w:rPr>
                <w:t>59</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5c301e2e1454884c7405821cd32fa_2335">
              <w:r>
                <w:rPr>
                  <w:rStyle w:val="InternetLink"/>
                  <w:rFonts w:ascii="Times New Roman;serif" w:hAnsi="Times New Roman;serif"/>
                  <w:b w:val="false"/>
                  <w:color w:val="000080"/>
                  <w:sz w:val="20"/>
                  <w:u w:val="single"/>
                </w:rPr>
                <w:t>2</w:t>
              </w:r>
            </w:hyperlink>
            <w:hyperlink w:anchor="i0c15c301e2e1454884c7405821cd32fa_2335">
              <w:r>
                <w:rPr>
                  <w:rStyle w:val="InternetLink"/>
                  <w:rFonts w:ascii="Times New Roman;serif" w:hAnsi="Times New Roman;serif"/>
                  <w:b w:val="false"/>
                  <w:color w:val="000080"/>
                  <w:sz w:val="20"/>
                  <w:u w:val="single"/>
                </w:rPr>
                <w:t>1</w:t>
              </w:r>
            </w:hyperlink>
            <w:hyperlink w:anchor="i0c15c301e2e1454884c7405821cd32fa_2335">
              <w:r>
                <w:rPr>
                  <w:rStyle w:val="InternetLink"/>
                  <w:rFonts w:ascii="Times New Roman;serif" w:hAnsi="Times New Roman;serif"/>
                  <w:b w:val="false"/>
                  <w:color w:val="000080"/>
                  <w:sz w:val="20"/>
                  <w:u w:val="single"/>
                </w:rPr>
                <w:t>. </w:t>
              </w:r>
            </w:hyperlink>
            <w:hyperlink w:anchor="i0c15c301e2e1454884c7405821cd32fa_2335">
              <w:r>
                <w:rPr>
                  <w:rStyle w:val="InternetLink"/>
                  <w:rFonts w:ascii="Times New Roman;serif" w:hAnsi="Times New Roman;serif"/>
                  <w:b w:val="false"/>
                  <w:color w:val="000080"/>
                  <w:sz w:val="20"/>
                  <w:u w:val="single"/>
                </w:rPr>
                <w:t>S</w:t>
              </w:r>
            </w:hyperlink>
            <w:hyperlink w:anchor="i0c15c301e2e1454884c7405821cd32fa_2335">
              <w:r>
                <w:rPr>
                  <w:rStyle w:val="InternetLink"/>
                  <w:rFonts w:ascii="Times New Roman;serif" w:hAnsi="Times New Roman;serif"/>
                  <w:b w:val="false"/>
                  <w:color w:val="000080"/>
                  <w:sz w:val="20"/>
                  <w:u w:val="single"/>
                </w:rPr>
                <w:t xml:space="preserve">elected </w:t>
              </w:r>
            </w:hyperlink>
            <w:hyperlink w:anchor="i0c15c301e2e1454884c7405821cd32fa_2335">
              <w:r>
                <w:rPr>
                  <w:rStyle w:val="InternetLink"/>
                  <w:rFonts w:ascii="Times New Roman;serif" w:hAnsi="Times New Roman;serif"/>
                  <w:b w:val="false"/>
                  <w:color w:val="000080"/>
                  <w:sz w:val="20"/>
                  <w:u w:val="single"/>
                </w:rPr>
                <w:t>Quarterly Financial Data (Unaudited)</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5c301e2e1454884c7405821cd32fa_2335">
              <w:r>
                <w:rPr>
                  <w:rStyle w:val="InternetLink"/>
                  <w:rFonts w:ascii="Times New Roman;serif" w:hAnsi="Times New Roman;serif"/>
                  <w:b w:val="false"/>
                  <w:color w:val="000080"/>
                  <w:sz w:val="20"/>
                  <w:u w:val="single"/>
                </w:rPr>
                <w:t>F-</w:t>
              </w:r>
            </w:hyperlink>
            <w:hyperlink w:anchor="i0c15c301e2e1454884c7405821cd32fa_2335">
              <w:r>
                <w:rPr>
                  <w:rStyle w:val="InternetLink"/>
                  <w:rFonts w:ascii="Times New Roman;serif" w:hAnsi="Times New Roman;serif"/>
                  <w:b w:val="false"/>
                  <w:color w:val="000080"/>
                  <w:sz w:val="20"/>
                  <w:u w:val="single"/>
                </w:rPr>
                <w:t>64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Plains GP Holdings,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effectiveness of the Partnership’s internal control over financial reporting as of December 31, 2025 has been audited by PricewaterhouseCoopers LLP, an independent registered public accounting firm, as stated in their report which appears on Page F-3.</w:t>
      </w:r>
    </w:p>
    <w:p>
      <w:pPr>
        <w:pStyle w:val="TextBody"/>
        <w:bidi w:val="0"/>
        <w:spacing w:before="0" w:after="0"/>
        <w:jc w:val="left"/>
        <w:rPr/>
      </w:pPr>
      <w:r>
        <w:rPr/>
      </w:r>
    </w:p>
    <w:tbl>
      <w:tblPr>
        <w:tblW w:w="8923" w:type="dxa"/>
        <w:jc w:val="left"/>
        <w:tblInd w:w="0" w:type="dxa"/>
        <w:tblLayout w:type="fixed"/>
        <w:tblCellMar>
          <w:top w:w="28" w:type="dxa"/>
          <w:left w:w="28" w:type="dxa"/>
          <w:bottom w:w="28" w:type="dxa"/>
          <w:right w:w="28" w:type="dxa"/>
        </w:tblCellMar>
      </w:tblPr>
      <w:tblGrid>
        <w:gridCol w:w="580"/>
        <w:gridCol w:w="511"/>
        <w:gridCol w:w="513"/>
        <w:gridCol w:w="2142"/>
        <w:gridCol w:w="2142"/>
        <w:gridCol w:w="3035"/>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Willie Chiang</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Willie Chiang</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Chairman of the Board, President and Chief Executive Officer of PAA GP Holdings LLC</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 Swanson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 Swanson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 of PAA GP Holdings LLC</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7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Board of Directors of PAA GP Holdings LLC and Shareholders of Plains GP Holdings, 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have audited the accompanying consolidated balance sheets of Plains GP Holdings, L.P. and its subsidiaries (the “Partnership”) as of December 31, 2025 and 2024, and the related consolidated statements of operations, of comprehensive income, of changes in accumulated other comprehensive income (loss), of changes in partners’ capital and of cash flows for each of the three years in the period ended December 31, 2025, including the related notes (collectively referred to as the “consolidated financial statements”). We also have audited the Partnership’s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Committee of Sponsoring Organizations of the Treadway Commission (COSO).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Partnership as of December 31, 2025 and 2024, and the results of its operations and its cash flows for each of the three years in the period ended December 31, 2025 in conformity with accounting principles generally accepted in the United States of America. Also in our opinion, the Partnership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COSO.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w:t>
      </w:r>
      <w:r>
        <w:rPr>
          <w:color w:val="FF0000"/>
        </w:rPr>
        <w:t xml:space="preserve"> </w:t>
      </w:r>
      <w:r>
        <w:rPr>
          <w:rFonts w:ascii="Times New Roman;serif" w:hAnsi="Times New Roman;serif"/>
          <w:b w:val="false"/>
          <w:color w:val="000000"/>
          <w:sz w:val="20"/>
        </w:rPr>
        <w:t>consolidated financial statements and (ii) involved our especially challenging, subjective, or complex judgments. The communication of critical audit matters does not alter in any way our opinion on the consolidated</w:t>
      </w:r>
      <w:r>
        <w:rPr>
          <w:color w:val="FF0000"/>
        </w:rPr>
        <w:t xml:space="preserve"> </w:t>
      </w:r>
      <w:r>
        <w:rPr>
          <w:rFonts w:ascii="Times New Roman;serif" w:hAnsi="Times New Roman;serif"/>
          <w:b w:val="false"/>
          <w:color w:val="000000"/>
          <w:sz w:val="20"/>
        </w:rPr>
        <w:t>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Acquisition of EPIC Crude Holdings, LP – Valuation of Pipelines and Equipment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As described in Note</w:t>
      </w:r>
      <w:r>
        <w:rPr>
          <w:color w:val="FF0000"/>
        </w:rPr>
        <w:t xml:space="preserve"> </w:t>
      </w:r>
      <w:r>
        <w:rPr>
          <w:rFonts w:ascii="Times New Roman;serif" w:hAnsi="Times New Roman;serif"/>
          <w:b w:val="false"/>
          <w:color w:val="000000"/>
          <w:sz w:val="20"/>
        </w:rPr>
        <w:t>8</w:t>
      </w:r>
      <w:r>
        <w:rPr>
          <w:color w:val="FF0000"/>
        </w:rPr>
        <w:t xml:space="preserve"> </w:t>
      </w:r>
      <w:r>
        <w:rPr>
          <w:rFonts w:ascii="Times New Roman;serif" w:hAnsi="Times New Roman;serif"/>
          <w:b w:val="false"/>
          <w:color w:val="000000"/>
          <w:sz w:val="20"/>
        </w:rPr>
        <w:t xml:space="preserve">to the consolidated financial statements, on October 31, 2025, the Partnership purchased an aggregate 55% equity interest in EPIC Crude Holdings, LP, and in a separate transaction, effective November 1, 2025, acquired the remaining 45% equity interest, for total consideration of $2,016 million. Of the identifiable assets acquired, $2,737 million of property and equipment, net, was recorded, a significant portion of which relates to pipelines and equipment. The acquisition was accounted for as a business combination using the acquisition method of accounting. The fair value of acquired pipelines and equipment was determined by management using a cost approach and included an assumption for replacement cost.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principal considerations for our determination that performing procedures relating to the valuation of pipelines and equipment acquired in the acquisition of EPIC Crude Holdings, LP is a critical audit matter are (i) the significant judgment by management when developing the fair value estimate of the pipelines and equipment acquired; (ii) a high degree of auditor judgment, subjectivity, and effort in performing procedures and evaluating management’s significant assumption related to replacement cost; and (iii) the audit effort involved the use of professionals with specialized skill and knowledge.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pipelines and equipment acquired. These procedures also included, among others (i) reading the purchase agreements; (ii) testing management’s process for developing the fair value estimate of the pipelines and equipment acquired; (iii) evaluating the appropriateness of the cost approach used by management; (iv) testing the completeness and accuracy of the underlying data used in the cost approach; and (v) evaluating the reasonableness of the significant assumption used by management related to replacement cost. Professionals with specialized skill and knowledge were used to assist in evaluating (i) the appropriateness of the cost approach and (ii) the reasonableness of the replacement cost assumption.</w:t>
      </w:r>
    </w:p>
    <w:p>
      <w:pPr>
        <w:pStyle w:val="TextBody"/>
        <w:bidi w:val="0"/>
        <w:spacing w:before="0" w:after="0"/>
        <w:jc w:val="left"/>
        <w:rPr/>
      </w:pPr>
      <w:r>
        <w:rPr/>
      </w:r>
    </w:p>
    <w:tbl>
      <w:tblPr>
        <w:tblW w:w="4709" w:type="dxa"/>
        <w:jc w:val="left"/>
        <w:tblInd w:w="0" w:type="dxa"/>
        <w:tblLayout w:type="fixed"/>
        <w:tblCellMar>
          <w:top w:w="28" w:type="dxa"/>
          <w:left w:w="28" w:type="dxa"/>
          <w:bottom w:w="28" w:type="dxa"/>
          <w:right w:w="28" w:type="dxa"/>
        </w:tblCellMar>
      </w:tblPr>
      <w:tblGrid>
        <w:gridCol w:w="1502"/>
        <w:gridCol w:w="1318"/>
        <w:gridCol w:w="1889"/>
      </w:tblGrid>
      <w:tr>
        <w:trPr/>
        <w:tc>
          <w:tcPr>
            <w:tcW w:w="1502"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 PricewaterhouseCoopers LLP</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Houston, Texas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February 27, 2026</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We have served as the Partnership’s auditor since 2013.</w:t>
            </w:r>
            <w:r>
              <w:rPr>
                <w:color w:val="000000"/>
              </w:rPr>
              <w:t xml:space="preserve">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498"/>
        <w:gridCol w:w="2174"/>
        <w:gridCol w:w="2193"/>
        <w:gridCol w:w="300"/>
        <w:gridCol w:w="1027"/>
        <w:gridCol w:w="155"/>
        <w:gridCol w:w="109"/>
        <w:gridCol w:w="109"/>
        <w:gridCol w:w="109"/>
        <w:gridCol w:w="296"/>
        <w:gridCol w:w="1014"/>
        <w:gridCol w:w="221"/>
      </w:tblGrid>
      <w:tr>
        <w:trPr/>
        <w:tc>
          <w:tcPr>
            <w:tcW w:w="2498"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6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and other receivables, net</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 of discontinued operations (Note 3)</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Linefill</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right-of-use assets, net</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assets of discontinued operations (Note 3)</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net</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27,756 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PARTNERS’ CAPITAL</w:t>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 of discontinued operations (Note 3)</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LIABILITIES</w:t>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notes, net </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debt, net</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liabilities of discontinued operations (Note 3)</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and deferred credits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liabilities</w:t>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19)</w:t>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PARTNERS’ CAPITAL</w:t>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shareholders (197,904,124 and 197,465,699 shares outstanding, respectively)</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partners’ capital</w:t>
            </w:r>
          </w:p>
        </w:tc>
        <w:tc>
          <w:tcPr>
            <w:tcW w:w="13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14,316 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partners’ capital</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27,756 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331"/>
        <w:gridCol w:w="2021"/>
        <w:gridCol w:w="2030"/>
        <w:gridCol w:w="211"/>
        <w:gridCol w:w="721"/>
        <w:gridCol w:w="109"/>
        <w:gridCol w:w="109"/>
        <w:gridCol w:w="109"/>
        <w:gridCol w:w="109"/>
        <w:gridCol w:w="211"/>
        <w:gridCol w:w="721"/>
        <w:gridCol w:w="109"/>
        <w:gridCol w:w="109"/>
        <w:gridCol w:w="109"/>
        <w:gridCol w:w="109"/>
        <w:gridCol w:w="211"/>
        <w:gridCol w:w="721"/>
        <w:gridCol w:w="155"/>
      </w:tblGrid>
      <w:tr>
        <w:trPr/>
        <w:tc>
          <w:tcPr>
            <w:tcW w:w="2331"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(Gains)/losses on asset sales, asset impairments and other, net (Note 7, Note 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investments in unconsolidated entities, net (Note 8, Note 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of capitalized interest of $11, $9 and $10,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CONTINUING OPERATIONS BEFORE TAX</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expense from continuing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 from continuing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CONTINUING OPERATIONS, NET OF TAX</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INCOME FROM DISCONTINUED OPERATIONS, NET OF TAX (NOTE 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from continuing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from 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 from continuing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 from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PAGP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Basic weighted average Class A shares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Class A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Class A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Class A shares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Class A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Class A share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8741" w:type="dxa"/>
        <w:jc w:val="center"/>
        <w:tblInd w:w="0" w:type="dxa"/>
        <w:tblLayout w:type="fixed"/>
        <w:tblCellMar>
          <w:top w:w="28" w:type="dxa"/>
          <w:left w:w="28" w:type="dxa"/>
          <w:bottom w:w="28" w:type="dxa"/>
          <w:right w:w="28" w:type="dxa"/>
        </w:tblCellMar>
      </w:tblPr>
      <w:tblGrid>
        <w:gridCol w:w="1894"/>
        <w:gridCol w:w="1662"/>
        <w:gridCol w:w="1678"/>
        <w:gridCol w:w="211"/>
        <w:gridCol w:w="616"/>
        <w:gridCol w:w="109"/>
        <w:gridCol w:w="109"/>
        <w:gridCol w:w="109"/>
        <w:gridCol w:w="109"/>
        <w:gridCol w:w="211"/>
        <w:gridCol w:w="616"/>
        <w:gridCol w:w="109"/>
        <w:gridCol w:w="109"/>
        <w:gridCol w:w="109"/>
        <w:gridCol w:w="109"/>
        <w:gridCol w:w="211"/>
        <w:gridCol w:w="616"/>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PAGP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ACCUMULATED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OTHER COMPREHENSIVE INCOME/(LOSS)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7539" w:type="dxa"/>
        <w:jc w:val="center"/>
        <w:tblInd w:w="0" w:type="dxa"/>
        <w:tblLayout w:type="fixed"/>
        <w:tblCellMar>
          <w:top w:w="28" w:type="dxa"/>
          <w:left w:w="28" w:type="dxa"/>
          <w:bottom w:w="28" w:type="dxa"/>
          <w:right w:w="28" w:type="dxa"/>
        </w:tblCellMar>
      </w:tblPr>
      <w:tblGrid>
        <w:gridCol w:w="1015"/>
        <w:gridCol w:w="892"/>
        <w:gridCol w:w="897"/>
        <w:gridCol w:w="253"/>
        <w:gridCol w:w="577"/>
        <w:gridCol w:w="131"/>
        <w:gridCol w:w="109"/>
        <w:gridCol w:w="109"/>
        <w:gridCol w:w="109"/>
        <w:gridCol w:w="211"/>
        <w:gridCol w:w="691"/>
        <w:gridCol w:w="109"/>
        <w:gridCol w:w="109"/>
        <w:gridCol w:w="109"/>
        <w:gridCol w:w="109"/>
        <w:gridCol w:w="211"/>
        <w:gridCol w:w="406"/>
        <w:gridCol w:w="109"/>
        <w:gridCol w:w="109"/>
        <w:gridCol w:w="109"/>
        <w:gridCol w:w="109"/>
        <w:gridCol w:w="211"/>
        <w:gridCol w:w="69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2022</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hedges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 Activity</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hedges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Activity</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hedges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Activity</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9926" w:type="dxa"/>
        <w:jc w:val="center"/>
        <w:tblInd w:w="0" w:type="dxa"/>
        <w:tblLayout w:type="fixed"/>
        <w:tblCellMar>
          <w:top w:w="28" w:type="dxa"/>
          <w:left w:w="28" w:type="dxa"/>
          <w:bottom w:w="28" w:type="dxa"/>
          <w:right w:w="28" w:type="dxa"/>
        </w:tblCellMar>
      </w:tblPr>
      <w:tblGrid>
        <w:gridCol w:w="2327"/>
        <w:gridCol w:w="2044"/>
        <w:gridCol w:w="2048"/>
        <w:gridCol w:w="211"/>
        <w:gridCol w:w="616"/>
        <w:gridCol w:w="109"/>
        <w:gridCol w:w="109"/>
        <w:gridCol w:w="109"/>
        <w:gridCol w:w="109"/>
        <w:gridCol w:w="211"/>
        <w:gridCol w:w="616"/>
        <w:gridCol w:w="109"/>
        <w:gridCol w:w="109"/>
        <w:gridCol w:w="109"/>
        <w:gridCol w:w="109"/>
        <w:gridCol w:w="211"/>
        <w:gridCol w:w="616"/>
        <w:gridCol w:w="154"/>
      </w:tblGrid>
      <w:tr>
        <w:trPr/>
        <w:tc>
          <w:tcPr>
            <w:tcW w:w="2327"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net income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(Gains)/losses on asset sales, asset impairments and other, net (Note 7, Note 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Equity-indexed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(Gain)/loss on foreign currency revaluation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terminated interest rate hedging instruments (Note 13)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Preferred Distribution Rate Reset Option (Note 13)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on earnings from unconsolidated entities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investments in unconsolidated entities, net (Note 8, Note 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acquisitions: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 continuing operations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 discontinued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in connection with acquisitions, net of cash acquired (Note 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 (Note 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equipment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purchases of linefill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assets (Note 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 continuing operations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 discontinued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borrowings/(repayments) under PAA commercial paper program (Note 11)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under PAA EPIC credit agreement (Note 11)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 under PAA term loan (Note 11)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PAA senior notes (Note 11)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PAA senior notes (Note 11)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Repurchase of common units by a subsidiary (Note 12)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Series A preferred units by a subsidiary (Note 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paid to Class A shareholders (Note 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paid to noncontrolling interests (Note 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by/(used in)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translation adjustment - continuing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translation adjustment - discontinued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increase/(decrease) in cash and cash equivalents and 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 of amounts capitalized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amounts refunded (Note 15)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PARTNERS’ CAPITAL</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08"/>
        <w:gridCol w:w="1548"/>
        <w:gridCol w:w="1559"/>
        <w:gridCol w:w="354"/>
        <w:gridCol w:w="1039"/>
        <w:gridCol w:w="186"/>
        <w:gridCol w:w="109"/>
        <w:gridCol w:w="109"/>
        <w:gridCol w:w="109"/>
        <w:gridCol w:w="363"/>
        <w:gridCol w:w="1244"/>
        <w:gridCol w:w="189"/>
        <w:gridCol w:w="109"/>
        <w:gridCol w:w="109"/>
        <w:gridCol w:w="109"/>
        <w:gridCol w:w="243"/>
        <w:gridCol w:w="835"/>
        <w:gridCol w:w="183"/>
      </w:tblGrid>
      <w:tr>
        <w:trPr/>
        <w:tc>
          <w:tcPr>
            <w:tcW w:w="180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Partners’</w:t>
              <w:br/>
              <w:t>Capital</w:t>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2022</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(Note 12)</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(Note 15)</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91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91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91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91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(Note 12)</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Equity-indexed compensation expense</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91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91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13,424 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(Note 12)</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(Note 15)</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(Note 12)</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Equity-indexed compensation expense</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91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(Note 12)</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(Note 15)</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(Note 12)</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Equity-indexed compensation expense</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units by a subsidiary (Note 12)</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Series A preferred units by a subsidiary (Note 12)</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915"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12,871 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14,216 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1—Organization and Basis of Consolidation and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Plains GP Holdings, L.P. (“PAGP”) is a Delaware limited partnership formed in 2013 that has elected to be taxed as a corporation for United States federal income tax purposes. PAGP does not directly own any operating assets; as of December 31, 2025, its sole source of cash flow is derived from an indirect investment in Plains All American Pipeline, L.P. (“PAA”), a publicly traded Delaware limited partnership. As used in this Form 10-K and unless the context indicates otherwise (taking into account the fact that PAGP has no operating activities apart from those conducted by PAA and its subsidiaries), the terms “Partnership,” “we,” “us,” “our,” “ours” and similar terms refer to PAGP and its subsidiaries.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owned an approximate 85% limited partner interest in Plains AAP, L.P. (“AAP”) through our ownership of approximately 197.9 million Class A units of AAP (“AAP units”). We also own a 100% managing member interest in Plains All American GP LLC (“GP LLC”), a Delaware limited liability company that holds the non-economic general partner interest in AAP. AAP is a Delaware limited partnership that, as of December 31, 2025, directly owned a limited partner interest in PAA through its ownership of approximately 233.0 million PAA common units (approximately 31% of PAA’s total outstanding common units and Series A preferred units combined). AAP is the sole member of PAA GP LLC (“PAA GP”), a Delaware limited liability company that directly holds the non-economic general partner interest in PAA.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producing basins (including the Permian Basin) and transportation corridors and at major market hubs in the United States and Canada. PAA’s assets and the services it provides are primarily focused on and conducted through two operating segments: Crude Oil and NGL. See Note 20 for further discussion of our operating segments.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References to the “Plains Entities” include us, our general partner, GP LLC, AAP, PAA GP and PAA and its subsidiaries.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Definitions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defined terms may be used in the following notes and shall have the meanings indicated below:</w:t>
      </w:r>
    </w:p>
    <w:tbl>
      <w:tblPr>
        <w:tblW w:w="6312" w:type="dxa"/>
        <w:jc w:val="left"/>
        <w:tblInd w:w="0" w:type="dxa"/>
        <w:tblLayout w:type="fixed"/>
        <w:tblCellMar>
          <w:top w:w="28" w:type="dxa"/>
          <w:left w:w="28" w:type="dxa"/>
          <w:bottom w:w="28" w:type="dxa"/>
          <w:right w:w="28" w:type="dxa"/>
        </w:tblCellMar>
      </w:tblPr>
      <w:tblGrid>
        <w:gridCol w:w="298"/>
        <w:gridCol w:w="262"/>
        <w:gridCol w:w="266"/>
        <w:gridCol w:w="109"/>
        <w:gridCol w:w="109"/>
        <w:gridCol w:w="109"/>
        <w:gridCol w:w="1509"/>
        <w:gridCol w:w="1509"/>
        <w:gridCol w:w="214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income/(loss)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equivalent rights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interest, taxes, depreciation and amortization</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Intercontinental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Swaps and Derivatives Association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LIBOR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London Interbank Offered Rate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LTIP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plan</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bl>
      <w:tblPr>
        <w:tblW w:w="6103" w:type="dxa"/>
        <w:jc w:val="left"/>
        <w:tblInd w:w="0" w:type="dxa"/>
        <w:tblLayout w:type="fixed"/>
        <w:tblCellMar>
          <w:top w:w="28" w:type="dxa"/>
          <w:left w:w="28" w:type="dxa"/>
          <w:bottom w:w="28" w:type="dxa"/>
          <w:right w:w="28" w:type="dxa"/>
        </w:tblCellMar>
      </w:tblPr>
      <w:tblGrid>
        <w:gridCol w:w="299"/>
        <w:gridCol w:w="261"/>
        <w:gridCol w:w="266"/>
        <w:gridCol w:w="109"/>
        <w:gridCol w:w="109"/>
        <w:gridCol w:w="109"/>
        <w:gridCol w:w="1448"/>
        <w:gridCol w:w="1448"/>
        <w:gridCol w:w="2054"/>
      </w:tblGrid>
      <w:tr>
        <w:trPr/>
        <w:tc>
          <w:tcPr>
            <w:tcW w:w="29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including ethane, propane and butane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NYMEX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Mercantile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OECD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4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Organisation for Economic Co-operation and Development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Securities and Exchange Commission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Terawatt hour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dollar</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of Consolidation and Presentation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financial statements and related notes present and discuss our consolidated financial position as of December 31, 2025 and 2024, and the consolidated results of our operations, cash flows, changes in partners’ capital, comprehensive income and changes in accumulated other comprehensive income/(loss) for the years ended December 31, 2025, 2024 and 2023. All significant intercompany balances and transactions have been eliminated in consolidation, and certain reclassifications have been made to information from previous years to conform to the current presentation. These reclassifications had no impact on net income or total partners’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Our reporting currency is U.S. dollars, and all references to dollars are U.S. dollars, unless stated otherwise.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determined that our subsidiaries, PAA and AAP, are VIEs and should be consolidated by PAGP because:</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AAP is the primary beneficiary of PAA because it has the power to direct the activities that most significantly impact PAA’s performance and the right to receive benefits, and obligation to absorb losses, that could be significant to PAA.</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PAGP is the primary beneficiary of AAP because it has the power to direct the activities that most significantly impact AAP’s performance and the right to receive benefits, and obligation to absorb losses, that could be significant to AAP.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 the exception of a deferred tax asset of $1.136 billion and $1.220 billion as of December 31, 2025 and 2024, respectively, substantially all assets and liabilities presented on PAGP’s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years ended December 31, 2025, 2024 or 2023. See Note 17 for information regarding the Omnibus Agreement entered into by the Plains Entities on November 15, 2016.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Pending Sale of Canadian NGL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17, 2025, a subsidiary of PAA entered into a definitive Share Purchase Agreement (“SPA”) with Keyera Corp. (“Keyera”), an Alberta corporation, pursuant to which Keyera agreed to acquire all of the issued and outstanding shares of Plains Midstream Canada ULC, PAA’s wholly-owned subsidiary that owns substantially all of the NGL business in Canada (the “Canadian NGL Business”), for cash consideration of approximately CAD$5.15 billion (approximately $3.75 billion), subject to certain post-closing adjustments, as defined in the SPA. This transaction is expected to close around the end of the first quarter of 2026, subject to the satisfaction or waiver of customary closing conditions, including receipt of regulatory approvals.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We determined that in conjunction with entering into the SPA, the operations of the Canadian NGL Business meet the criteria for classification as held for sale and for discontinued operations reporting, as the sale will represent a strategic shift that will have a major effect on our operations and financial results. Accordingly, the assets and liabilities of the Canadian NGL Business have been classified as held for sale, and the balance sheet, results of operations and cash flows of the Canadian NGL Business have been presented as discontinued operations in our consolidated financial statements. Unless otherwise indicated, the disclosures included within the accompanying notes to the consolidated financial statements relate to our continuing operations and exclude amounts related to discontinued operations. These changes have been applied retrospectively to all periods presented. </w:t>
      </w:r>
      <w:r>
        <w:rPr>
          <w:rFonts w:ascii="Times New Roman;serif" w:hAnsi="Times New Roman;serif"/>
          <w:b w:val="false"/>
          <w:color w:val="000000"/>
          <w:sz w:val="20"/>
          <w:shd w:fill="FFFFFF" w:val="clear"/>
        </w:rPr>
        <w:t xml:space="preserve">Discontinued operations are not presented separately within our Consolidated Statements of Comprehensive Income, Consolidated Statements of Changes in Accumulated Other Comprehensive Income/(Loss) or the Consolidated Statements of Changes in Partners’ Capital. </w:t>
      </w:r>
      <w:r>
        <w:rPr>
          <w:rFonts w:ascii="Times New Roman;serif" w:hAnsi="Times New Roman;serif"/>
          <w:b w:val="false"/>
          <w:color w:val="000000"/>
          <w:sz w:val="20"/>
        </w:rPr>
        <w:t>See Note 3 for additional information regarding discontinued operations. All significant intercompany balances and transactions between the Canadian NGL Business and our continuing operations have been eliminated.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divest the Canadian NGL Business as part of the sale, which includes substantially all of our NGL assets; the assets that we will retain are located in the United States. Prior to its classification as held for sale and presentation as discontinued operations, the Canadian NGL Business was part of our NGL reportable segment.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2025, we entered into a forward currency instrument to hedge currency exchange risk associated with anticipated proceeds from the pending sale of our Canadian NGL Business. See Note 13 for additional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and contingent upon closing of the pending sale, we and Keyera entered into an agreement for certain hedging arrangements and payments relating to the differential between the price of natural gas and the extracted NGL commodities (“Frac Spread”) for a twelve-month period commencing the first month after the closing date. As a result of this arrangement, we will guarantee a minimum Frac Spread margin on certain volumes. The recognition of an asset or liability will be dependent upon the terms of the specific contracts transferred as part of the sale of the Canadian NGL Business and the market conditions at that time the sale closes. We do not expect any liability we might recognize as a result of this agreement to have a material adverse effect on our consolidated financial condition, results of operations or cash flows; for example, if the sale closed at the end of the first quarter of 2026, based on existing contracts to be transferred and current market conditions as of December 31, 2025, we would recognize a liability of approximately $65 million.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Subsequent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Subsequent events have been evaluated through the financial statements issuance date and have been included in the following footnotes where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We make significant estimates with respect to (i) estimated fair value of assets and liabilities acquired and identification of associated goodwill and intangible assets, (ii) fair value of derivatives, (iii) accruals and contingent liabilities, (iv) property and equipment, depreciation and amortization expense and asset retirement obligations, (v) impairment assessments of property and equipment, investments in unconsolidated entities and intangible assets and (vi) inventory valuations. Although we believe these estimates are reasonable, actual results could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Purchases and Related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Purchases and related costs include (i) the weighted average cost of crude oil and NGL sold to customers, (ii) fees incurred for storage and transportation, whether by pipeline, truck or rail and (iii) performance-related bonus costs. These costs are recognized when incurred except in the case of products sold, which are recognized at the time title transfers to our customers. Inventory exchanges under buy/sell transactions are presented net in “Purchases and related costs” in our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Field Operating Costs and General and Administrative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Foreign Currency Transactions/Translation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generally included in the Consolidated Statements of Operations. However, gains and losses arising from intercompany foreign currency transactions that are of a long-term investment nature are reported in the same manner as translation adjustments. For the years ended December 31, 2025, 2024 and 2023, the revaluation of foreign currency transactions and monetary assets and liabilities resulted in the recognition of a net loss of $13 million, a net gain of $12 million and a net loss of $3 million, respectively, in our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our policy, unless they may be covered by funds on deposit, outstanding checks are classified as trade accounts payable rather than negative cash. As of December 31, 2025 and 2024, trade accounts payable included $31 million and $27 million, respectively, of outstanding checks that were reclassified from cash and cash equivalents.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See Note 12 for additional discussion regarding our noncontrolling interests.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Asset Retirement Obligations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of our assets, primarily our pipelines and terminals assets,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storage or other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estimate the settlement dates.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The following table presents the change in the liability for asset retirement obligations, substantially all of which is reflected in “Other long-term liabilities and deferred credits” on our Consolidated Balance Sheets as of December 31, 2025, 2024 and 2023 (in millions): </w:t>
      </w:r>
    </w:p>
    <w:p>
      <w:pPr>
        <w:pStyle w:val="TextBody"/>
        <w:bidi w:val="0"/>
        <w:spacing w:before="0" w:after="0"/>
        <w:ind w:left="0" w:right="0" w:firstLine="720"/>
        <w:jc w:val="left"/>
        <w:rPr/>
      </w:pPr>
      <w:r>
        <w:rPr/>
      </w:r>
    </w:p>
    <w:tbl>
      <w:tblPr>
        <w:tblW w:w="5907" w:type="dxa"/>
        <w:jc w:val="left"/>
        <w:tblInd w:w="0" w:type="dxa"/>
        <w:tblLayout w:type="fixed"/>
        <w:tblCellMar>
          <w:top w:w="28" w:type="dxa"/>
          <w:left w:w="28" w:type="dxa"/>
          <w:bottom w:w="28" w:type="dxa"/>
          <w:right w:w="28" w:type="dxa"/>
        </w:tblCellMar>
      </w:tblPr>
      <w:tblGrid>
        <w:gridCol w:w="1033"/>
        <w:gridCol w:w="906"/>
        <w:gridCol w:w="911"/>
        <w:gridCol w:w="211"/>
        <w:gridCol w:w="466"/>
        <w:gridCol w:w="109"/>
        <w:gridCol w:w="109"/>
        <w:gridCol w:w="109"/>
        <w:gridCol w:w="109"/>
        <w:gridCol w:w="211"/>
        <w:gridCol w:w="466"/>
        <w:gridCol w:w="109"/>
        <w:gridCol w:w="109"/>
        <w:gridCol w:w="109"/>
        <w:gridCol w:w="109"/>
        <w:gridCol w:w="211"/>
        <w:gridCol w:w="466"/>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incurred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Liabilities settled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Revisions in estimated cash flows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interest rate and foreign currency derivatives includes adjustments for credit risk. Our credit adjustment methodology uses market observable inputs and requires judgment. There were no changes to any of our valuation techniques during the period. See Note 13 for further discussion.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Significant Accounting Policies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the respective footnotes for our accounting policies regarding (i) revenues and accounts receivable, (ii) net income per Class A share, (iii) inventory, linefill and long-term inventory, (iv) property and equipment, (v) acquisitions, (vi) investments in unconsolidated entities, (vii) intangible assets, (viii) derivatives and risk management activities, (ix) leases, (x) income taxes, (xi) equity-indexed compensation and (xii) legal and environmental matters.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 Accounting Pronouncements, Disclosure Rules and Other Legislation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requires, among other things, disclosure of specified information about certain costs and expenses in the notes to the financial statements. The guidance is effective prospectively for annual periods beginning after December 15, 2026 and interim periods beginning after December 15, 2027 with retrospective application and early adoption permitted. We intend to provide the required disclosures beginning with our annual report for the year ended December 31,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which requires, among other things, disaggregated information about effective tax rate reconciliation and income taxes paid (net of refunds received) on an annual basis. The guidance is effective prospectively for annual periods beginning after December 15, 2024 with retrospective or early adoption permitted. We adopted this guidance beginning with our annual report for the year ended December 31, 2025. See Note 15 for updated income tax disclosures. Other than such disclosure updates, our adoption did not have a material impact on our financial position, results of operations or cash flows.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November 2023, the FASB issued ASU 2023-07, </w:t>
      </w:r>
      <w:r>
        <w:rPr>
          <w:rFonts w:ascii="Times New Roman;serif" w:hAnsi="Times New Roman;serif"/>
          <w:b w:val="false"/>
          <w:i/>
          <w:color w:val="000000"/>
          <w:sz w:val="20"/>
        </w:rPr>
        <w:t xml:space="preserve">Segment Reporting (Topic 280): Improvements to Reportable Segment Disclosures, </w:t>
      </w:r>
      <w:r>
        <w:rPr>
          <w:rFonts w:ascii="Times New Roman;serif" w:hAnsi="Times New Roman;serif"/>
          <w:b w:val="false"/>
          <w:color w:val="000000"/>
          <w:sz w:val="20"/>
        </w:rPr>
        <w:t>which requires disaggregated disclosure of significant segment expenses and other amounts included within the reported measure of segment profit or loss for each reportable segment on an annual and interim basis. The guidance is effective retrospectively for annual periods beginning after December 15, 2023, and interim periods in fiscal years beginning after December 15, 2024 with early adoption permitted. We adopted this guidance beginning with our annual report for the year ended December 31, 2024. See Note 20 for our segment disclosures. Other than disclosures, our adoption did not have a material impact on our financial position, results of operations or cash flows.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August 2023, the FASB issued ASU 2023-05, </w:t>
      </w:r>
      <w:r>
        <w:rPr>
          <w:rFonts w:ascii="Times New Roman;serif" w:hAnsi="Times New Roman;serif"/>
          <w:b w:val="false"/>
          <w:i/>
          <w:color w:val="000000"/>
          <w:sz w:val="20"/>
        </w:rPr>
        <w:t>Business Combinations—Joint Venture Formations (Subtopic 805-60): Recognition and Initial Measurement</w:t>
      </w:r>
      <w:r>
        <w:rPr>
          <w:rFonts w:ascii="Times New Roman;serif" w:hAnsi="Times New Roman;serif"/>
          <w:b w:val="false"/>
          <w:color w:val="000000"/>
          <w:sz w:val="20"/>
        </w:rPr>
        <w:t>, which requires a newly-formed joint venture to apply a new basis of accounting to its contributed net assets, resulting in the joint venture initially measuring its contributed net assets at fair value on the formation date. This guidance is effective prospectively for all joint ventures with a formation date on or after January 1, 2025, with early adoption permitted. We adopted this guidance for joint venture formations on or after January 1,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SEC Climate Disclosure Rules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2024, the SEC adopted final rules (“climate disclosure rules”) requiring registrants to disclose, among other things, information about material climate-related risks and their impact on a registrant’s strategy, business model and outlook; information about material direct and indirect greenhouse gas emissions (Scope 1 and Scope 2), which are subject to assurance requirements; and the financial statement effects of severe weather events and other natural conditions. In April 2024, the SEC stayed the climate disclosure rules pending resolution of legal challenges. In March 2025, the SEC voted to withdraw its defense of the climate disclosure rules.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International Tax Reform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Recently, several countries, including Canada, have enacted legislation to implement key aspects of the global minimum top-up tax in accordance with the Pillar Two model rules of the OECD tax framework. We continue to evaluate the new legislation, but do not currently expect a material impact on our financial position, results of operations or cash flows.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3—Discontinued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operations of the Canadian NGL Business meet the criteria for classification as held for sale and for discontinued operations reporting. The Canadian NGL Business disposal group is recorded at its historical carrying value, as the fair value of the disposal group, less estimated costs to sell, is greater than the carrying value of the Canadian NGL Business disposal group. Depreciation and amortization on the long-lived assets of the Canadian NGL Business disposal group ceased upon meeting the criteria to be classified as assets held for sale. See Note 1 for information regarding the pending sale of the Canadian NGL Business.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amounts of major classes of assets and liabilities of discontinued operations (in millions):</w:t>
      </w:r>
    </w:p>
    <w:p>
      <w:pPr>
        <w:pStyle w:val="TextBody"/>
        <w:bidi w:val="0"/>
        <w:spacing w:before="0" w:after="0"/>
        <w:jc w:val="left"/>
        <w:rPr/>
      </w:pPr>
      <w:r>
        <w:rPr/>
      </w:r>
    </w:p>
    <w:tbl>
      <w:tblPr>
        <w:tblW w:w="7001" w:type="dxa"/>
        <w:jc w:val="left"/>
        <w:tblInd w:w="0" w:type="dxa"/>
        <w:tblLayout w:type="fixed"/>
        <w:tblCellMar>
          <w:top w:w="28" w:type="dxa"/>
          <w:left w:w="28" w:type="dxa"/>
          <w:bottom w:w="28" w:type="dxa"/>
          <w:right w:w="28" w:type="dxa"/>
        </w:tblCellMar>
      </w:tblPr>
      <w:tblGrid>
        <w:gridCol w:w="1599"/>
        <w:gridCol w:w="1411"/>
        <w:gridCol w:w="1429"/>
        <w:gridCol w:w="247"/>
        <w:gridCol w:w="721"/>
        <w:gridCol w:w="127"/>
        <w:gridCol w:w="109"/>
        <w:gridCol w:w="109"/>
        <w:gridCol w:w="109"/>
        <w:gridCol w:w="245"/>
        <w:gridCol w:w="716"/>
        <w:gridCol w:w="179"/>
      </w:tblGrid>
      <w:tr>
        <w:trPr/>
        <w:tc>
          <w:tcPr>
            <w:tcW w:w="159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Assets: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receivable and other receivables, net</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assets of discontinued operations</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assets: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Property and equipment, net </w:t>
            </w:r>
            <w:r>
              <w:rPr>
                <w:rFonts w:ascii="Times New Roman;serif" w:hAnsi="Times New Roman;serif"/>
                <w:b w:val="false"/>
                <w:color w:val="000000"/>
                <w:sz w:val="13"/>
              </w:rPr>
              <w:t>(1)</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Linefill</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right-of-use assets, net</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net</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assets of discontinued operations</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liabilities of discontinued operations</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and deferred credits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liabilities of discontinued operations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Amounts are net of accumulated depreciation of $876 million and $794 million as of December 31,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line items comprising income from discontinued operations before tax to income from discontinued operations, net of tax (in millions):</w:t>
      </w:r>
    </w:p>
    <w:p>
      <w:pPr>
        <w:pStyle w:val="TextBody"/>
        <w:bidi w:val="0"/>
        <w:spacing w:before="0" w:after="0"/>
        <w:jc w:val="left"/>
        <w:rPr/>
      </w:pPr>
      <w:r>
        <w:rPr/>
      </w:r>
    </w:p>
    <w:tbl>
      <w:tblPr>
        <w:tblW w:w="7511" w:type="dxa"/>
        <w:jc w:val="left"/>
        <w:tblInd w:w="0" w:type="dxa"/>
        <w:tblLayout w:type="fixed"/>
        <w:tblCellMar>
          <w:top w:w="28" w:type="dxa"/>
          <w:left w:w="28" w:type="dxa"/>
          <w:bottom w:w="28" w:type="dxa"/>
          <w:right w:w="28" w:type="dxa"/>
        </w:tblCellMar>
      </w:tblPr>
      <w:tblGrid>
        <w:gridCol w:w="1449"/>
        <w:gridCol w:w="1274"/>
        <w:gridCol w:w="1281"/>
        <w:gridCol w:w="211"/>
        <w:gridCol w:w="616"/>
        <w:gridCol w:w="109"/>
        <w:gridCol w:w="109"/>
        <w:gridCol w:w="109"/>
        <w:gridCol w:w="109"/>
        <w:gridCol w:w="211"/>
        <w:gridCol w:w="616"/>
        <w:gridCol w:w="109"/>
        <w:gridCol w:w="109"/>
        <w:gridCol w:w="109"/>
        <w:gridCol w:w="109"/>
        <w:gridCol w:w="211"/>
        <w:gridCol w:w="616"/>
        <w:gridCol w:w="154"/>
      </w:tblGrid>
      <w:tr>
        <w:trPr/>
        <w:tc>
          <w:tcPr>
            <w:tcW w:w="144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and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and related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Losses on asset sales,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before tax</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 (expense)/benefit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4—Revenues and 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disaggregate our revenues by segment and type of activity. These categories depict how the nature, amount, timing and uncertainty of revenues and cash flows are affected by economic factors.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Revenues from Contracts with Customers. </w:t>
      </w:r>
      <w:r>
        <w:rPr>
          <w:rFonts w:ascii="Times New Roman;serif" w:hAnsi="Times New Roman;serif"/>
          <w:b w:val="false"/>
          <w:color w:val="000000"/>
          <w:sz w:val="20"/>
        </w:rPr>
        <w:t>The following tables present our revenues from contracts with customers disaggregated by segment and type of activity (in millions):</w:t>
      </w:r>
    </w:p>
    <w:p>
      <w:pPr>
        <w:pStyle w:val="TextBody"/>
        <w:bidi w:val="0"/>
        <w:spacing w:before="0" w:after="0"/>
        <w:ind w:left="0" w:right="0" w:firstLine="720"/>
        <w:jc w:val="left"/>
        <w:rPr/>
      </w:pPr>
      <w:r>
        <w:rPr/>
      </w:r>
    </w:p>
    <w:tbl>
      <w:tblPr>
        <w:tblW w:w="9161" w:type="dxa"/>
        <w:jc w:val="center"/>
        <w:tblInd w:w="0" w:type="dxa"/>
        <w:tblLayout w:type="fixed"/>
        <w:tblCellMar>
          <w:top w:w="28" w:type="dxa"/>
          <w:left w:w="28" w:type="dxa"/>
          <w:bottom w:w="28" w:type="dxa"/>
          <w:right w:w="28" w:type="dxa"/>
        </w:tblCellMar>
      </w:tblPr>
      <w:tblGrid>
        <w:gridCol w:w="1931"/>
        <w:gridCol w:w="1701"/>
        <w:gridCol w:w="1707"/>
        <w:gridCol w:w="211"/>
        <w:gridCol w:w="721"/>
        <w:gridCol w:w="109"/>
        <w:gridCol w:w="109"/>
        <w:gridCol w:w="109"/>
        <w:gridCol w:w="109"/>
        <w:gridCol w:w="211"/>
        <w:gridCol w:w="721"/>
        <w:gridCol w:w="109"/>
        <w:gridCol w:w="109"/>
        <w:gridCol w:w="109"/>
        <w:gridCol w:w="109"/>
        <w:gridCol w:w="211"/>
        <w:gridCol w:w="721"/>
        <w:gridCol w:w="154"/>
      </w:tblGrid>
      <w:tr>
        <w:trPr/>
        <w:tc>
          <w:tcPr>
            <w:tcW w:w="193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Crude Oil segment revenues from contracts with customers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Terminalling, Storage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Crude Oil segment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991" w:type="dxa"/>
        <w:jc w:val="center"/>
        <w:tblInd w:w="0" w:type="dxa"/>
        <w:tblLayout w:type="fixed"/>
        <w:tblCellMar>
          <w:top w:w="28" w:type="dxa"/>
          <w:left w:w="28" w:type="dxa"/>
          <w:bottom w:w="28" w:type="dxa"/>
          <w:right w:w="28" w:type="dxa"/>
        </w:tblCellMar>
      </w:tblPr>
      <w:tblGrid>
        <w:gridCol w:w="1785"/>
        <w:gridCol w:w="1572"/>
        <w:gridCol w:w="1577"/>
        <w:gridCol w:w="211"/>
        <w:gridCol w:w="466"/>
        <w:gridCol w:w="109"/>
        <w:gridCol w:w="109"/>
        <w:gridCol w:w="109"/>
        <w:gridCol w:w="109"/>
        <w:gridCol w:w="211"/>
        <w:gridCol w:w="466"/>
        <w:gridCol w:w="109"/>
        <w:gridCol w:w="109"/>
        <w:gridCol w:w="109"/>
        <w:gridCol w:w="109"/>
        <w:gridCol w:w="211"/>
        <w:gridCol w:w="466"/>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NGL segment revenues from contracts with customers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Terminalling, Storage and 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NGL segment revenues from contracts with customers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Sales Revenues.</w:t>
      </w:r>
      <w:r>
        <w:rPr>
          <w:color w:val="000000"/>
        </w:rPr>
        <w:t xml:space="preserve"> </w:t>
      </w:r>
      <w:r>
        <w:rPr>
          <w:rFonts w:ascii="Times New Roman;serif" w:hAnsi="Times New Roman;serif"/>
          <w:b w:val="false"/>
          <w:color w:val="000000"/>
          <w:sz w:val="20"/>
        </w:rPr>
        <w:t>Revenues from sales of crude oil and NGL are recognized at the time title to the product sold transfers to the purchaser, which occurs upon delivery of the product to the purchaser or its designee. The consideration received under these contracts is variable based on commodity prices. Inventory exchanges under buy/sell transactions are excluded from sales revenues in our Consolidated Statements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Transportation Revenues.</w:t>
      </w:r>
      <w:r>
        <w:rPr>
          <w:color w:val="000000"/>
        </w:rPr>
        <w:t xml:space="preserve"> </w:t>
      </w:r>
      <w:r>
        <w:rPr>
          <w:rFonts w:ascii="Times New Roman;serif" w:hAnsi="Times New Roman;serif"/>
          <w:b w:val="false"/>
          <w:color w:val="000000"/>
          <w:sz w:val="20"/>
        </w:rPr>
        <w:t xml:space="preserve">Transportation revenues include revenues from transporting crude oil on pipelines and trucks. Revenues from pipeline tariffs and fees are associated with the transportation of crude oil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Terminalling, Storage and Other Revenues.</w:t>
      </w:r>
      <w:r>
        <w:rPr>
          <w:color w:val="000000"/>
        </w:rPr>
        <w:t xml:space="preserve"> </w:t>
      </w:r>
      <w:r>
        <w:rPr>
          <w:rFonts w:ascii="Times New Roman;serif" w:hAnsi="Times New Roman;serif"/>
          <w:b w:val="false"/>
          <w:color w:val="000000"/>
          <w:sz w:val="20"/>
        </w:rPr>
        <w:t>Revenues in this category include (i) fees that are generated when we receive liquids from one connecting source and deliver the applicable product to another connecting carrier, (ii) fees from storage capacity agreements, (iii) fees from loading and unloading services at our terminals and (iv) fees from natural gas and condensate processing services. 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loading/unloading fees) are recognized as the liquids enter or exit the terminal and are received from or delivered to the connecting carrier or third-party terminal, as applicable. We recognize loading and unloading fees when the volumes are delivered or received.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Reconciliation to Total Revenues of Reportable Segments. </w:t>
      </w:r>
      <w:r>
        <w:rPr>
          <w:rFonts w:ascii="Times New Roman;serif" w:hAnsi="Times New Roman;serif"/>
          <w:b w:val="false"/>
          <w:color w:val="000000"/>
          <w:sz w:val="20"/>
        </w:rPr>
        <w:t>The following disclosures only include information regarding revenues associated with consolidated entities; revenues from entities accounted for by the equity method are not included. The following tables present the reconciliation of our revenues from contracts with customers (as described above for each segment) to total revenues of reportable segments and total revenues as disclosed in our Consolidated Statements of Operations (in millions):</w:t>
      </w:r>
    </w:p>
    <w:p>
      <w:pPr>
        <w:pStyle w:val="TextBody"/>
        <w:bidi w:val="0"/>
        <w:spacing w:before="0" w:after="0"/>
        <w:jc w:val="left"/>
        <w:rPr/>
      </w:pPr>
      <w:r>
        <w:rPr/>
      </w:r>
    </w:p>
    <w:tbl>
      <w:tblPr>
        <w:tblW w:w="7486" w:type="dxa"/>
        <w:jc w:val="center"/>
        <w:tblInd w:w="0" w:type="dxa"/>
        <w:tblLayout w:type="fixed"/>
        <w:tblCellMar>
          <w:top w:w="28" w:type="dxa"/>
          <w:left w:w="28" w:type="dxa"/>
          <w:bottom w:w="28" w:type="dxa"/>
          <w:right w:w="28" w:type="dxa"/>
        </w:tblCellMar>
      </w:tblPr>
      <w:tblGrid>
        <w:gridCol w:w="1220"/>
        <w:gridCol w:w="1075"/>
        <w:gridCol w:w="1079"/>
        <w:gridCol w:w="109"/>
        <w:gridCol w:w="109"/>
        <w:gridCol w:w="109"/>
        <w:gridCol w:w="211"/>
        <w:gridCol w:w="721"/>
        <w:gridCol w:w="109"/>
        <w:gridCol w:w="109"/>
        <w:gridCol w:w="109"/>
        <w:gridCol w:w="109"/>
        <w:gridCol w:w="211"/>
        <w:gridCol w:w="466"/>
        <w:gridCol w:w="109"/>
        <w:gridCol w:w="109"/>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486" w:type="dxa"/>
        <w:jc w:val="center"/>
        <w:tblInd w:w="0" w:type="dxa"/>
        <w:tblLayout w:type="fixed"/>
        <w:tblCellMar>
          <w:top w:w="28" w:type="dxa"/>
          <w:left w:w="28" w:type="dxa"/>
          <w:bottom w:w="28" w:type="dxa"/>
          <w:right w:w="28" w:type="dxa"/>
        </w:tblCellMar>
      </w:tblPr>
      <w:tblGrid>
        <w:gridCol w:w="1220"/>
        <w:gridCol w:w="1075"/>
        <w:gridCol w:w="1079"/>
        <w:gridCol w:w="109"/>
        <w:gridCol w:w="109"/>
        <w:gridCol w:w="109"/>
        <w:gridCol w:w="211"/>
        <w:gridCol w:w="721"/>
        <w:gridCol w:w="109"/>
        <w:gridCol w:w="109"/>
        <w:gridCol w:w="109"/>
        <w:gridCol w:w="109"/>
        <w:gridCol w:w="211"/>
        <w:gridCol w:w="466"/>
        <w:gridCol w:w="109"/>
        <w:gridCol w:w="109"/>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486" w:type="dxa"/>
        <w:jc w:val="center"/>
        <w:tblInd w:w="0" w:type="dxa"/>
        <w:tblLayout w:type="fixed"/>
        <w:tblCellMar>
          <w:top w:w="28" w:type="dxa"/>
          <w:left w:w="28" w:type="dxa"/>
          <w:bottom w:w="28" w:type="dxa"/>
          <w:right w:w="28" w:type="dxa"/>
        </w:tblCellMar>
      </w:tblPr>
      <w:tblGrid>
        <w:gridCol w:w="1220"/>
        <w:gridCol w:w="1075"/>
        <w:gridCol w:w="1079"/>
        <w:gridCol w:w="109"/>
        <w:gridCol w:w="109"/>
        <w:gridCol w:w="109"/>
        <w:gridCol w:w="211"/>
        <w:gridCol w:w="721"/>
        <w:gridCol w:w="109"/>
        <w:gridCol w:w="109"/>
        <w:gridCol w:w="109"/>
        <w:gridCol w:w="109"/>
        <w:gridCol w:w="211"/>
        <w:gridCol w:w="466"/>
        <w:gridCol w:w="109"/>
        <w:gridCol w:w="109"/>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Minimum Volume Commitments. </w:t>
      </w:r>
      <w:r>
        <w:rPr>
          <w:rFonts w:ascii="Times New Roman;serif" w:hAnsi="Times New Roman;serif"/>
          <w:b w:val="false"/>
          <w:color w:val="000000"/>
          <w:sz w:val="20"/>
        </w:rPr>
        <w:t>We have certain agreements that require counterparties to transport or throughput a minimum volume over an 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pStyle w:val="TextBody"/>
        <w:bidi w:val="0"/>
        <w:spacing w:before="0" w:after="0"/>
        <w:jc w:val="left"/>
        <w:rPr/>
      </w:pPr>
      <w:r>
        <w:rPr/>
      </w:r>
    </w:p>
    <w:tbl>
      <w:tblPr>
        <w:tblW w:w="6976" w:type="dxa"/>
        <w:jc w:val="center"/>
        <w:tblInd w:w="0" w:type="dxa"/>
        <w:tblLayout w:type="fixed"/>
        <w:tblCellMar>
          <w:top w:w="28" w:type="dxa"/>
          <w:left w:w="28" w:type="dxa"/>
          <w:bottom w:w="28" w:type="dxa"/>
          <w:right w:w="28" w:type="dxa"/>
        </w:tblCellMar>
      </w:tblPr>
      <w:tblGrid>
        <w:gridCol w:w="728"/>
        <w:gridCol w:w="639"/>
        <w:gridCol w:w="642"/>
        <w:gridCol w:w="109"/>
        <w:gridCol w:w="109"/>
        <w:gridCol w:w="109"/>
        <w:gridCol w:w="859"/>
        <w:gridCol w:w="859"/>
        <w:gridCol w:w="861"/>
        <w:gridCol w:w="109"/>
        <w:gridCol w:w="109"/>
        <w:gridCol w:w="109"/>
        <w:gridCol w:w="211"/>
        <w:gridCol w:w="361"/>
        <w:gridCol w:w="109"/>
        <w:gridCol w:w="109"/>
        <w:gridCol w:w="109"/>
        <w:gridCol w:w="109"/>
        <w:gridCol w:w="211"/>
        <w:gridCol w:w="36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Counterparty Deficiencies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Billed and collected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Contract Balances</w:t>
      </w:r>
      <w:r>
        <w:rPr>
          <w:rFonts w:ascii="Times New Roman;serif" w:hAnsi="Times New Roman;serif"/>
          <w:b w:val="false"/>
          <w:color w:val="000000"/>
          <w:sz w:val="20"/>
        </w:rPr>
        <w:t>. Our contract balances consist of amounts received associated with services or sales for which we have not yet completed the related performance obligation. The following table presents the changes in the liability balance associated with contracts with customers (in millions):</w:t>
      </w:r>
    </w:p>
    <w:p>
      <w:pPr>
        <w:pStyle w:val="TextBody"/>
        <w:bidi w:val="0"/>
        <w:spacing w:before="0" w:after="0"/>
        <w:ind w:left="0" w:right="0" w:firstLine="720"/>
        <w:jc w:val="left"/>
        <w:rPr/>
      </w:pPr>
      <w:r>
        <w:rPr/>
      </w:r>
    </w:p>
    <w:tbl>
      <w:tblPr>
        <w:tblW w:w="4259" w:type="dxa"/>
        <w:jc w:val="center"/>
        <w:tblInd w:w="0" w:type="dxa"/>
        <w:tblLayout w:type="fixed"/>
        <w:tblCellMar>
          <w:top w:w="28" w:type="dxa"/>
          <w:left w:w="28" w:type="dxa"/>
          <w:bottom w:w="28" w:type="dxa"/>
          <w:right w:w="28" w:type="dxa"/>
        </w:tblCellMar>
      </w:tblPr>
      <w:tblGrid>
        <w:gridCol w:w="977"/>
        <w:gridCol w:w="859"/>
        <w:gridCol w:w="864"/>
        <w:gridCol w:w="395"/>
        <w:gridCol w:w="875"/>
        <w:gridCol w:w="289"/>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Liabilities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recognized as revenue</w:t>
            </w:r>
          </w:p>
        </w:tc>
        <w:tc>
          <w:tcPr>
            <w:tcW w:w="12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recognized as revenue</w:t>
            </w:r>
          </w:p>
        </w:tc>
        <w:tc>
          <w:tcPr>
            <w:tcW w:w="12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Remaining Performance Obligations</w:t>
      </w:r>
      <w:r>
        <w:rPr>
          <w:rFonts w:ascii="Times New Roman;serif" w:hAnsi="Times New Roman;serif"/>
          <w:b w:val="false"/>
          <w:color w:val="000000"/>
          <w:sz w:val="20"/>
        </w:rPr>
        <w:t>. The information below includes the amount of consideration allocated to partially and wholly unsatisfied 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December 31, 2025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321"/>
        <w:gridCol w:w="1051"/>
        <w:gridCol w:w="1054"/>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60"/>
        <w:gridCol w:w="761"/>
        <w:gridCol w:w="193"/>
      </w:tblGrid>
      <w:tr>
        <w:trPr/>
        <w:tc>
          <w:tcPr>
            <w:tcW w:w="132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2031 and Thereafter</w:t>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Pipeline revenues supported by minimum volume commitments and capacity agreements</w:t>
            </w:r>
            <w:r>
              <w:rPr>
                <w:color w:val="000000"/>
              </w:rPr>
              <w:t xml:space="preserve">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Terminalling, storage and other agreement revenues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Calculated as volumes committed under contracts multiplied by the current applicable tariff rate.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presentation above does not include (i) expected revenues from legacy shippers not underpinned by minimum volume commitments,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Minimum volume commitments on certain of our joint venture pipeline systems;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Acreage dedications;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Buy/sell arrangements with future committed volumes;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Short-term contracts and those with variable consideration due to the election of practical expedients, as discussed below;</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Contracts within the scope of ASC Topic 842, </w:t>
      </w:r>
      <w:r>
        <w:rPr>
          <w:rFonts w:ascii="Times New Roman;serif" w:hAnsi="Times New Roman;serif"/>
          <w:b w:val="false"/>
          <w:i/>
          <w:color w:val="000000"/>
          <w:sz w:val="20"/>
        </w:rPr>
        <w:t>Leases</w:t>
      </w:r>
      <w:r>
        <w:rPr>
          <w:rFonts w:ascii="Times New Roman;serif" w:hAnsi="Times New Roman;serif"/>
          <w:b w:val="false"/>
          <w:color w:val="000000"/>
          <w:sz w:val="20"/>
        </w:rPr>
        <w:t>; and</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 xml:space="preserve">Contracts within the scope of ASC Topic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due to variability in amount of performance obligation remaining, variability in the timing of recognition or variability in consideration. Acreage dedications require us to perform future services but do not contain a minimum level of services and are therefore excluded from this presentation. Long-term merchant arrangements contain variable timing, volumes and/or consideration and are excluded from this presentation. The duration of these contracts varies across the periods presented above.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have elected practical expedients to exclude contracts with terms of one year or less, and therefore exclude the presentation of remaining performance obligations for short-term transportation, storage and processing services, merchant arrangements, including the non-cancelable period of evergreen arrangements, and any other types of arrangements with terms of one year or less.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Trade Accounts Receivable and Other Receivables, Net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December 31, 2025 and 2024,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reconciliation of trade accounts receivable from revenues from contracts with customers to total Trade accounts receivable and other receivables, net as presented on our Consolidated Balance Sheets (in millions): </w:t>
      </w:r>
    </w:p>
    <w:p>
      <w:pPr>
        <w:pStyle w:val="TextBody"/>
        <w:bidi w:val="0"/>
        <w:spacing w:before="0" w:after="0"/>
        <w:ind w:left="0" w:right="0" w:firstLine="720"/>
        <w:jc w:val="left"/>
        <w:rPr/>
      </w:pPr>
      <w:r>
        <w:rPr/>
      </w:r>
    </w:p>
    <w:tbl>
      <w:tblPr>
        <w:tblW w:w="8723" w:type="dxa"/>
        <w:jc w:val="center"/>
        <w:tblInd w:w="0" w:type="dxa"/>
        <w:tblLayout w:type="fixed"/>
        <w:tblCellMar>
          <w:top w:w="28" w:type="dxa"/>
          <w:left w:w="28" w:type="dxa"/>
          <w:bottom w:w="28" w:type="dxa"/>
          <w:right w:w="28" w:type="dxa"/>
        </w:tblCellMar>
      </w:tblPr>
      <w:tblGrid>
        <w:gridCol w:w="2346"/>
        <w:gridCol w:w="2063"/>
        <w:gridCol w:w="2070"/>
        <w:gridCol w:w="211"/>
        <w:gridCol w:w="616"/>
        <w:gridCol w:w="109"/>
        <w:gridCol w:w="109"/>
        <w:gridCol w:w="109"/>
        <w:gridCol w:w="109"/>
        <w:gridCol w:w="211"/>
        <w:gridCol w:w="616"/>
        <w:gridCol w:w="154"/>
      </w:tblGrid>
      <w:tr>
        <w:trPr/>
        <w:tc>
          <w:tcPr>
            <w:tcW w:w="2346"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arising from revenues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trade accounts receivables and other receivables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due to contractual rights of offset with counterparties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and other receivables,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    </w:t>
      </w:r>
      <w:r>
        <w:rPr>
          <w:rFonts w:ascii="Times New Roman;serif" w:hAnsi="Times New Roman;serif"/>
          <w:b w:val="false"/>
          <w:color w:val="000000"/>
          <w:sz w:val="20"/>
        </w:rPr>
        <w:t>The balance is comprised primarily of accounts receivable associated with buy/sell arrangements that are not within the scope of ASC 606.</w:t>
      </w:r>
    </w:p>
    <w:p>
      <w:pPr>
        <w:pStyle w:val="TextBody"/>
        <w:bidi w:val="0"/>
        <w:spacing w:before="6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5—Net Income Per Class A Share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net income per Class A share is determined by dividing net income attributable to PAGP from continuing operations and net income attributable to PAGP from discontinued operations by the weighted average number of Class A shares outstanding during the period. Our Class B and Class C shares do not share in the earnings of the Partnership; accordingly, basic and diluted net income per Class B and Class C share has not been presented.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Diluted net income per Class A share is determined by dividing net income attributable to PAGP from continuing operations and net income attributable to PAGP from discontinued operations by the diluted weighted average number of Class A shares outstanding during the period. For purposes of calculating diluted net income per Class A share, both the net income attributable to PAGP and the diluted weighted average number of Class A shares outstanding consider the impact of possible future exchanges of AAP units and the associated Class B shares into our Class A shares. In addition, the calculation of the diluted weighted average number of Class A shares outstanding considers the effect of potentially dilutive awards under the Plains GP Holdings, L.P. Long-Term Incentive Plan (the “PAGP LTIP”).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Exchanges of potentially dilutive AAP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12 for information regarding exchanges of AAP units. PAGP LTIP awards that are deemed to be dilutive are reduced by a hypothetical share repurchase based on the remaining unamortized fair value, as prescribed by the treasury stock method in guidance issued by the FASB. See Note 18 for information regarding PAGP LTIP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 weighted-average basis, for the years ended December 31, 2025, 2024 and 2023, the possible exchange of 35 million, 35 million and 44 million AAP units, respectively, was dilutive to net income per Class A share from discontinued operations. The possible exchange did not result in dilution for net income per Class A share from continuing operations for any of the years presented. Accordingly, the effect of the possible exchange of AAP units is included in the computation of diluted net income per Class A share for discontinued operations for these years and excluded from the calculation for all others. For each of the years ended December 31, 2025, 2024 and 2023, our PAGP LTIP awards were also dilutive and are included in the calculation of diluted weighted average Class A shares outstanding, as applicable.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per Class A share (in millions, except per share data):</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679"/>
        <w:gridCol w:w="2161"/>
        <w:gridCol w:w="2171"/>
        <w:gridCol w:w="211"/>
        <w:gridCol w:w="511"/>
        <w:gridCol w:w="109"/>
        <w:gridCol w:w="109"/>
        <w:gridCol w:w="109"/>
        <w:gridCol w:w="109"/>
        <w:gridCol w:w="211"/>
        <w:gridCol w:w="511"/>
        <w:gridCol w:w="109"/>
        <w:gridCol w:w="109"/>
        <w:gridCol w:w="109"/>
        <w:gridCol w:w="109"/>
        <w:gridCol w:w="211"/>
        <w:gridCol w:w="511"/>
        <w:gridCol w:w="156"/>
      </w:tblGrid>
      <w:tr>
        <w:trPr/>
        <w:tc>
          <w:tcPr>
            <w:tcW w:w="2679"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7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Income per Class A Share</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 from discontinued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Class A shares outstanding</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per Class A Share: </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Class A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Net Income per Class A Share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01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 from discontinued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net income attributable to PAGP resulting from assumed exchange of AAP Management Units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 from discontinued operations including incremental net income from assumed exchange of AAP Management Units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Basic weighted average Class A shares outstanding</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shares resulting from assumed exchange of AAP Management Units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Class A shares outstanding</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Net Income per Class A Share: </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Class A share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6—Inventory, Linefill and Long-term Inventory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Inventory, including long-term inventory, primarily consists of crude oil and NGL in pipelines, storage facilities and railcars that are valued at the lower of cost or net realizable value,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No adjustments were recorded during the years ended December 31, 2025, 2024 or 2023.</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Linefill in assets we own is recorded at historical cost. We classify as linefill (i) our proportionate share of barrels used to fill a pipeline that we own such that when an incremental barrel is pumped into or enters a pipeline it forces product out at another location and (ii) barrels that represent the minimum working requirements in tanks and caverns that we own. Linefill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7 for further discussion regarding impairment of long-lived assets. During 2025, 2024 and 2023, we did not recognize any material impairments of linefill.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under “Other assets” on our Consolidated Balance Sheets.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Inventory, linefill and long-term inventory consisted of the following (barrels in thousands and carrying value in millions):</w:t>
      </w:r>
    </w:p>
    <w:p>
      <w:pPr>
        <w:pStyle w:val="TextBody"/>
        <w:bidi w:val="0"/>
        <w:spacing w:before="0" w:after="0"/>
        <w:ind w:left="0" w:right="0" w:firstLine="720"/>
        <w:jc w:val="left"/>
        <w:rPr/>
      </w:pPr>
      <w:r>
        <w:rPr/>
      </w:r>
    </w:p>
    <w:tbl>
      <w:tblPr>
        <w:tblW w:w="10807" w:type="dxa"/>
        <w:jc w:val="center"/>
        <w:tblInd w:w="0" w:type="dxa"/>
        <w:tblLayout w:type="fixed"/>
        <w:tblCellMar>
          <w:top w:w="28" w:type="dxa"/>
          <w:left w:w="28" w:type="dxa"/>
          <w:bottom w:w="28" w:type="dxa"/>
          <w:right w:w="28" w:type="dxa"/>
        </w:tblCellMar>
      </w:tblPr>
      <w:tblGrid>
        <w:gridCol w:w="423"/>
        <w:gridCol w:w="306"/>
        <w:gridCol w:w="307"/>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Price/</w:t>
            </w:r>
          </w:p>
          <w:p>
            <w:pPr>
              <w:pStyle w:val="TableContents"/>
              <w:bidi w:val="0"/>
              <w:spacing w:lineRule="auto" w:line="240" w:before="0" w:after="0"/>
              <w:jc w:val="center"/>
              <w:rPr/>
            </w:pPr>
            <w:r>
              <w:rPr>
                <w:rFonts w:ascii="Times New Roman;serif" w:hAnsi="Times New Roman;serif"/>
                <w:b/>
                <w:color w:val="000000"/>
                <w:sz w:val="16"/>
              </w:rPr>
              <w:t>Unit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Price/</w:t>
            </w:r>
          </w:p>
          <w:p>
            <w:pPr>
              <w:pStyle w:val="TableContents"/>
              <w:bidi w:val="0"/>
              <w:spacing w:lineRule="auto" w:line="240" w:before="0" w:after="0"/>
              <w:jc w:val="center"/>
              <w:rPr/>
            </w:pPr>
            <w:r>
              <w:rPr>
                <w:rFonts w:ascii="Times New Roman;serif" w:hAnsi="Times New Roman;serif"/>
                <w:b/>
                <w:color w:val="000000"/>
                <w:sz w:val="16"/>
              </w:rPr>
              <w:t>Unit </w:t>
            </w:r>
            <w:r>
              <w:rPr>
                <w:rFonts w:ascii="Times New Roman;serif" w:hAnsi="Times New Roman;serif"/>
                <w:b/>
                <w:color w:val="000000"/>
                <w:sz w:val="10"/>
              </w:rPr>
              <w:t>(1)</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Inventory</w:t>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Linefill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Linefill subtotal</w:t>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inventory</w:t>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Price per unit of measure is comprised of a weighted average associated with various grades, qualities and locations. Accordingly, these prices may not coincide with any published benchmarks for such products.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7—Property and Equipment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our capitalization policy, expenditures made to expand the existing operating and/or earnings capacity of our assets are capitalized, as are certain costs directly related to the construction of such assets, including related internal labor costs, engineering costs and interest costs. We also capitalize expenditures for the replacement and/or refurbishment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is stated at cost and consisted of the following (in millions):</w:t>
      </w:r>
    </w:p>
    <w:p>
      <w:pPr>
        <w:pStyle w:val="TextBody"/>
        <w:bidi w:val="0"/>
        <w:spacing w:before="0" w:after="0"/>
        <w:jc w:val="left"/>
        <w:rPr/>
      </w:pPr>
      <w:r>
        <w:rPr/>
      </w:r>
    </w:p>
    <w:tbl>
      <w:tblPr>
        <w:tblW w:w="9157" w:type="dxa"/>
        <w:jc w:val="center"/>
        <w:tblInd w:w="0" w:type="dxa"/>
        <w:tblLayout w:type="fixed"/>
        <w:tblCellMar>
          <w:top w:w="28" w:type="dxa"/>
          <w:left w:w="28" w:type="dxa"/>
          <w:bottom w:w="28" w:type="dxa"/>
          <w:right w:w="28" w:type="dxa"/>
        </w:tblCellMar>
      </w:tblPr>
      <w:tblGrid>
        <w:gridCol w:w="1830"/>
        <w:gridCol w:w="1606"/>
        <w:gridCol w:w="1619"/>
        <w:gridCol w:w="440"/>
        <w:gridCol w:w="440"/>
        <w:gridCol w:w="441"/>
        <w:gridCol w:w="109"/>
        <w:gridCol w:w="109"/>
        <w:gridCol w:w="109"/>
        <w:gridCol w:w="211"/>
        <w:gridCol w:w="721"/>
        <w:gridCol w:w="109"/>
        <w:gridCol w:w="109"/>
        <w:gridCol w:w="109"/>
        <w:gridCol w:w="109"/>
        <w:gridCol w:w="211"/>
        <w:gridCol w:w="721"/>
        <w:gridCol w:w="154"/>
      </w:tblGrid>
      <w:tr>
        <w:trPr/>
        <w:tc>
          <w:tcPr>
            <w:tcW w:w="183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Useful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Lives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Crude oil pipeline systems</w:t>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Crude oil storage and terminal facilities</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NGL storage, terminal, fractionation and processing facilities</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Office property and equipment and rolling stock</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2 - 50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other</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Property and equipment, gross</w:t>
            </w:r>
            <w:r>
              <w:rPr>
                <w:color w:val="000000"/>
              </w:rPr>
              <w:t xml:space="preserve"> </w:t>
            </w:r>
            <w:r>
              <w:rPr>
                <w:rFonts w:ascii="Times New Roman;serif" w:hAnsi="Times New Roman;serif"/>
                <w:b w:val="false"/>
                <w:color w:val="000000"/>
                <w:sz w:val="13"/>
              </w:rPr>
              <w:t>(1)</w:t>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We include rights-of-way, which are intangible assets, within property and equipment.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calculate our depreciation using the straight-line method, based on estimated useful lives and salvage values of our assets. Depreciation expense for the years ended December 31, 2025, 2024 and 2023 was $673 million, $639 million and $618 million,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2024 and 2023, we incurred liabilities of $43 million, $44 million and $40 million, respectively, for construction in progress that had not been paid.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Impairment of Long-Lived Assets (Held and Used)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whether there is an indication of impairment;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grouping of assets;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intention of “holding,” “abandoning” or “selling” an asset;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forecast of undiscounted expected future cash flow over the asset’s estimated useful life;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an impairment exists, the fair value of the asset or asset group.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when we evaluate property and equipment and other long-lived assets for recoverability, it may also be necessary to review related depreciation estimates and methods.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2024, we recognized approximately $140 million of non-cash charges related to the write-down of certain of our long-lived U.S. based NGL terminal assets included in our NGL segment due to asset impairments and accelerated depreciation. Such charges are reflected in “(Gains)/losses on asset sales, asset impairments and other, net” on our Consolidated Statement of Operations. We have experienced a decrease in demand for our services at certain of our terminals within two asset groups related to changing market conditions specific to their locations, which was a triggering event that required us to assess the recoverability of carrying value of such long-lived assets. As a result of our impairment review, we wrote-off the portion of the carrying amount of these long-lived assets that exceeded their fair value. Our estimated fair value was based on the determination that a portion of the long-lived assets had no residual value. We consider such inputs to be a Level 3 input in the fair value hierarchy. Further, we determined that an acceleration of depreciation was appropriate for another portion of the long-lived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did not recognize any material asset impairments during the years ended December 31, 2025 and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8—Acquisitions, Divestitures and Other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Acquisitions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EPIC (Cactus III)</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31, 2025, we purchased an aggregate 55% equity interest in EPIC Crude Holdings, LP (“EPIC Crude Holdings”), which owns the EPIC Crude Oil Pipeline (which we now refer to as our “Cactus III Pipeline”), from subsidiaries of Diamondback Energy, Inc. and Kinetik Holdings Inc., for approximately $1.568 billion, subject to certain adjustments and inclusive of $613 million of debt assumed. We also agreed to a potential earnout payment of $193 million contingent upon the formal sanctioning before the end of 2027 of one or more expansions of Cactus III Pipeline that in the aggregate will increase the capacity of the pipeline to at least 900,000 barrels per day. In a separate transaction, effective November 1, 2025, we acquired the remaining 45% equity interest in EPIC Crude Holdings from a portfolio company of Ares Private Equity funds for approximately $1.327 billion, subject to certain adjustments and inclusive of $501 million of debt assumed. We also agreed to a potential earnout payment to the seller of up to $157 million depending on the timing and amount of incremental expansion capacity up to 300,000 barrels per day in excess of 650,000 barrels per day that is formally sanctioned before the end of 2028. The aggregate cash consideration also includes closing cash and working capital of approximately $121 million. The estimated fair value of the aggregate earnout consideration recorded in connection with these transactions was approximately $115 million. The fair value of the aggregate earnout consideration was determined based on weighted-average probabilities of certain capacity expansion scenarios and the related timing thereof.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Subsequent to these two transactions (collectively, the “EPIC acquisition”), we now own 100% of EPIC Crude Holdings and are the operator of record for the Cactus III Pipeline, which provides long-haul crude oil takeaway from the Permian and Eagle Ford basins to the Gulf Coast market at Corpus Christi. We believe this acquisition is highly synergistic and strategic to our existing footprint. The EPIC acquisition will be accounted for in our Crude Oil segment.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EPIC acquisition was accounted for as a business combination using the acquisition method of accounting. The following table presents the fair value of the consideration in the EPIC acquisition (in millions):</w:t>
      </w:r>
    </w:p>
    <w:p>
      <w:pPr>
        <w:pStyle w:val="TextBody"/>
        <w:bidi w:val="0"/>
        <w:spacing w:before="0" w:after="0"/>
        <w:jc w:val="left"/>
        <w:rPr/>
      </w:pPr>
      <w:r>
        <w:rPr/>
      </w:r>
    </w:p>
    <w:tbl>
      <w:tblPr>
        <w:tblW w:w="4137" w:type="dxa"/>
        <w:jc w:val="left"/>
        <w:tblInd w:w="0" w:type="dxa"/>
        <w:tblLayout w:type="fixed"/>
        <w:tblCellMar>
          <w:top w:w="28" w:type="dxa"/>
          <w:left w:w="28" w:type="dxa"/>
          <w:bottom w:w="28" w:type="dxa"/>
          <w:right w:w="28" w:type="dxa"/>
        </w:tblCellMar>
      </w:tblPr>
      <w:tblGrid>
        <w:gridCol w:w="797"/>
        <w:gridCol w:w="700"/>
        <w:gridCol w:w="708"/>
        <w:gridCol w:w="109"/>
        <w:gridCol w:w="109"/>
        <w:gridCol w:w="109"/>
        <w:gridCol w:w="345"/>
        <w:gridCol w:w="1008"/>
        <w:gridCol w:w="252"/>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Recognized Amount</w:t>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applicable accounting guidance, the fair value of the assets acquired and liabilities assumed following the acquisition was utilized as the consideration transferred for the purchase price allocation. The determination of the fair value of the assets and liabilities assumed was estimated in accordance with applicable accounting guidance. The analysis was performed based on estimates that are reflective of market participant assumptions. The following table reflects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preliminary determination of the fair value of the assets acquired and liabilities assumed in connection with the EPIC acquisition (in millions):</w:t>
      </w:r>
    </w:p>
    <w:p>
      <w:pPr>
        <w:pStyle w:val="TextBody"/>
        <w:bidi w:val="0"/>
        <w:spacing w:before="0" w:after="0"/>
        <w:ind w:left="0" w:right="0" w:firstLine="720"/>
        <w:jc w:val="left"/>
        <w:rPr/>
      </w:pPr>
      <w:r>
        <w:rPr/>
      </w:r>
    </w:p>
    <w:tbl>
      <w:tblPr>
        <w:tblW w:w="7973" w:type="dxa"/>
        <w:jc w:val="left"/>
        <w:tblInd w:w="0" w:type="dxa"/>
        <w:tblLayout w:type="fixed"/>
        <w:tblCellMar>
          <w:top w:w="28" w:type="dxa"/>
          <w:left w:w="28" w:type="dxa"/>
          <w:bottom w:w="28" w:type="dxa"/>
          <w:right w:w="28" w:type="dxa"/>
        </w:tblCellMar>
      </w:tblPr>
      <w:tblGrid>
        <w:gridCol w:w="1421"/>
        <w:gridCol w:w="1250"/>
        <w:gridCol w:w="1259"/>
        <w:gridCol w:w="109"/>
        <w:gridCol w:w="109"/>
        <w:gridCol w:w="109"/>
        <w:gridCol w:w="594"/>
        <w:gridCol w:w="594"/>
        <w:gridCol w:w="596"/>
        <w:gridCol w:w="109"/>
        <w:gridCol w:w="109"/>
        <w:gridCol w:w="109"/>
        <w:gridCol w:w="345"/>
        <w:gridCol w:w="1008"/>
        <w:gridCol w:w="252"/>
      </w:tblGrid>
      <w:tr>
        <w:trPr/>
        <w:tc>
          <w:tcPr>
            <w:tcW w:w="142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Identifiable Assets Acquired and Liabilities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Useful Lives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Recognized Amount</w:t>
            </w:r>
          </w:p>
        </w:tc>
      </w:tr>
      <w:tr>
        <w:trPr/>
        <w:tc>
          <w:tcPr>
            <w:tcW w:w="3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Working capital and 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acquired Property and equipment, net is primarily comprised of pipelines, equipment and rights of way. The intangible assets recognized in this transaction relate to long-term contracts which contain rates that are favorable to current market conditions. We utilized widely accepted valuation techniques for these types of assets that represent Level 3 measurements in the fair value hierarchy. A Level 3 measurement is one for which there are no observable market inputs.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acquired pipelines and equipment was determined using a cost approach with an assumption for replacement cost. The fair value of acquired rights of way was determined using a market approach for similar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the favorable contracts was determined using an income approach that considers the projected volumes to be transported over the life of the contracts, assumptions for current market rates, and a discount rate that a theoretical market participant would assign to the intangible asset of approximately 17%.</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useful lives of the favorable contracts range from 5 to 10 years, and amortization of these intangible assets is recognized using the declining balance method of amortization. Amortization expense was approximately $15 million for the year ended December 31, 2025, and the future amortization expense through 2030 is estimated as follows (in millions):</w:t>
      </w:r>
    </w:p>
    <w:p>
      <w:pPr>
        <w:pStyle w:val="TextBody"/>
        <w:bidi w:val="0"/>
        <w:spacing w:before="0" w:after="0"/>
        <w:ind w:left="0" w:right="0" w:firstLine="720"/>
        <w:jc w:val="left"/>
        <w:rPr/>
      </w:pPr>
      <w:r>
        <w:rPr/>
      </w:r>
    </w:p>
    <w:tbl>
      <w:tblPr>
        <w:tblW w:w="1267" w:type="dxa"/>
        <w:jc w:val="left"/>
        <w:tblInd w:w="0" w:type="dxa"/>
        <w:tblLayout w:type="fixed"/>
        <w:tblCellMar>
          <w:top w:w="28" w:type="dxa"/>
          <w:left w:w="28" w:type="dxa"/>
          <w:bottom w:w="28" w:type="dxa"/>
          <w:right w:w="28" w:type="dxa"/>
        </w:tblCellMar>
      </w:tblPr>
      <w:tblGrid>
        <w:gridCol w:w="196"/>
        <w:gridCol w:w="172"/>
        <w:gridCol w:w="173"/>
        <w:gridCol w:w="211"/>
        <w:gridCol w:w="361"/>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EPIC acquisition, we assumed the EPIC credit agreement, which provided for a $1.2 billion term loan (the “EPIC term loan”) and a $125 million revolving credit facility (the “EPIC revolver”). On December 1, 2025, we repaid the $1.1 billion of borrowings outstanding under the EPIC term loan and terminated the EPIC credit agreement. See Note 11 for additional information regarding the EPIC credit agreement. The EPIC term loan was valued at par based on the expectation of terminating the loan at such value.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incurred approximately $9 million of transaction-related costs associated with the EPIC acquisition. Such costs are reflected as a component of “General and administrative expenses” on our Consolidated Statements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 Forma and Other Financial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results from the EPIC acquisition have been included in our results of operations within the Crude Oil segment since the date of the acquisition. The EPIC revenues and earnings generated during the period since the acquisition date were not material for disclosure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selected unaudited pro forma results of operations were derived from the historical financial statements of EPIC Crude Holdings, and gives effect to the EPIC acquisition as if it had occurred on January 1, 2024. The pro forma results of operations do not include any cost savings or other synergies that may result from the EPIC acquisition or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estimated costs that have been or will be incurred by us to integrate the assets acquired. These results are not necessarily indicative of the results that might have actually occurred had the acquisition taken place on January 1, 2024; furthermore, this financial information is not intended to be a projection of future results (in millions, except per unit amounts):</w:t>
      </w:r>
    </w:p>
    <w:p>
      <w:pPr>
        <w:pStyle w:val="TextBody"/>
        <w:bidi w:val="0"/>
        <w:spacing w:before="0" w:after="0"/>
        <w:ind w:left="0" w:right="0" w:firstLine="720"/>
        <w:jc w:val="left"/>
        <w:rPr/>
      </w:pPr>
      <w:r>
        <w:rPr/>
      </w:r>
    </w:p>
    <w:tbl>
      <w:tblPr>
        <w:tblW w:w="9456" w:type="dxa"/>
        <w:jc w:val="left"/>
        <w:tblInd w:w="0" w:type="dxa"/>
        <w:tblLayout w:type="fixed"/>
        <w:tblCellMar>
          <w:top w:w="28" w:type="dxa"/>
          <w:left w:w="28" w:type="dxa"/>
          <w:bottom w:w="28" w:type="dxa"/>
          <w:right w:w="28" w:type="dxa"/>
        </w:tblCellMar>
      </w:tblPr>
      <w:tblGrid>
        <w:gridCol w:w="2414"/>
        <w:gridCol w:w="2125"/>
        <w:gridCol w:w="2136"/>
        <w:gridCol w:w="109"/>
        <w:gridCol w:w="109"/>
        <w:gridCol w:w="109"/>
        <w:gridCol w:w="211"/>
        <w:gridCol w:w="721"/>
        <w:gridCol w:w="109"/>
        <w:gridCol w:w="109"/>
        <w:gridCol w:w="109"/>
        <w:gridCol w:w="109"/>
        <w:gridCol w:w="211"/>
        <w:gridCol w:w="721"/>
        <w:gridCol w:w="154"/>
      </w:tblGrid>
      <w:tr>
        <w:trPr/>
        <w:tc>
          <w:tcPr>
            <w:tcW w:w="2414"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income/(loss) attributable to PAGP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income/(loss) per Class A share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Ironwood Midstream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31, 2025, we acquired Ironwood Midstream Energy Partners II, LLC (“Ironwood Midstream”), which owns a gathering system in the Eagle Ford Basin, for approximately $481 million in cash from EnCap Flatrock Midstream. The Ironwood Midstream acquisition is accounted for in our Crude Oil segment. In January 2025, in a separate transaction, we also repurchased from EnCap Flatrock Midstream, a portion of our outstanding Series A preferred units. EnCap Flatrock Midstream is affiliated with EnCap Investments, L.P, an entity that is associated with a member of the board of directors of PAGP GP. See Note 12 for additional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Ironwood Midstream acquisition was accounted for as a business combination using the acquisition method of accounting. In accordance with applicable accounting guidance, the fair value of the assets acquired and liabilities assumed following the acquisition was utilized as the consideration transferred for the purchase price allocation. The determination of the fair value of the assets and liabilities assumed was estimated in accordance with applicable accounting guidance. The analysis was performed based on estimates that are reflective of market participant assumptions. The following table reflects our preliminary determination of the fair value of the Ironwood Midstream acquisition assets and liabilities (in millions):</w:t>
      </w:r>
    </w:p>
    <w:p>
      <w:pPr>
        <w:pStyle w:val="TextBody"/>
        <w:bidi w:val="0"/>
        <w:spacing w:before="0" w:after="0"/>
        <w:ind w:left="0" w:right="0" w:firstLine="720"/>
        <w:jc w:val="left"/>
        <w:rPr/>
      </w:pPr>
      <w:r>
        <w:rPr/>
      </w:r>
    </w:p>
    <w:tbl>
      <w:tblPr>
        <w:tblW w:w="7973" w:type="dxa"/>
        <w:jc w:val="left"/>
        <w:tblInd w:w="0" w:type="dxa"/>
        <w:tblLayout w:type="fixed"/>
        <w:tblCellMar>
          <w:top w:w="28" w:type="dxa"/>
          <w:left w:w="28" w:type="dxa"/>
          <w:bottom w:w="28" w:type="dxa"/>
          <w:right w:w="28" w:type="dxa"/>
        </w:tblCellMar>
      </w:tblPr>
      <w:tblGrid>
        <w:gridCol w:w="1421"/>
        <w:gridCol w:w="1250"/>
        <w:gridCol w:w="1259"/>
        <w:gridCol w:w="109"/>
        <w:gridCol w:w="109"/>
        <w:gridCol w:w="109"/>
        <w:gridCol w:w="594"/>
        <w:gridCol w:w="594"/>
        <w:gridCol w:w="596"/>
        <w:gridCol w:w="109"/>
        <w:gridCol w:w="109"/>
        <w:gridCol w:w="109"/>
        <w:gridCol w:w="406"/>
        <w:gridCol w:w="900"/>
        <w:gridCol w:w="299"/>
      </w:tblGrid>
      <w:tr>
        <w:trPr/>
        <w:tc>
          <w:tcPr>
            <w:tcW w:w="142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Identifiable Assets Acquired and Liabilities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Useful Lives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Recognized Amount</w:t>
            </w:r>
          </w:p>
        </w:tc>
      </w:tr>
      <w:tr>
        <w:trPr/>
        <w:tc>
          <w:tcPr>
            <w:tcW w:w="3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and other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the tangible asset is a Level 3 measurement in the fair value hierarchy and was determined using a cost approach for tangible assets, with an assumption for replacement cost, and a market approach for rights-of-way. A Level 3 measurement is one for which there are no observable market inputs. The fair value of the intangible assets is also a Level 3 measurement in the fair value hierarchy and was determined by applying a discounted cash flow approach. Such approach utilized a discount rate of 18%, based on our estimate of the risk that a theoretical market participant would assign to the intangible asset.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intangible asset is comprised of customer relationships that will be amortized over their useful lives, which have a remaining weighted average life of approximately 16 years. The value assigned to such intangible asset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amortized to earnings under the declining balance method of amortization. Amortization expense was approximately $4 million for the year ended December 31, 2025, and the future amortization expense through 2030 is estimated as follows (in millions):</w:t>
      </w:r>
    </w:p>
    <w:p>
      <w:pPr>
        <w:pStyle w:val="TextBody"/>
        <w:bidi w:val="0"/>
        <w:spacing w:before="0" w:after="0"/>
        <w:jc w:val="left"/>
        <w:rPr/>
      </w:pPr>
      <w:r>
        <w:rPr/>
      </w:r>
    </w:p>
    <w:tbl>
      <w:tblPr>
        <w:tblW w:w="1162" w:type="dxa"/>
        <w:jc w:val="left"/>
        <w:tblInd w:w="0" w:type="dxa"/>
        <w:tblLayout w:type="fixed"/>
        <w:tblCellMar>
          <w:top w:w="28" w:type="dxa"/>
          <w:left w:w="28" w:type="dxa"/>
          <w:bottom w:w="28" w:type="dxa"/>
          <w:right w:w="28" w:type="dxa"/>
        </w:tblCellMar>
      </w:tblPr>
      <w:tblGrid>
        <w:gridCol w:w="196"/>
        <w:gridCol w:w="172"/>
        <w:gridCol w:w="173"/>
        <w:gridCol w:w="211"/>
        <w:gridCol w:w="256"/>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 forma financial information assuming the acquisition had occurred as of the beginning of the calendar year prior to the year of the acquisition, as well as the revenues and earnings generated during the period since the acquisition date, were not material for disclosure purposes.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Rattler Permian Transaction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third quarter of 2023, we completed a transaction with Rattler Midstream Operating LLC (“Rattler”) pursuant to which the Permian JV acquired the remaining 43% interest in OMOG JV Holdings LLC (“OMOG”) and certain gathering assets in the Southern Delaware basin. The transaction had an aggregate purchase price of $294 million ($191 million net to our 65% interest in the Permian JV). As a result of the transaction, the Permian JV now owns 100% of OMOG and its subsidiaries and such entities are reflected as consolidated subsidiaries in our Consolidated Financial Statements. Prior to this transaction, the Permian JV’s 57% interest in OMOG was accounted for as an equity method investment.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transaction was accounted for as a business combination using the acquisition method of accounting. In accordance with applicable accounting guidance, the fair value of the assets acquired and liabilities assumed following the transaction was utilized as the consideration transferred for the purchase price allocation.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us obtaining control over OMOG, the Permian JV’s previously-held 57% interest in OMOG was remeasured to its fair value of $239 million based upon a valuation of the acquired business, as of the date of acquisition. We considered multiple factors in determining the fair value of the previously-held equity method investment, including, (i) the price negotiated with Rattler for its 43% interest in OMOG and (ii) a discounted cash flow approach. The discounted cash flow approach utilized a discount rate of approximately 11%, based on the estimate of the risk that a theoretical market participant would assign to the business. The remeasurement of the Permian JV’s investment in OMOG to fair value resulted in a gain of $29 million. This gain has been recognized in the line item “Gain on investments in unconsolidated entities, net” on our Consolidated Statement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determination of the fair value of the assets and liabilities assumed was estimated in accordance with applicable accounting guidance. The analysis was performed based on estimates that are reflective of market participant assumptions. While the purchase price for the transaction was $294 million, all of the OMOG assets and liabilities were remeasured to fair value and therefore, the fair value of the assets and liabilities that are now consolidated on the balance sheet as a result of this transaction is $532 million. The following table reflects our determination of the fair value of the assets acquired and liabilities assumed in connection with the transaction (in millions):</w:t>
      </w:r>
    </w:p>
    <w:p>
      <w:pPr>
        <w:pStyle w:val="TextBody"/>
        <w:bidi w:val="0"/>
        <w:spacing w:before="0" w:after="0"/>
        <w:ind w:left="0" w:right="0" w:firstLine="720"/>
        <w:jc w:val="left"/>
        <w:rPr/>
      </w:pPr>
      <w:r>
        <w:rPr/>
      </w:r>
    </w:p>
    <w:tbl>
      <w:tblPr>
        <w:tblW w:w="7973" w:type="dxa"/>
        <w:jc w:val="left"/>
        <w:tblInd w:w="0" w:type="dxa"/>
        <w:tblLayout w:type="fixed"/>
        <w:tblCellMar>
          <w:top w:w="28" w:type="dxa"/>
          <w:left w:w="28" w:type="dxa"/>
          <w:bottom w:w="28" w:type="dxa"/>
          <w:right w:w="28" w:type="dxa"/>
        </w:tblCellMar>
      </w:tblPr>
      <w:tblGrid>
        <w:gridCol w:w="1421"/>
        <w:gridCol w:w="1250"/>
        <w:gridCol w:w="1259"/>
        <w:gridCol w:w="109"/>
        <w:gridCol w:w="109"/>
        <w:gridCol w:w="109"/>
        <w:gridCol w:w="594"/>
        <w:gridCol w:w="594"/>
        <w:gridCol w:w="596"/>
        <w:gridCol w:w="109"/>
        <w:gridCol w:w="109"/>
        <w:gridCol w:w="109"/>
        <w:gridCol w:w="406"/>
        <w:gridCol w:w="900"/>
        <w:gridCol w:w="299"/>
      </w:tblGrid>
      <w:tr>
        <w:trPr/>
        <w:tc>
          <w:tcPr>
            <w:tcW w:w="142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Identifiable Assets Acquired and Liabilities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Useful Lives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Recognized Amount</w:t>
            </w:r>
          </w:p>
        </w:tc>
      </w:tr>
      <w:tr>
        <w:trPr/>
        <w:tc>
          <w:tcPr>
            <w:tcW w:w="3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and other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the tangible assets is a Level 3 measurement in the fair value hierarchy and was determined using the cost approach based on costs incurred on similar recent construction projects. The fair value of the intangible assets is also a Level 3 measurement in the fair value hierarchy and was determined by applying a discounted cash flow approach. Such approach utilized discount rates varying from approximately 21% to 23%, based on our estimate of the risk that a theoretical market participant would assign to the respective intangible assets.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intangible assets is comprised of customer relationships that will be amortized over their useful lives, which have a remaining weighted average life of approximately 10 years. The value assigned to such intangible assets will be amortized to earnings under the declining balance method of amortization. Amortization expense was approximately $10 million, $8 million and $4 million during the years ended December 31, 2025, 2024 and 2023, respectively, and the future amortization expense through 2028 is estimated as follows (in millions):</w:t>
      </w:r>
    </w:p>
    <w:p>
      <w:pPr>
        <w:pStyle w:val="TextBody"/>
        <w:bidi w:val="0"/>
        <w:spacing w:before="0" w:after="0"/>
        <w:ind w:left="0" w:right="0" w:firstLine="720"/>
        <w:jc w:val="left"/>
        <w:rPr/>
      </w:pPr>
      <w:r>
        <w:rPr/>
      </w:r>
    </w:p>
    <w:tbl>
      <w:tblPr>
        <w:tblW w:w="2143"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109"/>
        <w:gridCol w:w="109"/>
        <w:gridCol w:w="109"/>
        <w:gridCol w:w="109"/>
        <w:gridCol w:w="109"/>
        <w:gridCol w:w="109"/>
        <w:gridCol w:w="211"/>
        <w:gridCol w:w="256"/>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 forma financial information assuming the acquisition had occurred as of the beginning of the calendar year prior to the year of the acquisition, as well as the revenues and earnings generated during the period since the acquisition date, were not material for disclosure purposes.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Acquisitions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completed the following additional acquisitions: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acquisition in July 2025 of an additional 20% interest in BridgeTex Pipeline Company, LLC (“BridgeTex”) for approximately $180 million, increasing our ownership interest from 20% to 40%. See Note 9 for additional information about our investments in unconsolidated entities.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acquisition during the second quarter of 2025 of Black Knight Midstream, LLC (“Black Knight Midstream”), which owns a crude oil gathering business in the Permian Basin, for $59 million (approximately $38 million net to our 65% interest in the Permian JV), subject to certain adjustments. The Black Knight Midstream assets are accounted for in our Crude Oil segment.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acquisition in February 2025, through a non-monetary transaction, of the remaining 50% interest in Cheyenne Pipeline LLC (“Cheyenne”) in exchange for the termination of certain obligations. As a result of this transaction, we now own 100% of Cheyenne and reflect such entity as a consolidated subsidiary in our Consolidated Financial Statements within our Crude Oil segment. The transaction resulted in a net gain of approximately $31 million, which represents the difference between the fair value of the entity and the historical book value of our investment. This gain is reflected in “Gain on investments in unconsolidated entities, net” on our Consolidated Statement of Operations.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acquisition in January 2025 of EMG Medallion 2 Holdings, LLC and its subsidiaries, which own a crude oil gathering and transportation business in the Delaware Basin, for $163 million (approximately $106 million net to our 65% interest in the Permian JV), subject to certain adjustments. A cash deposit of approximately $16 million was paid upon signing in December 2024. EMG Medallion 2 Holdings was a portfolio company of The Energy &amp; Minerals Group (“EMG”), which is associated with a member of the board of directors of our general partner.</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we also completed the following acquisitions: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acquisition in December 2024 of the remaining 50% interest in Midway Pipeline LLC (“Midway”) for approximately $90 million. As a result of this transaction, we now own 100% of Midway and reflect such entity as a consolidated subsidiary in our Consolidated Financial Statements. The remeasurement of our previously-held investment in Midway to fair value resulted in a gain of approximately $15 million. This gain is reflected in “Gain on investments in unconsolidated entities, net” on our Consolidated Statement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acquisition of additional interests in certain unconsolidated entities, including (i) the acquisition in August 2024 of an additional approximate 0.67% interest in Wink to Webster Pipeline LLC (increasing our ownership interest from 16% to 17%) for $20 million and (ii) the acquisition in March 2024 of an additional 10% interest in Saddlehorn Pipeline Company, LLC (increasing our ownership interest from 30% to 40%) for $91 million. See Note 9 for additional information about our investments in unconsolidated entities.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acquisition in the second and third quarters of 2024 of pipeline and terminal assets within our asset footprint for approximately $32 million.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2023, we acquired a crude oil gathering system in the Northern Delaware Basin from a subsidiary of LM Energy Partners for approximately $135 million (approximately $88 million net to our 65% interest in the Permian JV), subject to certain adjustments. This transaction was accounted for as an asset acquisition since substantially all of the value of the assets acquired was concentrated in a single asset.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Divestitures</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received cash proceeds of $81 million, primarily from the sale of non-core assets, which were previously included in our Crude Oil segment. We recognized gains of approximately $44 million related to these asset sales, which is included in “(Gains)/losses on asset sales, asset impairments and other, net” on our Consolidated Statement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2023, we sold our 21% non-operated/undivided joint interest in the Keyera Fort Saskatchewan facility to Keyera Corporation for approximately $270 million. As of December 31, 2022, we classified the assets related to this transaction (primarily “Property and equipment” in our NGL segment), valued at the lower of the carrying amount or fair value less costs to sell, of approximately $130 million as assets held for sale on our Consolidated Balance Sheet (in “Other current assets”). At the time of this transaction, we concluded that this disposition did not meet the criteria for discontinued operations. Upon the sale of this facility, we recognized a gain of approximately $140 million which is included in “(Gains)/losses on asset sales, asset impairments and other, net” on our Consolidated Statement of Operations.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9—Investments in Unconsolidated Entities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investments in unconsolidated entities consisted of the following (in millions, except percentage data):</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263"/>
        <w:gridCol w:w="1019"/>
        <w:gridCol w:w="1036"/>
        <w:gridCol w:w="109"/>
        <w:gridCol w:w="109"/>
        <w:gridCol w:w="109"/>
        <w:gridCol w:w="709"/>
        <w:gridCol w:w="709"/>
        <w:gridCol w:w="711"/>
        <w:gridCol w:w="109"/>
        <w:gridCol w:w="109"/>
        <w:gridCol w:w="109"/>
        <w:gridCol w:w="509"/>
        <w:gridCol w:w="509"/>
        <w:gridCol w:w="511"/>
        <w:gridCol w:w="109"/>
        <w:gridCol w:w="109"/>
        <w:gridCol w:w="109"/>
        <w:gridCol w:w="211"/>
        <w:gridCol w:w="616"/>
        <w:gridCol w:w="109"/>
        <w:gridCol w:w="109"/>
        <w:gridCol w:w="109"/>
        <w:gridCol w:w="109"/>
        <w:gridCol w:w="211"/>
        <w:gridCol w:w="616"/>
        <w:gridCol w:w="158"/>
      </w:tblGrid>
      <w:tr>
        <w:trPr/>
        <w:tc>
          <w:tcPr>
            <w:tcW w:w="126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Ownership</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Interest at December 31,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Balance</w:t>
              <w:br/>
              <w:t>December 31,</w:t>
            </w:r>
          </w:p>
        </w:tc>
      </w:tr>
      <w:tr>
        <w:trPr/>
        <w:tc>
          <w:tcPr>
            <w:tcW w:w="3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31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Entity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Type of Operation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BridgeTex Pipeline Company, LLC (“BridgeTex”)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Capline Pipeline Company LLC (“Capline”)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Diamond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Eagle Ford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Eagle Ford Terminals Corpus Christi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Crude Oil Terminal and Dock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Saddlehorn Pipeline Company, LLC (“Saddlehorn”)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White Cliffs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Wink to Webster Pipeline LLC (“W2W Pipeline”)</w:t>
            </w:r>
            <w:r>
              <w:rPr>
                <w:color w:val="000000"/>
              </w:rPr>
              <w:t xml:space="preserv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in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The financial results from these entities are reported in our Crude Oil segment.</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Although we own more than 50% of Capline, we use the equity method to account for the investment because the other joint venture members still retain substantive participating rights.</w:t>
      </w:r>
    </w:p>
    <w:p>
      <w:pPr>
        <w:pStyle w:val="TextBody"/>
        <w:bidi w:val="0"/>
        <w:spacing w:lineRule="auto" w:line="288" w:before="120" w:after="283"/>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Although we own less than 20% of W2W Pipeline, we use the equity method to account for the investment because we believe we have significant influence over the financial and operating decisions of the company.</w:t>
      </w:r>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Acquisitions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2025, we acquired the remaining 50% interest in Cheyenne (which was previously presented in “Other investments” in the table above). Prior to our acquisition, our 50% interest in Cheyenne was accounted for as an equity method investment. In addition, during 2025, we acquired an additional interest in BridgeTex, which we continue to account for as an equity method investment. See Note 8 for additional information regarding these transactions.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2024, we acquired the remaining 50% interest in Midway (which was previously presented in “Other investments” in the table above). Prior to our acquisition, our 50% interest in Midway was accounted for as an equity method investment. In addition, during 2024, we acquired additional interests in W2W Pipeline and Saddlehorn, which we continue to account for as equity method investments. See Note 8 for additional information regarding these transactions.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third quarter of 2023, we acquired the remaining 43% interest in OMOG. We now reflect OMOG and its subsidiaries as consolidated subsidiaries in our Consolidated Financial Statements. See “Rattler Permian Transaction” in Note 8 for additional information.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Distributions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Contributions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generally fund our portion of development, construction or capital investment projects of our equity method investees through capital contributions. During the years ended December 31, 2025, 2024 and 2023, we made cash contributions of $2 million, $4 million and $29 million, respectively, to certain of our equity method investees. We capitalize interest costs associated with contributions to unconsolidated entities for projects under development and construction. Our contributions to these entities (including capitalized interest costs) increase the carrying value of our investments and are reflected in our Consolidated Statements of Cash Flows as cash used in 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Differences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investments in unconsolidated entities exceeded our share of the underlying equity in the net assets of such entities by $237 million and $213 million at December 31, 2025 and 2024,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majority of the basis difference at both December 31, 2025 and 2024 was attributable to goodwill related to our ownership interest in BridgeTex with the remaining basis difference primarily related to capitalized interest incurred during construction of the assets of our unconsolidated entities.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Summarized Financial Information of Unconsolidated Entities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Combined summarized financial information for all of our unconsolidated entities is shown in the tables below (in millions). None of our unconsolidated entities have noncontrolling interests.</w:t>
      </w:r>
    </w:p>
    <w:p>
      <w:pPr>
        <w:pStyle w:val="TextBody"/>
        <w:bidi w:val="0"/>
        <w:spacing w:before="0" w:after="0"/>
        <w:ind w:left="0" w:right="0" w:firstLine="720"/>
        <w:jc w:val="left"/>
        <w:rPr/>
      </w:pPr>
      <w:r>
        <w:rPr/>
      </w:r>
    </w:p>
    <w:tbl>
      <w:tblPr>
        <w:tblW w:w="4103" w:type="dxa"/>
        <w:jc w:val="center"/>
        <w:tblInd w:w="0" w:type="dxa"/>
        <w:tblLayout w:type="fixed"/>
        <w:tblCellMar>
          <w:top w:w="28" w:type="dxa"/>
          <w:left w:w="28" w:type="dxa"/>
          <w:bottom w:w="28" w:type="dxa"/>
          <w:right w:w="28" w:type="dxa"/>
        </w:tblCellMar>
      </w:tblPr>
      <w:tblGrid>
        <w:gridCol w:w="672"/>
        <w:gridCol w:w="591"/>
        <w:gridCol w:w="596"/>
        <w:gridCol w:w="211"/>
        <w:gridCol w:w="616"/>
        <w:gridCol w:w="109"/>
        <w:gridCol w:w="109"/>
        <w:gridCol w:w="109"/>
        <w:gridCol w:w="109"/>
        <w:gridCol w:w="211"/>
        <w:gridCol w:w="616"/>
        <w:gridCol w:w="154"/>
      </w:tblGrid>
      <w:tr>
        <w:trPr/>
        <w:tc>
          <w:tcPr>
            <w:tcW w:w="6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082" w:type="dxa"/>
        <w:jc w:val="center"/>
        <w:tblInd w:w="0" w:type="dxa"/>
        <w:tblLayout w:type="fixed"/>
        <w:tblCellMar>
          <w:top w:w="28" w:type="dxa"/>
          <w:left w:w="28" w:type="dxa"/>
          <w:bottom w:w="28" w:type="dxa"/>
          <w:right w:w="28" w:type="dxa"/>
        </w:tblCellMar>
      </w:tblPr>
      <w:tblGrid>
        <w:gridCol w:w="570"/>
        <w:gridCol w:w="499"/>
        <w:gridCol w:w="506"/>
        <w:gridCol w:w="211"/>
        <w:gridCol w:w="616"/>
        <w:gridCol w:w="109"/>
        <w:gridCol w:w="109"/>
        <w:gridCol w:w="109"/>
        <w:gridCol w:w="109"/>
        <w:gridCol w:w="211"/>
        <w:gridCol w:w="616"/>
        <w:gridCol w:w="109"/>
        <w:gridCol w:w="109"/>
        <w:gridCol w:w="109"/>
        <w:gridCol w:w="109"/>
        <w:gridCol w:w="211"/>
        <w:gridCol w:w="616"/>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10—Intangible Assets, Net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net of accumulated amortization, consisted of the following (in millions):</w:t>
      </w:r>
    </w:p>
    <w:p>
      <w:pPr>
        <w:pStyle w:val="TextBody"/>
        <w:bidi w:val="0"/>
        <w:spacing w:before="0" w:after="0"/>
        <w:ind w:left="0" w:right="0" w:firstLine="720"/>
        <w:jc w:val="left"/>
        <w:rPr/>
      </w:pPr>
      <w:r>
        <w:rPr/>
      </w:r>
    </w:p>
    <w:tbl>
      <w:tblPr>
        <w:tblW w:w="10270" w:type="dxa"/>
        <w:jc w:val="center"/>
        <w:tblInd w:w="0" w:type="dxa"/>
        <w:tblLayout w:type="fixed"/>
        <w:tblCellMar>
          <w:top w:w="28" w:type="dxa"/>
          <w:left w:w="28" w:type="dxa"/>
          <w:bottom w:w="28" w:type="dxa"/>
          <w:right w:w="28" w:type="dxa"/>
        </w:tblCellMar>
      </w:tblPr>
      <w:tblGrid>
        <w:gridCol w:w="404"/>
        <w:gridCol w:w="315"/>
        <w:gridCol w:w="317"/>
        <w:gridCol w:w="440"/>
        <w:gridCol w:w="440"/>
        <w:gridCol w:w="441"/>
        <w:gridCol w:w="109"/>
        <w:gridCol w:w="109"/>
        <w:gridCol w:w="109"/>
        <w:gridCol w:w="211"/>
        <w:gridCol w:w="616"/>
        <w:gridCol w:w="109"/>
        <w:gridCol w:w="109"/>
        <w:gridCol w:w="109"/>
        <w:gridCol w:w="109"/>
        <w:gridCol w:w="239"/>
        <w:gridCol w:w="717"/>
        <w:gridCol w:w="125"/>
        <w:gridCol w:w="109"/>
        <w:gridCol w:w="109"/>
        <w:gridCol w:w="109"/>
        <w:gridCol w:w="211"/>
        <w:gridCol w:w="616"/>
        <w:gridCol w:w="109"/>
        <w:gridCol w:w="109"/>
        <w:gridCol w:w="109"/>
        <w:gridCol w:w="109"/>
        <w:gridCol w:w="211"/>
        <w:gridCol w:w="616"/>
        <w:gridCol w:w="109"/>
        <w:gridCol w:w="109"/>
        <w:gridCol w:w="109"/>
        <w:gridCol w:w="109"/>
        <w:gridCol w:w="239"/>
        <w:gridCol w:w="717"/>
        <w:gridCol w:w="125"/>
        <w:gridCol w:w="109"/>
        <w:gridCol w:w="109"/>
        <w:gridCol w:w="109"/>
        <w:gridCol w:w="211"/>
        <w:gridCol w:w="616"/>
        <w:gridCol w:w="154"/>
      </w:tblGrid>
      <w:tr>
        <w:trPr/>
        <w:tc>
          <w:tcPr>
            <w:tcW w:w="40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Useful</w:t>
              <w:br/>
              <w:t>Lives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Customer contracts and relationships</w:t>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 –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agreements</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 – 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Intangible assets </w:t>
            </w:r>
            <w:r>
              <w:rPr>
                <w:rFonts w:ascii="Times New Roman;serif" w:hAnsi="Times New Roman;serif"/>
                <w:b w:val="false"/>
                <w:color w:val="000000"/>
                <w:sz w:val="13"/>
              </w:rPr>
              <w:t>(1) (2)</w:t>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We include rights-of-way, which are intangible assets, within property and equipment. See Note 7 for a discussion of property and equipment.</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The increase in intangible assets in 2025 is associated with the assets acquired during the period. See Note 8 for additional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that have finite lives are tested for impairment when events or circumstances indicate that the carrying value may not be recoverable. We did not recognize any impairments of finite-lived intangible assets during the three years ended December 31,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majority of our finite-lived intangible assets are amortized under the declining balance method. Amortization expense for finite-lived intangible assets for the years ended December 31, 2025, 2024 and 2023 was $280 million, $262 million and $291 million, respectively. We estimate that our amortization expense related to finite-lived intangible assets for the next five years will be as follows (in millions):</w:t>
      </w:r>
    </w:p>
    <w:p>
      <w:pPr>
        <w:pStyle w:val="TextBody"/>
        <w:bidi w:val="0"/>
        <w:spacing w:before="0" w:after="0"/>
        <w:ind w:left="0" w:right="0" w:firstLine="720"/>
        <w:jc w:val="left"/>
        <w:rPr/>
      </w:pPr>
      <w:r>
        <w:rPr/>
      </w:r>
    </w:p>
    <w:tbl>
      <w:tblPr>
        <w:tblW w:w="1372" w:type="dxa"/>
        <w:jc w:val="center"/>
        <w:tblInd w:w="0" w:type="dxa"/>
        <w:tblLayout w:type="fixed"/>
        <w:tblCellMar>
          <w:top w:w="28" w:type="dxa"/>
          <w:left w:w="28" w:type="dxa"/>
          <w:bottom w:w="28" w:type="dxa"/>
          <w:right w:w="28" w:type="dxa"/>
        </w:tblCellMar>
      </w:tblPr>
      <w:tblGrid>
        <w:gridCol w:w="196"/>
        <w:gridCol w:w="172"/>
        <w:gridCol w:w="173"/>
        <w:gridCol w:w="211"/>
        <w:gridCol w:w="466"/>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11—Debt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Debt consisted of the following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777"/>
        <w:gridCol w:w="2443"/>
        <w:gridCol w:w="2448"/>
        <w:gridCol w:w="220"/>
        <w:gridCol w:w="754"/>
        <w:gridCol w:w="113"/>
        <w:gridCol w:w="109"/>
        <w:gridCol w:w="109"/>
        <w:gridCol w:w="109"/>
        <w:gridCol w:w="240"/>
        <w:gridCol w:w="703"/>
        <w:gridCol w:w="180"/>
      </w:tblGrid>
      <w:tr>
        <w:trPr/>
        <w:tc>
          <w:tcPr>
            <w:tcW w:w="2777"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DEBT</w:t>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PAA commercial paper notes, bearing a weighted-average interest rate of 3.9% and 4.6%, respectively </w:t>
            </w:r>
            <w:r>
              <w:rPr>
                <w:rFonts w:ascii="Times New Roman;serif" w:hAnsi="Times New Roman;serif"/>
                <w:b w:val="false"/>
                <w:color w:val="000000"/>
                <w:sz w:val="13"/>
              </w:rPr>
              <w:t>(1)</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debt</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PAA senior notes:</w:t>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4.65% senior notes due October 2025 </w:t>
            </w:r>
            <w:r>
              <w:rPr>
                <w:rFonts w:ascii="Times New Roman;serif" w:hAnsi="Times New Roman;serif"/>
                <w:b w:val="false"/>
                <w:color w:val="000000"/>
                <w:sz w:val="13"/>
              </w:rPr>
              <w:t>(2)</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4.50% senior notes due December 2026 </w:t>
            </w:r>
            <w:r>
              <w:rPr>
                <w:rFonts w:ascii="Times New Roman;serif" w:hAnsi="Times New Roman;serif"/>
                <w:b w:val="false"/>
                <w:color w:val="000000"/>
                <w:sz w:val="13"/>
              </w:rPr>
              <w:t>(3)</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3.55% senior notes due December 2029</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3.80% senior notes due September 2030</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4.70% senior notes due January 2031</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5.70% senior notes due September 2034</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5.95% senior notes due June 2035</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5.60% senior notes due January 2036</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6.70% senior notes due May 2036</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6.65% senior notes due January 2037</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5.15% senior notes due June 2042</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4.30% senior notes due January 2043 </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4.70% senior notes due June 2044</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4.90% senior notes due February 2045</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discounts and debt issuance costs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PAA senior notes, net of unamortized discounts and debt issuance costs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debt:</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PAA commercial paper notes, bearing a weighted-average interest rate of 3.9% </w:t>
            </w:r>
            <w:r>
              <w:rPr>
                <w:rFonts w:ascii="Times New Roman;serif" w:hAnsi="Times New Roman;serif"/>
                <w:b w:val="false"/>
                <w:color w:val="000000"/>
                <w:sz w:val="13"/>
              </w:rPr>
              <w:t>(3)</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PAA term loan, net of debt issuance costs of $1, bearing a weighted-average interest rate of 5.0%</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debt </w:t>
            </w:r>
            <w:r>
              <w:rPr>
                <w:rFonts w:ascii="Times New Roman;serif" w:hAnsi="Times New Roman;serif"/>
                <w:b w:val="false"/>
                <w:color w:val="000000"/>
                <w:sz w:val="13"/>
              </w:rPr>
              <w:t>(4)</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7,618 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PAA classified these commercial paper notes as short-term as of December 31, 2025 and 2024, as these notes were primarily designated as working capital borrowings, were required to be repaid within one year and were primarily for hedged NGL and crude oil inventory and NYMEX and ICE margin deposits.</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As of December 31, 2024, PAA classified its $1.0 billion, 4.65% senior notes due October 2025 as long-term based on its ability and intent to refinance these notes on a long-term basis at that time. PAA redeemed these senior notes on October 3, 2025.</w:t>
      </w:r>
    </w:p>
    <w:p>
      <w:pPr>
        <w:pStyle w:val="TextBody"/>
        <w:bidi w:val="0"/>
        <w:spacing w:lineRule="auto" w:line="288" w:before="120" w:after="283"/>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As of December 31, 2025, PAA classified its $750 million, 4.50% senior notes due December 2026 as long-term based on its ability and intent to refinance the notes on a long-term basis.</w:t>
      </w:r>
    </w:p>
    <w:p>
      <w:pPr>
        <w:pStyle w:val="TextBody"/>
        <w:bidi w:val="0"/>
        <w:spacing w:lineRule="auto" w:line="288" w:before="120" w:after="283"/>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As of December 31, 2025, we classified a portion of our commercial paper notes as long-term based on our ability and intent to refinance such amounts on a long-term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120" w:after="283"/>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PAA’s fixed-rate senior notes had a face value of approximately $9.2 billion and $7.2 billion as of December 31, 2025 and 2024, respectively. We estimated the aggregate fair value of these notes as of December 31, 2025 and 2024 to be approximately $9.0 billion and $6.7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commercial paper program and term loan approximate fair value as interest rates reflect current market rates. The fair value estimates for the PAA senior notes, commercial paper program and term loan are based upon observable market data and are classified in Level 2 of the fair value hierarchy.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PAA Commercial Paper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 has a commercial paper program under which it may issue (and have outstanding at any time) up to $2.7 billion in the aggregate of privately placed, unsecured commercial paper notes. Such notes are backstopped by the PAA senior unsecured revolving credit facility and the PAA senior secured hedged inventory facility; as such, any borrowings under the PAA commercial paper program reduce the available capacity under these facilities.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Credit Agreements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PAA senior secured hedged inventory facility</w:t>
      </w:r>
      <w:r>
        <w:rPr>
          <w:rFonts w:ascii="Times New Roman;serif" w:hAnsi="Times New Roman;serif"/>
          <w:b w:val="false"/>
          <w:color w:val="000000"/>
          <w:sz w:val="20"/>
        </w:rPr>
        <w:t>. PAA has a credit agreement that provides for a senior secured hedged inventory facility with a committed borrowing capacity of $1.35 billion. Subject to obtaining additional or increased lender commitments and other terms and conditions, the committed capacity of the facility may be increased to $1.9 billion. The credit agreement provides for the issuance of letters of credit of up to $400 million.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certain floating rate indices as defined in the credit agreement, in each case plus a margin based on our credit rating at the applicable time. The amended credit agreement also provides for one or more one-year extensions, subject to applicable approval and other terms and conditions. The maturity date of the facility is August 2027 with respect to all extending lenders under the facility, except for a non-extending lender (which represents a commitment of approximately $64 million out of total commitments of $1.35 billion from all lenders), which has a maturity date of August 2026.</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PAA senior unsecured revolving credit facility.</w:t>
      </w:r>
      <w:r>
        <w:rPr>
          <w:color w:val="000000"/>
        </w:rPr>
        <w:t xml:space="preserve"> </w:t>
      </w:r>
      <w:r>
        <w:rPr>
          <w:rFonts w:ascii="Times New Roman;serif" w:hAnsi="Times New Roman;serif"/>
          <w:b w:val="false"/>
          <w:color w:val="000000"/>
          <w:sz w:val="20"/>
        </w:rPr>
        <w:t>PAA has a credit agreement that provides for a senior unsecured revolving credit facility with a committed borrowing capacity of $1.35 billion, of which $400 million is available for the issuance of letters of credit. Subject to obtaining additional or increased lender commitments and other terms and conditions, the committed capacity may be increased to $2.1 billion. Borrowings accrue interest based, at our election, on certain floating rate indices as defined in the credit agreement, in each case plus a margin based on our credit rating at the applicable time. The credit agreement provides for one or more one-year extensions, subject to applicable approval and other terms and conditions. The maturity date of the facility is August 2029 with respect to all extending lenders under the facility, except for a non-extending lender (which represents a commitment of approximately $64 million out of total commitments of $1.35 billion from all lenders), which has a maturity date of August 2027.</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EPIC credit agreement</w:t>
      </w:r>
      <w:r>
        <w:rPr>
          <w:rFonts w:ascii="Times New Roman;serif" w:hAnsi="Times New Roman;serif"/>
          <w:b w:val="false"/>
          <w:color w:val="000000"/>
          <w:sz w:val="20"/>
        </w:rPr>
        <w:t>. In connection with the EPIC Acquisition, completed on November 1, 2025, PAA assumed the EPIC credit agreement, which provided for a $1.2 billion term loan and a $125 million revolving credit facility. Borrowings under the EPIC credit agreement accrued interest based, at our election, on certain floating rate indices as defined in the EPIC credit agreement, in each case, plus an applicable margin. On December 1, 2025, PAA terminated the EPIC credit agreement and repaid the $1.1 billion of borrowings outstanding under the EPIC term loan.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Term Loan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26, 2025, PAA entered into a term loan agreement that provides for a $1.1 billion senior unsecured term loan, which was funded on December 1, 2025. The term loan will mature in November 2027. PAA may at any time prepay amounts outstanding under the term loan agreement, in whole or in part, without premium or penalty. The closing of the Canadian NGL Business divestiture will trigger mandatory prepayment of all amounts outstanding under the term loan agreement within seven business days of the closing of such divestiture. Borrowings accrue interest based, at its election, on either Term SOFR or the Base Rate, in each case, plus an applicable rate. From the closing date to (but excluding) the first anniversary of the closing date, the applicable rate is 1.125% for Term SOFR Loans and 0.125% for Base Rate Loans; on and after the first anniversary, the applicable rate increases to 1.250% for Term SOFR Loans and 0.250% for Base Rate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45"/>
        <w:jc w:val="left"/>
        <w:rPr>
          <w:rFonts w:ascii="Times New Roman;serif" w:hAnsi="Times New Roman;serif"/>
          <w:b/>
          <w:i/>
          <w:color w:val="000000"/>
          <w:sz w:val="20"/>
        </w:rPr>
      </w:pPr>
      <w:r>
        <w:rPr>
          <w:rFonts w:ascii="Times New Roman;serif" w:hAnsi="Times New Roman;serif"/>
          <w:b/>
          <w:i/>
          <w:color w:val="000000"/>
          <w:sz w:val="20"/>
        </w:rPr>
        <w:t>PAA Senior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PAA may, at its option, redeem any series of senior notes at any time in whole or from time to time in part, prior to maturity, at the redemption prices described in the indentures governing the senior notes. PAA’s senior notes are not guaranteed by any of its subsidiaries.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PAA Senior Notes Issuances. </w:t>
      </w:r>
      <w:r>
        <w:rPr>
          <w:rFonts w:ascii="Times New Roman;serif" w:hAnsi="Times New Roman;serif"/>
          <w:b w:val="false"/>
          <w:color w:val="000000"/>
          <w:sz w:val="20"/>
        </w:rPr>
        <w:t>The table below summarizes PAA’s issuances of senior unsecured notes during the three years ended December 31, 2025 (face value in millions):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32"/>
        <w:gridCol w:w="450"/>
        <w:gridCol w:w="409"/>
        <w:gridCol w:w="109"/>
        <w:gridCol w:w="109"/>
        <w:gridCol w:w="109"/>
        <w:gridCol w:w="953"/>
        <w:gridCol w:w="947"/>
        <w:gridCol w:w="950"/>
        <w:gridCol w:w="109"/>
        <w:gridCol w:w="109"/>
        <w:gridCol w:w="109"/>
        <w:gridCol w:w="440"/>
        <w:gridCol w:w="399"/>
        <w:gridCol w:w="378"/>
        <w:gridCol w:w="109"/>
        <w:gridCol w:w="109"/>
        <w:gridCol w:w="109"/>
        <w:gridCol w:w="211"/>
        <w:gridCol w:w="616"/>
        <w:gridCol w:w="109"/>
        <w:gridCol w:w="109"/>
        <w:gridCol w:w="109"/>
        <w:gridCol w:w="109"/>
        <w:gridCol w:w="708"/>
        <w:gridCol w:w="708"/>
        <w:gridCol w:w="709"/>
        <w:gridCol w:w="109"/>
        <w:gridCol w:w="109"/>
        <w:gridCol w:w="160"/>
      </w:tblGrid>
      <w:tr>
        <w:trPr/>
        <w:tc>
          <w:tcPr>
            <w:tcW w:w="53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Payment Dates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4.70% senior notes issued at 99.872% of face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15 and July 15</w:t>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5.60% senior notes issued at 100.518% of face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15 and July 15</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4.70% senior notes issued at 99.865% of face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15 and July 15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5.60% senior notes issued at 99.798% of face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15 and July 15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5.95% senior notes issued at 99.761% of face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15 and December 15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5.70% senior notes issued at 99.953% of face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15 and September 15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Additional issuance of PAA 4.70% senior notes due 2031 that were issued on September 8, 2025, and trade interchangeably with such notes.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Additional issuance of PAA 5.60% senior notes due 2036 that were issued on September 8, 2025 and trade interchangeably with such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PAA Senior Notes Repayments.</w:t>
      </w:r>
      <w:r>
        <w:rPr>
          <w:color w:val="000000"/>
        </w:rPr>
        <w:t> </w:t>
      </w:r>
      <w:r>
        <w:rPr>
          <w:rFonts w:ascii="Times New Roman;serif" w:hAnsi="Times New Roman;serif"/>
          <w:b w:val="false"/>
          <w:color w:val="000000"/>
          <w:sz w:val="20"/>
        </w:rPr>
        <w:t xml:space="preserve">During the three years ended December 31, 2025, PAA repaid the following senior unsecured notes in full: </w:t>
      </w:r>
    </w:p>
    <w:p>
      <w:pPr>
        <w:pStyle w:val="TextBody"/>
        <w:bidi w:val="0"/>
        <w:spacing w:before="0" w:after="0"/>
        <w:jc w:val="left"/>
        <w:rPr/>
      </w:pPr>
      <w:r>
        <w:rPr/>
      </w:r>
    </w:p>
    <w:tbl>
      <w:tblPr>
        <w:tblW w:w="7292" w:type="dxa"/>
        <w:jc w:val="center"/>
        <w:tblInd w:w="0" w:type="dxa"/>
        <w:tblLayout w:type="fixed"/>
        <w:tblCellMar>
          <w:top w:w="28" w:type="dxa"/>
          <w:left w:w="28" w:type="dxa"/>
          <w:bottom w:w="28" w:type="dxa"/>
          <w:right w:w="28" w:type="dxa"/>
        </w:tblCellMar>
      </w:tblPr>
      <w:tblGrid>
        <w:gridCol w:w="585"/>
        <w:gridCol w:w="516"/>
        <w:gridCol w:w="518"/>
        <w:gridCol w:w="109"/>
        <w:gridCol w:w="109"/>
        <w:gridCol w:w="109"/>
        <w:gridCol w:w="969"/>
        <w:gridCol w:w="969"/>
        <w:gridCol w:w="972"/>
        <w:gridCol w:w="109"/>
        <w:gridCol w:w="109"/>
        <w:gridCol w:w="109"/>
        <w:gridCol w:w="469"/>
        <w:gridCol w:w="469"/>
        <w:gridCol w:w="472"/>
        <w:gridCol w:w="109"/>
        <w:gridCol w:w="109"/>
        <w:gridCol w:w="109"/>
        <w:gridCol w:w="109"/>
        <w:gridCol w:w="109"/>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Maturity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$1,000 million 4.65%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October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$750 million 3.60%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PAA repaid these senior notes with a combination of proceeds from PAA senior notes issued in September 2025, cash on hand and borrowings under its commercial paper program.</w:t>
      </w:r>
    </w:p>
    <w:p>
      <w:pPr>
        <w:pStyle w:val="TextBody"/>
        <w:bidi w:val="0"/>
        <w:spacing w:lineRule="auto" w:line="288" w:before="6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PAA repaid these senior notes with a combination of proceeds from PAA senior notes issued in June 2024, cash on hand and borrowings under its commercial paper program.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Maturities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weighted average maturity of PAA’s senior notes outstanding at December 31, 2025 was approximately 10 years. The following table presents the aggregate contractually scheduled maturities of such senior notes for the next five years and thereafter. The amounts presented exclude unamortized discounts and debt issuance costs.</w:t>
      </w:r>
    </w:p>
    <w:p>
      <w:pPr>
        <w:pStyle w:val="TextBody"/>
        <w:bidi w:val="0"/>
        <w:spacing w:before="0" w:after="0"/>
        <w:ind w:left="0" w:right="0" w:firstLine="720"/>
        <w:jc w:val="left"/>
        <w:rPr/>
      </w:pPr>
      <w:r>
        <w:rPr/>
      </w:r>
    </w:p>
    <w:tbl>
      <w:tblPr>
        <w:tblW w:w="2532" w:type="dxa"/>
        <w:jc w:val="center"/>
        <w:tblInd w:w="0" w:type="dxa"/>
        <w:tblLayout w:type="fixed"/>
        <w:tblCellMar>
          <w:top w:w="28" w:type="dxa"/>
          <w:left w:w="28" w:type="dxa"/>
          <w:bottom w:w="28" w:type="dxa"/>
          <w:right w:w="28" w:type="dxa"/>
        </w:tblCellMar>
      </w:tblPr>
      <w:tblGrid>
        <w:gridCol w:w="435"/>
        <w:gridCol w:w="382"/>
        <w:gridCol w:w="384"/>
        <w:gridCol w:w="109"/>
        <w:gridCol w:w="109"/>
        <w:gridCol w:w="109"/>
        <w:gridCol w:w="216"/>
        <w:gridCol w:w="631"/>
        <w:gridCol w:w="157"/>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Calendar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Payment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Covenants and Compliance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agreements for PAA’s revolving credit facilities (which impact the ability to access the PAA commercial paper program because they provide the financial backstop that supports PAA’s short-term credit ratings), the term loan agreement and the indentures governing PAA’s senior notes contain cross-default provisions. PAA’s credit agreements prohibit declaration or payments of distributions on, or purchases or redemptions of, units if any default or event of default is continuing. In addition, PAA’s agreements contain various covenants limiting PAA’s ability to, among other things: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grant liens on certain property;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incur indebtedness, including finance leases;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sell substantially all of its assets or enter into a merger or consolidation;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engage in certain transactions with affiliates;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enter into certain burdensome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agreements for the PAA senior unsecured revolving credit facility and senior secured hedged inventory facility and the term loan agreement treat a change of control as an event of default and also require PAA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default under PAA’s credit agreements, term loan agreement or indentures would permit the lenders to accelerate the maturity of the outstanding debt. As long as PAA is in compliance with the provisions contained in its credit agreements and term loan agreement, PAA’s ability to make distributions of available cash is not restricted. As of December 31, 2025, PAA was in compliance with the covenants contained in its credit agreements, term loan agreement and indentures.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Borrowings and Repayments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borrowings under PAA’s credit facilities and commercial paper program for the years ended December 31, 2025, 2024 and 2023 were approximately $56.4 billion, $28.1 billion and $18.1 billion, respectively. Total repayments under PAA’s credit facilities and commercial paper program were approximately $55.8 billion, $28.1 billion and $17.7 billion for the years ended December 31, 2025, 2024 and 2023, respectively. The variance in total gross borrowings and repayments is impacted by various business and financial factors including, but not limited to, the timing, average term and method of general partnership borrowing activities.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Letters of Credit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our merchant activities, we provide certain suppliers with irrevocable standby letters of credit to secure our obligation for the purchase and transportation of crude oil and NGL. Our liabilities with respect to these purchase obligations are recorded in accounts payable on our balance sheet in the month the crude oil or NGL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2025 and 2024, we had outstanding letters of credit of $95 million and $90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Debt Issuance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12—Partners’ Capital and Distributions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Shares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Class A shares, Class B shares and Class C shares represent limited partner interests in us. The holders of our Class A and Class B shares are entitled to exercise the rights or privileges available to limited partners under our partnership agreement, but only holders of Class A shares are entitled to participate in our distributions.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Class C shares are non-economic and provide PAA, as the sole holder of such Class C shares, the right to vote, pro rata with the holders of our Class A and Class B shares, in the election of eligible PAGP GP directors. Pursuant to the Omnibus Agreement entered into on November 15, 2016, the number of Class C shares that PAA owns will at all times equal the number of outstanding PAA common units, excluding common units held by AAP, and Series A preferred units. Thus, the Class C shares function as a “pass-through” voting mechanism through which PAA votes at the direction of and as proxy for the PAA common unitholders (other than AAP) and Series A preferred unitholders in such director elections.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Exchange and Redemption Rights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AAP units and their permitted transferees each have the right to exchange all or a portion of their AAP units for Class A shares at an exchange ratio of one Class A share for each AAP unit exchanged (referred to herein as the “Exchange Right”). This Exchange Right may be exercised only if, simultaneously therewith, an equal number of our Class B shares and general partner units (if any) are transferred by the exercising party to us. See Note 15 for information regarding the recognition of deferred tax assets associated the transfer of ownership resulting from Exchange Right exercises.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subject to certain limitations, a holder of AAP units (other than us) has the right (a “Redemption Right”) to cause AAP to redeem any or all of such holder’s AAP units in exchange for the distribution of an equivalent number of PAA common units held by AAP (“AAP Unit Redemption”). In connection with any AAP Unit Redemption, the redeeming holder will transfer the AAP units to AAP and a corresponding number of our Class B shares and general partner units (if any), in each case, to us. The AAP units transferred to AAP will be canceled, the Class B shares transferred to us will be canceled and any general partner units transferred to us will remain outstanding and increase our ownership percentage in our general partner. Additionally, we will issue a corresponding number of Class C shares to PAA.</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Shares Outstanding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activity for our Class A shares, Class B shares and Class C shares: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886"/>
        <w:gridCol w:w="1462"/>
        <w:gridCol w:w="1467"/>
        <w:gridCol w:w="593"/>
        <w:gridCol w:w="593"/>
        <w:gridCol w:w="391"/>
        <w:gridCol w:w="109"/>
        <w:gridCol w:w="109"/>
        <w:gridCol w:w="109"/>
        <w:gridCol w:w="540"/>
        <w:gridCol w:w="541"/>
        <w:gridCol w:w="386"/>
        <w:gridCol w:w="109"/>
        <w:gridCol w:w="109"/>
        <w:gridCol w:w="109"/>
        <w:gridCol w:w="593"/>
        <w:gridCol w:w="593"/>
        <w:gridCol w:w="506"/>
      </w:tblGrid>
      <w:tr>
        <w:trPr/>
        <w:tc>
          <w:tcPr>
            <w:tcW w:w="1886"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C Shares</w:t>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194,407,642 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46,205,947 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528,442,538 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AAP Management Units</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388,839 </w:t>
            </w:r>
          </w:p>
        </w:tc>
        <w:tc>
          <w:tcPr>
            <w:tcW w:w="3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Right exercises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1,869,768 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(1,869,768)</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Right exercises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(8,487,850)</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8,487,850 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139,350 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2,514,901 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2023</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196,416,760 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36,237,168 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539,445,289 </w:t>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Right exercises</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846,937 </w:t>
            </w:r>
          </w:p>
        </w:tc>
        <w:tc>
          <w:tcPr>
            <w:tcW w:w="3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(846,937)</w:t>
            </w:r>
          </w:p>
        </w:tc>
        <w:tc>
          <w:tcPr>
            <w:tcW w:w="3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202,002 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2,559,549 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197,465,699 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35,390,231 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542,004,838 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Right exercises</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293,925 </w:t>
            </w:r>
          </w:p>
        </w:tc>
        <w:tc>
          <w:tcPr>
            <w:tcW w:w="3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(293,925)</w:t>
            </w:r>
          </w:p>
        </w:tc>
        <w:tc>
          <w:tcPr>
            <w:tcW w:w="3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Repurchase and cancellation of common units by a subsidiary under the Common Equity Repurchase Program</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(476,695)</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Repurchase of Series A preferred units by a subsidiary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(12,678,560)</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144,500 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2,082,592 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197,904,124 </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35,096,306 </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530,932,175 </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Distributions to Our Shareholders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distribute 100% of our available cash within 55 days following the end of each quarter to Class A shareholders of record. Available cash is generally defined as all cash on hand at the date of determination of available cash for the distribution in respect to such quarter (including expected distributions from AAP in respect of such quarter), less reserves established by our general partner for future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distributions paid to our Class A shareholders during the years presented (in millions, except per share data):</w:t>
      </w:r>
    </w:p>
    <w:p>
      <w:pPr>
        <w:pStyle w:val="TextBody"/>
        <w:bidi w:val="0"/>
        <w:spacing w:before="0" w:after="0"/>
        <w:ind w:left="0" w:right="0" w:firstLine="720"/>
        <w:jc w:val="left"/>
        <w:rPr/>
      </w:pPr>
      <w:r>
        <w:rPr/>
      </w:r>
    </w:p>
    <w:tbl>
      <w:tblPr>
        <w:tblW w:w="6416" w:type="dxa"/>
        <w:jc w:val="center"/>
        <w:tblInd w:w="0" w:type="dxa"/>
        <w:tblLayout w:type="fixed"/>
        <w:tblCellMar>
          <w:top w:w="28" w:type="dxa"/>
          <w:left w:w="28" w:type="dxa"/>
          <w:bottom w:w="28" w:type="dxa"/>
          <w:right w:w="28" w:type="dxa"/>
        </w:tblCellMar>
      </w:tblPr>
      <w:tblGrid>
        <w:gridCol w:w="195"/>
        <w:gridCol w:w="172"/>
        <w:gridCol w:w="174"/>
        <w:gridCol w:w="109"/>
        <w:gridCol w:w="109"/>
        <w:gridCol w:w="109"/>
        <w:gridCol w:w="752"/>
        <w:gridCol w:w="1661"/>
        <w:gridCol w:w="392"/>
        <w:gridCol w:w="109"/>
        <w:gridCol w:w="109"/>
        <w:gridCol w:w="109"/>
        <w:gridCol w:w="469"/>
        <w:gridCol w:w="1603"/>
        <w:gridCol w:w="344"/>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Distributions to Class A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Distributions per Class A Share</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1.5200 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1.2700 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1.0700 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5, 2026, we declared a cash distribution of $0.4175 per outstanding Class A share. This distribution of $83 million was paid on February 13, 2026 to shareholders of record at the close of business on January 30, 2026, for the period October 1, 2025 through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Comprehensive Income/(Loss)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 attributable to our Class A shareholders is comprised solely of their proportionate share of PAA’s other comprehensive income/(loss) based on our indirect ownership interest in PAA during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Consolidated Subsidiaries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Noncontrolling Interests in Subsidiaries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noncontrolling interests in our subsidiaries consisted of (i) limited partner interests in PAA including a 70% interest in PAA’s common units and PAA’s Series A preferred units combined and 100% of PAA’s Series B preferred units, (ii) an approximate 15% limited partner interest in AAP, (iii) a 35% interest in the Permian JV, (iv) a 30% interest in Cactus II and (v) a 33% interest in Red River Pipeline Company LLC (“Red River”). The transactions resulting in the recognition of noncontrolling interests in the Permian JV and Cactus II are described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Common Equity Repurchase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2020, the board of directors of our general partner approved a $500 million common equity repurchase program (the “Program”) to be utilized as an additional method of returning capital to investors. The Program authorizes the repurchase from time to time of up to $500 million of PAA common units and/or our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PAA or us to acquire a particular number of PAA common units or Class A shares. Any PAA common units or Class A shares that are repurchased will be canceled. Class C shares held by PAA associated with any publicly held common units that are repurchased will also be canceled.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PAA repurchased common units under the Program through open market purchases for a total purchase price of $8 million, including commissions and fees. The repurchased common units were canceled immediately upon acquisition, as were the Class C shares held by PAA associated with the repurchased common units. There were no repurchases under the Program during the years ended December 31, 2024 or 2023. At December 31, 2025, the remaining available capacity under the Program was $190 million.</w:t>
      </w:r>
    </w:p>
    <w:p>
      <w:pPr>
        <w:pStyle w:val="TextBody"/>
        <w:bidi w:val="0"/>
        <w:spacing w:before="0" w:after="0"/>
        <w:ind w:left="0" w:right="0" w:firstLine="720"/>
        <w:jc w:val="left"/>
        <w:rPr/>
      </w:pPr>
      <w:r>
        <w:rPr/>
      </w:r>
    </w:p>
    <w:p>
      <w:pPr>
        <w:pStyle w:val="TextBody"/>
        <w:bidi w:val="0"/>
        <w:spacing w:lineRule="auto" w:line="288" w:before="0" w:after="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PAA’s capital attributable to AAP was adjusted, in accordance with ASC 810, to reflect the accretion of its interest in PAA as a result of the repurchase of common units from public unitholders. Such adjustment is recognized by PAGP in proportion to its ownership interest in AAP, which results in a net increase in partners’ capital attributable to PAGP. See Note 15 for additional information regarding the associated impact to the deferred tax asset.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Subsidiary Distributions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PAA Series A Preferred Unit Distributions.</w:t>
      </w:r>
      <w:r>
        <w:rPr>
          <w:color w:val="000000"/>
        </w:rPr>
        <w:t xml:space="preserve"> </w:t>
      </w:r>
      <w:r>
        <w:rPr>
          <w:rFonts w:ascii="Times New Roman;serif" w:hAnsi="Times New Roman;serif"/>
          <w:b w:val="false"/>
          <w:color w:val="000000"/>
          <w:sz w:val="20"/>
        </w:rPr>
        <w:t>After the fifth anniversary of the January 28, 2016 issuance date of PAA’s Series A preferred units, the holders of PAA’s Series A preferred units, acting by majority vote, had the option to make a one-time election to reset the Series A preferred unit distribution rate to equal the then applicable rate of ten-year U.S. Treasury Securities plus 5.85% (the “Preferred Distribution Rate Reset Option”). The Preferred Distribution Rate Reset Option was accounted for as an embedded derivative. See Note 13 for additional information. In January 2023, the Series A preferred unitholders elected the Preferred Distribution Rate Reset Option. Effective January 31, 2023, the new Series A preferred unit distribution rate is equal to 9.375% per annum of the original Issue Price (approximately $2.46 per unit annualized). The quarterly distribution paid in May 2023 reflected a pro-rated amount of approximately $0.585 per unit.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31, 2025, PAA repurchased approximately 12.7 million units, or 18%, of its outstanding Series A preferred units from EnCap Flatrock Midstream at the issue price of $26.25 per unit for a purchase price of approximately $333 million, plus accrued and unpaid distributions through January 30, 2025 of approximately $10 million. EnCap Flatrock Midstream is affiliated with EnCap Investments, L.P., an entity that is associated with a member of our board of directors. The repurchase also resulted in a reduction to the related Preferred Distribution Rate Reset Option liability.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distributions paid to PAA’s Series A preferred unitholders during the years presented (in millions, except unit data):</w:t>
      </w:r>
    </w:p>
    <w:p>
      <w:pPr>
        <w:pStyle w:val="TextBody"/>
        <w:bidi w:val="0"/>
        <w:spacing w:before="0" w:after="0"/>
        <w:ind w:left="0" w:right="0" w:firstLine="720"/>
        <w:jc w:val="left"/>
        <w:rPr/>
      </w:pPr>
      <w:r>
        <w:rPr/>
      </w:r>
    </w:p>
    <w:tbl>
      <w:tblPr>
        <w:tblW w:w="5658" w:type="dxa"/>
        <w:jc w:val="center"/>
        <w:tblInd w:w="0" w:type="dxa"/>
        <w:tblLayout w:type="fixed"/>
        <w:tblCellMar>
          <w:top w:w="28" w:type="dxa"/>
          <w:left w:w="28" w:type="dxa"/>
          <w:bottom w:w="28" w:type="dxa"/>
          <w:right w:w="28" w:type="dxa"/>
        </w:tblCellMar>
      </w:tblPr>
      <w:tblGrid>
        <w:gridCol w:w="270"/>
        <w:gridCol w:w="238"/>
        <w:gridCol w:w="241"/>
        <w:gridCol w:w="109"/>
        <w:gridCol w:w="109"/>
        <w:gridCol w:w="109"/>
        <w:gridCol w:w="370"/>
        <w:gridCol w:w="819"/>
        <w:gridCol w:w="191"/>
        <w:gridCol w:w="190"/>
        <w:gridCol w:w="190"/>
        <w:gridCol w:w="539"/>
        <w:gridCol w:w="539"/>
        <w:gridCol w:w="541"/>
        <w:gridCol w:w="109"/>
        <w:gridCol w:w="109"/>
        <w:gridCol w:w="109"/>
        <w:gridCol w:w="211"/>
        <w:gridCol w:w="511"/>
        <w:gridCol w:w="154"/>
      </w:tblGrid>
      <w:tr>
        <w:trPr/>
        <w:tc>
          <w:tcPr>
            <w:tcW w:w="2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8"/>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Series A Preferred Unitholders</w:t>
            </w:r>
          </w:p>
        </w:tc>
        <w:tc>
          <w:tcPr>
            <w:tcW w:w="1203" w:type="dxa"/>
            <w:gridSpan w:val="6"/>
            <w:tcBorders/>
          </w:tcPr>
          <w:p>
            <w:pPr>
              <w:pStyle w:val="TableContents"/>
              <w:bidi w:val="0"/>
              <w:spacing w:before="0" w:after="283"/>
              <w:jc w:val="left"/>
              <w:rPr>
                <w:sz w:val="4"/>
                <w:szCs w:val="4"/>
              </w:rPr>
            </w:pPr>
            <w:r>
              <w:rPr>
                <w:sz w:val="4"/>
                <w:szCs w:val="4"/>
              </w:rPr>
            </w:r>
          </w:p>
        </w:tc>
      </w:tr>
      <w:tr>
        <w:trPr/>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Cash Distribution</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Distribution per Unit</w:t>
            </w:r>
          </w:p>
        </w:tc>
        <w:tc>
          <w:tcPr>
            <w:tcW w:w="1203" w:type="dxa"/>
            <w:gridSpan w:val="6"/>
            <w:tcBorders/>
          </w:tcPr>
          <w:p>
            <w:pPr>
              <w:pStyle w:val="TableContents"/>
              <w:bidi w:val="0"/>
              <w:spacing w:before="0" w:after="283"/>
              <w:jc w:val="left"/>
              <w:rPr>
                <w:sz w:val="4"/>
                <w:szCs w:val="4"/>
              </w:rPr>
            </w:pPr>
            <w:r>
              <w:rPr>
                <w:sz w:val="4"/>
                <w:szCs w:val="4"/>
              </w:rPr>
            </w:r>
          </w:p>
        </w:tc>
      </w:tr>
      <w:tr>
        <w:trPr/>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2025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Includes distribution of approximately $10 million associated with PAA’s repurchase of Series A preferred units in January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13, 2026, PAA paid a cash distribution of $36 million to its Series A preferred unitholders outstanding as of January 30, 2026. At December 31, 2025, such amount was accrued as distributions payable in “Other current liabilities” on our Consolidated Balance Sheet.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PAA Series B Preferred Unit Distributions. </w:t>
      </w:r>
      <w:r>
        <w:rPr>
          <w:rFonts w:ascii="Times New Roman;serif" w:hAnsi="Times New Roman;serif"/>
          <w:b w:val="false"/>
          <w:color w:val="000000"/>
          <w:sz w:val="20"/>
        </w:rPr>
        <w:t xml:space="preserve">The initial distribution rate for the Series B preferred units from and including October 10, 2017 to, but not including, November 15, 2022 was 6.125% per year of the liquidation preference per unit (equal to $61.25 per unit per year). From November 15, 2022 through August 14, 2023, distributions on the Series B preferred units accumulated for each distribution period at a percentage of the liquidation preference equal to the applicable three-month LIBOR plus a spread of 4.11% per annum. Beginning August 15, 2023, distributions on the Series B preferred units accumulate based on the applicable three-month SOFR, plus a credit spread adjustment of 0.26161%, plus 4.11% per annum.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distributions paid to PAA’s Series B preferred unitholders during the years presented (in millions, except unit data):</w:t>
      </w:r>
    </w:p>
    <w:p>
      <w:pPr>
        <w:pStyle w:val="TextBody"/>
        <w:bidi w:val="0"/>
        <w:spacing w:before="0" w:after="0"/>
        <w:ind w:left="0" w:right="0" w:firstLine="720"/>
        <w:jc w:val="left"/>
        <w:rPr/>
      </w:pPr>
      <w:r>
        <w:rPr/>
      </w:r>
    </w:p>
    <w:tbl>
      <w:tblPr>
        <w:tblW w:w="4572"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427"/>
        <w:gridCol w:w="731"/>
        <w:gridCol w:w="222"/>
        <w:gridCol w:w="110"/>
        <w:gridCol w:w="110"/>
        <w:gridCol w:w="110"/>
        <w:gridCol w:w="110"/>
        <w:gridCol w:w="110"/>
        <w:gridCol w:w="110"/>
        <w:gridCol w:w="357"/>
        <w:gridCol w:w="1045"/>
        <w:gridCol w:w="262"/>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Series B Preferred Unitholders</w:t>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Cash Distribution</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Distribution per Unit</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17, 2026, PAA paid a cash distribution of $17 million ($21.02 per unit) to its Series B preferred unitholders. At December 31, 2025, approximately $9 million of accrued distributions payable to PAA’s Series B preferred unitholders was included in “Other current liabilities” on our Consolidated Balance Sheet.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ind w:left="0" w:right="0" w:firstLine="720"/>
        <w:jc w:val="left"/>
        <w:rPr/>
      </w:pPr>
      <w:r>
        <w:rPr>
          <w:rFonts w:ascii="Times New Roman;serif" w:hAnsi="Times New Roman;serif"/>
          <w:b w:val="false"/>
          <w:i/>
          <w:color w:val="000000"/>
          <w:sz w:val="20"/>
        </w:rPr>
        <w:t>PAA Common Unit Distributions.</w:t>
      </w:r>
      <w:r>
        <w:rPr>
          <w:color w:val="000000"/>
        </w:rPr>
        <w:t xml:space="preserve"> </w:t>
      </w:r>
      <w:r>
        <w:rPr>
          <w:rFonts w:ascii="Times New Roman;serif" w:hAnsi="Times New Roman;serif"/>
          <w:b w:val="false"/>
          <w:color w:val="000000"/>
          <w:sz w:val="20"/>
        </w:rPr>
        <w:t>After making distributions to its outstanding preferred units, PAA distributes the remainder of its available cash within 45 days following the end of each quarter to common unitholders of record, including AAP. Available cash is generally defined as all of PAA’s cash and cash equivalents on hand at the end of each quarter, less reserves established in the discretion of its general partner for future requirements. PAA’s available cash also includes cash on hand resulting from borrowings made after the end of the quarter.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distributions paid by PAA to its common unitholders during the years presented (in millions, except per unit data):</w:t>
      </w:r>
    </w:p>
    <w:p>
      <w:pPr>
        <w:pStyle w:val="TextBody"/>
        <w:bidi w:val="0"/>
        <w:spacing w:before="0" w:after="0"/>
        <w:ind w:left="0" w:right="0" w:firstLine="720"/>
        <w:jc w:val="left"/>
        <w:rPr/>
      </w:pPr>
      <w:r>
        <w:rPr/>
      </w:r>
    </w:p>
    <w:tbl>
      <w:tblPr>
        <w:tblW w:w="6050" w:type="dxa"/>
        <w:jc w:val="center"/>
        <w:tblInd w:w="0" w:type="dxa"/>
        <w:tblLayout w:type="fixed"/>
        <w:tblCellMar>
          <w:top w:w="28" w:type="dxa"/>
          <w:left w:w="28" w:type="dxa"/>
          <w:bottom w:w="28" w:type="dxa"/>
          <w:right w:w="28" w:type="dxa"/>
        </w:tblCellMar>
      </w:tblPr>
      <w:tblGrid>
        <w:gridCol w:w="195"/>
        <w:gridCol w:w="172"/>
        <w:gridCol w:w="174"/>
        <w:gridCol w:w="109"/>
        <w:gridCol w:w="109"/>
        <w:gridCol w:w="10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109"/>
        <w:gridCol w:w="109"/>
        <w:gridCol w:w="109"/>
        <w:gridCol w:w="265"/>
        <w:gridCol w:w="906"/>
        <w:gridCol w:w="195"/>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Distributions per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Unit</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Public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1.2700 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5, 2026, PAA declared a cash distribution of $0.4175 per unit on its outstanding common units. The total distribution of $295 million was paid on February 13, 2026 to unitholders of record at the close of business on January 30, 2026, for the period from October 1, 2025 through December 31, 2025. Of this amount, approximately $97 million was paid to AAP.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AAP Distributions.</w:t>
      </w:r>
      <w:r>
        <w:rPr>
          <w:color w:val="000000"/>
        </w:rPr>
        <w:t xml:space="preserve"> </w:t>
      </w:r>
      <w:r>
        <w:rPr>
          <w:rFonts w:ascii="Times New Roman;serif" w:hAnsi="Times New Roman;serif"/>
          <w:b w:val="false"/>
          <w:color w:val="000000"/>
          <w:sz w:val="20"/>
        </w:rPr>
        <w:t>AAP distributes all of the cash received from PAA distributions on a quarterly basis, less reserves established in the discretion of its general partner for future requirements. Generally, distributions are paid to its partners in proportion to their percentage interest in AAP. The following table details the distributions to AAP’s partners paid during the years presented from distributions received from PAA (in millions):</w:t>
      </w:r>
    </w:p>
    <w:p>
      <w:pPr>
        <w:pStyle w:val="TextBody"/>
        <w:bidi w:val="0"/>
        <w:spacing w:before="0" w:after="0"/>
        <w:ind w:left="0" w:right="0" w:firstLine="720"/>
        <w:jc w:val="left"/>
        <w:rPr/>
      </w:pPr>
      <w:r>
        <w:rPr/>
      </w:r>
    </w:p>
    <w:tbl>
      <w:tblPr>
        <w:tblW w:w="6087" w:type="dxa"/>
        <w:jc w:val="center"/>
        <w:tblInd w:w="0" w:type="dxa"/>
        <w:tblLayout w:type="fixed"/>
        <w:tblCellMar>
          <w:top w:w="28" w:type="dxa"/>
          <w:left w:w="28" w:type="dxa"/>
          <w:bottom w:w="28" w:type="dxa"/>
          <w:right w:w="28" w:type="dxa"/>
        </w:tblCellMar>
      </w:tblPr>
      <w:tblGrid>
        <w:gridCol w:w="195"/>
        <w:gridCol w:w="172"/>
        <w:gridCol w:w="174"/>
        <w:gridCol w:w="109"/>
        <w:gridCol w:w="109"/>
        <w:gridCol w:w="109"/>
        <w:gridCol w:w="576"/>
        <w:gridCol w:w="985"/>
        <w:gridCol w:w="299"/>
        <w:gridCol w:w="109"/>
        <w:gridCol w:w="109"/>
        <w:gridCol w:w="109"/>
        <w:gridCol w:w="211"/>
        <w:gridCol w:w="466"/>
        <w:gridCol w:w="109"/>
        <w:gridCol w:w="109"/>
        <w:gridCol w:w="109"/>
        <w:gridCol w:w="109"/>
        <w:gridCol w:w="486"/>
        <w:gridCol w:w="1076"/>
        <w:gridCol w:w="357"/>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Distributions to AAP’s Partners</w:t>
            </w:r>
          </w:p>
        </w:tc>
      </w:tr>
      <w:tr>
        <w:trPr/>
        <w:tc>
          <w:tcPr>
            <w:tcW w:w="5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Cash Distributions</w:t>
            </w:r>
          </w:p>
        </w:tc>
      </w:tr>
      <w:tr>
        <w:trPr/>
        <w:tc>
          <w:tcPr>
            <w:tcW w:w="5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13, 2026, AAP distributed $97 million to its partners from distributions received from PAA. Of this amount, $14 million was distributed to noncontrolling interests and $83 million was distributed to us.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Consolidated Joint Venture Distributions. </w:t>
      </w:r>
      <w:r>
        <w:rPr>
          <w:rFonts w:ascii="Times New Roman;serif" w:hAnsi="Times New Roman;serif"/>
          <w:b w:val="false"/>
          <w:color w:val="000000"/>
          <w:sz w:val="20"/>
        </w:rPr>
        <w:t>Distributions from Cactus II and Red River are paid in proportion to each owner’s interest in the entity. Cash available for distribution is cash on hand less the amount of cash required to fund normal operations and capital projects. The following table details distributions paid to noncontrolling interests in consolidated joint venture entities during the years presented (in millions):</w:t>
      </w:r>
    </w:p>
    <w:p>
      <w:pPr>
        <w:pStyle w:val="TextBody"/>
        <w:bidi w:val="0"/>
        <w:spacing w:before="0" w:after="0"/>
        <w:ind w:left="0" w:right="0" w:firstLine="720"/>
        <w:jc w:val="left"/>
        <w:rPr/>
      </w:pPr>
      <w:r>
        <w:rPr/>
      </w:r>
    </w:p>
    <w:tbl>
      <w:tblPr>
        <w:tblW w:w="4091" w:type="dxa"/>
        <w:jc w:val="left"/>
        <w:tblInd w:w="0" w:type="dxa"/>
        <w:tblLayout w:type="fixed"/>
        <w:tblCellMar>
          <w:top w:w="28" w:type="dxa"/>
          <w:left w:w="28" w:type="dxa"/>
          <w:bottom w:w="28" w:type="dxa"/>
          <w:right w:w="28" w:type="dxa"/>
        </w:tblCellMar>
      </w:tblPr>
      <w:tblGrid>
        <w:gridCol w:w="375"/>
        <w:gridCol w:w="328"/>
        <w:gridCol w:w="331"/>
        <w:gridCol w:w="211"/>
        <w:gridCol w:w="466"/>
        <w:gridCol w:w="109"/>
        <w:gridCol w:w="109"/>
        <w:gridCol w:w="109"/>
        <w:gridCol w:w="109"/>
        <w:gridCol w:w="211"/>
        <w:gridCol w:w="466"/>
        <w:gridCol w:w="109"/>
        <w:gridCol w:w="109"/>
        <w:gridCol w:w="109"/>
        <w:gridCol w:w="109"/>
        <w:gridCol w:w="211"/>
        <w:gridCol w:w="466"/>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Permian JV</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Cactus II</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 River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60" w:after="283"/>
        <w:ind w:left="0" w:right="0" w:hanging="36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13—Derivatives and Risk Management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identify the risks that underlie our core business activities and use risk management strategies to mitigate those risks when we determine that there is value in doing so. We use various derivative instruments to manage our exposure to commodity price risk, interest rate risk, and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Consolidated Statements of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pStyle w:val="TextBody"/>
        <w:bidi w:val="0"/>
        <w:spacing w:before="0" w:after="0"/>
        <w:ind w:left="0" w:right="0" w:firstLine="720"/>
        <w:jc w:val="left"/>
        <w:rPr/>
      </w:pPr>
      <w:r>
        <w:rPr/>
      </w:r>
    </w:p>
    <w:p>
      <w:pPr>
        <w:pStyle w:val="TextBody"/>
        <w:bidi w:val="0"/>
        <w:spacing w:lineRule="auto" w:line="288" w:before="0" w:after="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At December 31, 2025 and 2024,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pStyle w:val="TextBody"/>
        <w:bidi w:val="0"/>
        <w:spacing w:before="0" w:after="0"/>
        <w:ind w:left="0" w:right="0" w:firstLine="675"/>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Commodity Price Risk Hedging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our operations, we purchase and sell commodities. We use derivatives to manage the associated risks and, in certain circumstances, to optimize profits. As of December 31, 2025, net derivative positions related to these activities included: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net long position of 5.8 million barrels associated with our crude oil purchases, which will be unwound ratably through March 2026 to match monthly average pricing.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net short time spread position of 1.9 million barrels, which hedges a portion of our anticipated crude oil lease gathering purchases through April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net crude oil basis spread position of 1.5 million barrels at multiple locations through December 2026. These derivatives allow us to lock in grade and location basis differentials.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net short position of 6.9 million barrels through December 2029 related to anticipated net sales of crude oil inventory.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net long position of 0.5 TWh through December 2030 related to anticipated power supply requirements.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pStyle w:val="TextBody"/>
        <w:bidi w:val="0"/>
        <w:spacing w:before="0" w:after="0"/>
        <w:jc w:val="left"/>
        <w:rPr/>
      </w:pPr>
      <w:r>
        <w:rPr/>
      </w:r>
    </w:p>
    <w:tbl>
      <w:tblPr>
        <w:tblW w:w="7212" w:type="dxa"/>
        <w:jc w:val="center"/>
        <w:tblInd w:w="0" w:type="dxa"/>
        <w:tblLayout w:type="fixed"/>
        <w:tblCellMar>
          <w:top w:w="28" w:type="dxa"/>
          <w:left w:w="28" w:type="dxa"/>
          <w:bottom w:w="28" w:type="dxa"/>
          <w:right w:w="28" w:type="dxa"/>
        </w:tblCellMar>
      </w:tblPr>
      <w:tblGrid>
        <w:gridCol w:w="1535"/>
        <w:gridCol w:w="1352"/>
        <w:gridCol w:w="1358"/>
        <w:gridCol w:w="211"/>
        <w:gridCol w:w="436"/>
        <w:gridCol w:w="109"/>
        <w:gridCol w:w="109"/>
        <w:gridCol w:w="109"/>
        <w:gridCol w:w="109"/>
        <w:gridCol w:w="211"/>
        <w:gridCol w:w="436"/>
        <w:gridCol w:w="109"/>
        <w:gridCol w:w="109"/>
        <w:gridCol w:w="109"/>
        <w:gridCol w:w="109"/>
        <w:gridCol w:w="211"/>
        <w:gridCol w:w="436"/>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gain/(loss) from commodity derivative activity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 (in millions):</w:t>
      </w:r>
    </w:p>
    <w:p>
      <w:pPr>
        <w:pStyle w:val="TextBody"/>
        <w:bidi w:val="0"/>
        <w:spacing w:before="0" w:after="0"/>
        <w:jc w:val="left"/>
        <w:rPr/>
      </w:pPr>
      <w:r>
        <w:rPr/>
      </w:r>
    </w:p>
    <w:tbl>
      <w:tblPr>
        <w:tblW w:w="3819" w:type="dxa"/>
        <w:jc w:val="center"/>
        <w:tblInd w:w="0" w:type="dxa"/>
        <w:tblLayout w:type="fixed"/>
        <w:tblCellMar>
          <w:top w:w="28" w:type="dxa"/>
          <w:left w:w="28" w:type="dxa"/>
          <w:bottom w:w="28" w:type="dxa"/>
          <w:right w:w="28" w:type="dxa"/>
        </w:tblCellMar>
      </w:tblPr>
      <w:tblGrid>
        <w:gridCol w:w="755"/>
        <w:gridCol w:w="663"/>
        <w:gridCol w:w="667"/>
        <w:gridCol w:w="211"/>
        <w:gridCol w:w="361"/>
        <w:gridCol w:w="109"/>
        <w:gridCol w:w="109"/>
        <w:gridCol w:w="109"/>
        <w:gridCol w:w="109"/>
        <w:gridCol w:w="211"/>
        <w:gridCol w:w="36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margin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Variation margin posted</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Letters of credit</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broker receivable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Consolidated Balance Sheet when the legal right of offset exists. Amounts in the table below are presented in millions.</w:t>
      </w:r>
    </w:p>
    <w:p>
      <w:pPr>
        <w:pStyle w:val="TextBody"/>
        <w:bidi w:val="0"/>
        <w:spacing w:before="0" w:after="0"/>
        <w:jc w:val="left"/>
        <w:rPr/>
      </w:pPr>
      <w:r>
        <w:rPr/>
      </w:r>
    </w:p>
    <w:tbl>
      <w:tblPr>
        <w:tblW w:w="10297" w:type="dxa"/>
        <w:jc w:val="center"/>
        <w:tblInd w:w="0" w:type="dxa"/>
        <w:tblLayout w:type="fixed"/>
        <w:tblCellMar>
          <w:top w:w="28" w:type="dxa"/>
          <w:left w:w="28" w:type="dxa"/>
          <w:bottom w:w="28" w:type="dxa"/>
          <w:right w:w="28" w:type="dxa"/>
        </w:tblCellMar>
      </w:tblPr>
      <w:tblGrid>
        <w:gridCol w:w="370"/>
        <w:gridCol w:w="325"/>
        <w:gridCol w:w="326"/>
        <w:gridCol w:w="109"/>
        <w:gridCol w:w="109"/>
        <w:gridCol w:w="109"/>
        <w:gridCol w:w="211"/>
        <w:gridCol w:w="361"/>
        <w:gridCol w:w="109"/>
        <w:gridCol w:w="109"/>
        <w:gridCol w:w="109"/>
        <w:gridCol w:w="109"/>
        <w:gridCol w:w="245"/>
        <w:gridCol w:w="438"/>
        <w:gridCol w:w="128"/>
        <w:gridCol w:w="109"/>
        <w:gridCol w:w="109"/>
        <w:gridCol w:w="109"/>
        <w:gridCol w:w="260"/>
        <w:gridCol w:w="445"/>
        <w:gridCol w:w="136"/>
        <w:gridCol w:w="109"/>
        <w:gridCol w:w="109"/>
        <w:gridCol w:w="109"/>
        <w:gridCol w:w="251"/>
        <w:gridCol w:w="429"/>
        <w:gridCol w:w="131"/>
        <w:gridCol w:w="109"/>
        <w:gridCol w:w="109"/>
        <w:gridCol w:w="109"/>
        <w:gridCol w:w="109"/>
        <w:gridCol w:w="109"/>
        <w:gridCol w:w="109"/>
        <w:gridCol w:w="211"/>
        <w:gridCol w:w="361"/>
        <w:gridCol w:w="109"/>
        <w:gridCol w:w="109"/>
        <w:gridCol w:w="109"/>
        <w:gridCol w:w="109"/>
        <w:gridCol w:w="245"/>
        <w:gridCol w:w="438"/>
        <w:gridCol w:w="128"/>
        <w:gridCol w:w="109"/>
        <w:gridCol w:w="109"/>
        <w:gridCol w:w="109"/>
        <w:gridCol w:w="260"/>
        <w:gridCol w:w="445"/>
        <w:gridCol w:w="136"/>
        <w:gridCol w:w="109"/>
        <w:gridCol w:w="109"/>
        <w:gridCol w:w="109"/>
        <w:gridCol w:w="248"/>
        <w:gridCol w:w="425"/>
        <w:gridCol w:w="183"/>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 Presented on the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 Presented on the Balance Sheet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and deferred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Rate Risk Hedging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terminated $200 million of notional interest hedging instruments previously expected to terminate in October 2025 for proceeds of $7 million and $200 million of notional interest hedging instruments previously expected to terminate in June 2026 for proceeds of $30 million which were recorded in AOCI. As of December 31, 2025, there was a net loss of $29 million deferred in AOCI. The deferred net loss recorded in AOCI is expected to be reclassified to future earnings contemporaneously with interest expense accruals associated with underlying debt instruments. The early termination did not result in an impact to the relationship between the hedging instrument and hedged item. We estimate that substantially all of the remaining deferred loss will be reclassified to earnings through 2056 as the underlying hedged transactions impact earnings. A portion of these amounts is based on market prices as of December 31, 2025; thus, actual amounts to be reclassified will differ and could vary materially as a result of changes in market conditions.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net unrealized gain recognized in AOCI for derivatives (in millions):</w:t>
      </w:r>
    </w:p>
    <w:p>
      <w:pPr>
        <w:pStyle w:val="TextBody"/>
        <w:bidi w:val="0"/>
        <w:spacing w:before="0" w:after="0"/>
        <w:jc w:val="left"/>
        <w:rPr/>
      </w:pPr>
      <w:r>
        <w:rPr/>
      </w:r>
    </w:p>
    <w:tbl>
      <w:tblPr>
        <w:tblW w:w="5097" w:type="dxa"/>
        <w:jc w:val="center"/>
        <w:tblInd w:w="0" w:type="dxa"/>
        <w:tblLayout w:type="fixed"/>
        <w:tblCellMar>
          <w:top w:w="28" w:type="dxa"/>
          <w:left w:w="28" w:type="dxa"/>
          <w:bottom w:w="28" w:type="dxa"/>
          <w:right w:w="28" w:type="dxa"/>
        </w:tblCellMar>
      </w:tblPr>
      <w:tblGrid>
        <w:gridCol w:w="853"/>
        <w:gridCol w:w="749"/>
        <w:gridCol w:w="753"/>
        <w:gridCol w:w="211"/>
        <w:gridCol w:w="361"/>
        <w:gridCol w:w="109"/>
        <w:gridCol w:w="109"/>
        <w:gridCol w:w="109"/>
        <w:gridCol w:w="109"/>
        <w:gridCol w:w="211"/>
        <w:gridCol w:w="361"/>
        <w:gridCol w:w="109"/>
        <w:gridCol w:w="109"/>
        <w:gridCol w:w="109"/>
        <w:gridCol w:w="109"/>
        <w:gridCol w:w="211"/>
        <w:gridCol w:w="361"/>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derivatives,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we did not have any interest rate hedges recorded on our Consolidated Balance Sheet. At December 31, 2024, the net fair value of these hedges totaled $27 million, which was included in “Other long-term assets, net” on our Consolidated Balance Sheet.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Currency Exchange Rate Risk Hedging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pending sale of the Canadian NGL Business, we entered into a forward currency instrument (CAD$4.5 billion notional amount) to hedge currency exchange risk. The instrument is contingent upon the sale occurring and will settle at closing. The cost of the deal-contingent structure is embedded in the hedge rate. As of December 31, 2025, the sale of the Canadian NGL Business is probable and the fair value of the instrument is an $8 million asset, presented in “Other current assets” on our Consolidated Balance Sheet. For the year ended December 31, 2025, we recognized the gains of $8 million, which was included in “(Gains)/losses on asset sales, asset impairments and other, net” on our Consolidated Statements of Operations. As of December 31, 2025, for the periods covered by the instrument, the average fixed USD to CAD rate of the instrument is $1.37 and the average forward USD to CAD rate is $1.37. See Note 1 for additional information regarding the pending sale of the Canadian NGL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Preferred Distribution Rate Reset Option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2023, PAA received notice that the Series A preferred unitholders elected the Preferred Distribution Rate Reset Option. Prior to this election, the Preferred Distribution Rate Reset Option was accounted for as an embedded derivative. 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embedded derivative was required to be bifurcated from the related host contract, the PAA partnership agreement, and recorded at fair value on our Consolidated Balance Sheet. The Preferred Distribution Rate Reset Option embedded derivative was not designated in a hedging relationship for accounting purposes and corresponding changes in fair value were recognized in “Other income, net” in our Consolidated Statements of Operations. The Preferred Distribution Rate Reset Option was settled at a fair value of $131 million when we received notice that the Series A preferred unitholders elected the Preferred Distribution Rate Reset Option, which resulted in a gain of $58 million, for the year ended December 31, 2023. See Note 12 for additional information regarding the Preferred Distribution Rate Reset Option.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Derivative Financial Assets and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by level within the fair value hierarchy our financial assets and liabilities that were accounted for at fair value on a recurring basis (in millions):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25"/>
        <w:gridCol w:w="901"/>
        <w:gridCol w:w="902"/>
        <w:gridCol w:w="109"/>
        <w:gridCol w:w="109"/>
        <w:gridCol w:w="109"/>
        <w:gridCol w:w="267"/>
        <w:gridCol w:w="374"/>
        <w:gridCol w:w="130"/>
        <w:gridCol w:w="130"/>
        <w:gridCol w:w="130"/>
        <w:gridCol w:w="130"/>
        <w:gridCol w:w="267"/>
        <w:gridCol w:w="374"/>
        <w:gridCol w:w="130"/>
        <w:gridCol w:w="130"/>
        <w:gridCol w:w="130"/>
        <w:gridCol w:w="130"/>
        <w:gridCol w:w="130"/>
        <w:gridCol w:w="109"/>
        <w:gridCol w:w="211"/>
        <w:gridCol w:w="308"/>
        <w:gridCol w:w="109"/>
        <w:gridCol w:w="117"/>
        <w:gridCol w:w="117"/>
        <w:gridCol w:w="117"/>
        <w:gridCol w:w="117"/>
        <w:gridCol w:w="117"/>
        <w:gridCol w:w="117"/>
        <w:gridCol w:w="227"/>
        <w:gridCol w:w="388"/>
        <w:gridCol w:w="117"/>
        <w:gridCol w:w="117"/>
        <w:gridCol w:w="117"/>
        <w:gridCol w:w="117"/>
        <w:gridCol w:w="227"/>
        <w:gridCol w:w="447"/>
        <w:gridCol w:w="117"/>
        <w:gridCol w:w="109"/>
        <w:gridCol w:w="109"/>
        <w:gridCol w:w="109"/>
        <w:gridCol w:w="109"/>
        <w:gridCol w:w="109"/>
        <w:gridCol w:w="211"/>
        <w:gridCol w:w="361"/>
        <w:gridCol w:w="168"/>
      </w:tblGrid>
      <w:tr>
        <w:trPr/>
        <w:tc>
          <w:tcPr>
            <w:tcW w:w="10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 December 31,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 December 31, 2024</w:t>
            </w:r>
          </w:p>
        </w:tc>
        <w:tc>
          <w:tcPr>
            <w:tcW w:w="1285" w:type="dxa"/>
            <w:gridSpan w:val="8"/>
            <w:tcBorders/>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Recurring Fair Value Measures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derivative asset/(liability)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Derivative assets and liabilities are presented above on a net basis but do not include related cash margin deposits.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Level 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Level 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2 of the fair value hierarchy includes exchange-cleared commodity derivatives, over-the-counter commodity, foreign exchange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14—Leases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Lessee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evaluate all agreements entered into or modified that convey to us the use of property or equipment for a term to determine whether the agreement is or contains a lease. Significant judgment is required when determining whether we obtain the right to direct the use of identified property or equipment. We lease certain property and equipment under noncancelable and cancelable operating and finance leases. Our operating leases primarily relate to office space, land, vehicles and storage tanks, and our finance leases primarily relate to tractor trailers, storage tanks and vehicles. One of our finance leases is for storage tanks owned by an equity method investee, in which we own a 50% interest. For leases with an initial term of greater than 12 months, we recognize a right-of-use asset and lease liability on the balance sheet. Leases with an initial term of 12 months or less are not recorded on the balance sheet. We have elected the non-lease component separation practical expedient for certain classes of assets where we are the lessee. Our lease agreements have remaining lease terms ranging from one year to approximately 55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25 years that are not recognized as part of our right-of-use assets or lease liabilities as we have determined we are not reasonably certain to exercise the option to renew.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components of lease cost, including both amounts recognized in income and amounts capitalized (in millions):</w:t>
      </w:r>
    </w:p>
    <w:p>
      <w:pPr>
        <w:pStyle w:val="TextBody"/>
        <w:bidi w:val="0"/>
        <w:spacing w:before="0" w:after="0"/>
        <w:ind w:left="0" w:right="0" w:firstLine="720"/>
        <w:jc w:val="left"/>
        <w:rPr/>
      </w:pPr>
      <w:r>
        <w:rPr/>
      </w:r>
    </w:p>
    <w:tbl>
      <w:tblPr>
        <w:tblW w:w="4868" w:type="dxa"/>
        <w:jc w:val="center"/>
        <w:tblInd w:w="0" w:type="dxa"/>
        <w:tblLayout w:type="fixed"/>
        <w:tblCellMar>
          <w:top w:w="28" w:type="dxa"/>
          <w:left w:w="28" w:type="dxa"/>
          <w:bottom w:w="28" w:type="dxa"/>
          <w:right w:w="28" w:type="dxa"/>
        </w:tblCellMar>
      </w:tblPr>
      <w:tblGrid>
        <w:gridCol w:w="649"/>
        <w:gridCol w:w="570"/>
        <w:gridCol w:w="580"/>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Includes finance lease costs, variable lease costs and sublease income.</w:t>
      </w:r>
    </w:p>
    <w:p>
      <w:pPr>
        <w:pStyle w:val="TextBody"/>
        <w:bidi w:val="0"/>
        <w:spacing w:before="120" w:after="283"/>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related to cash flows arising from lease transactions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593"/>
        <w:gridCol w:w="2265"/>
        <w:gridCol w:w="2277"/>
        <w:gridCol w:w="109"/>
        <w:gridCol w:w="109"/>
        <w:gridCol w:w="109"/>
        <w:gridCol w:w="211"/>
        <w:gridCol w:w="361"/>
        <w:gridCol w:w="109"/>
        <w:gridCol w:w="109"/>
        <w:gridCol w:w="109"/>
        <w:gridCol w:w="109"/>
        <w:gridCol w:w="211"/>
        <w:gridCol w:w="361"/>
        <w:gridCol w:w="109"/>
        <w:gridCol w:w="109"/>
        <w:gridCol w:w="109"/>
        <w:gridCol w:w="109"/>
        <w:gridCol w:w="211"/>
        <w:gridCol w:w="361"/>
        <w:gridCol w:w="155"/>
      </w:tblGrid>
      <w:tr>
        <w:trPr/>
        <w:tc>
          <w:tcPr>
            <w:tcW w:w="2593"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7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change in lease liabilities arising from obtaining new right-of-use assets or modifications: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related to the weighted-average remaining lease term and discount rate is presented in the table below:</w:t>
      </w:r>
    </w:p>
    <w:p>
      <w:pPr>
        <w:pStyle w:val="TextBody"/>
        <w:bidi w:val="0"/>
        <w:spacing w:before="0" w:after="0"/>
        <w:ind w:left="0" w:right="0" w:firstLine="720"/>
        <w:jc w:val="left"/>
        <w:rPr/>
      </w:pPr>
      <w:r>
        <w:rPr/>
      </w:r>
    </w:p>
    <w:tbl>
      <w:tblPr>
        <w:tblW w:w="6120" w:type="dxa"/>
        <w:jc w:val="center"/>
        <w:tblInd w:w="0" w:type="dxa"/>
        <w:tblLayout w:type="fixed"/>
        <w:tblCellMar>
          <w:top w:w="28" w:type="dxa"/>
          <w:left w:w="28" w:type="dxa"/>
          <w:bottom w:w="28" w:type="dxa"/>
          <w:right w:w="28" w:type="dxa"/>
        </w:tblCellMar>
      </w:tblPr>
      <w:tblGrid>
        <w:gridCol w:w="1516"/>
        <w:gridCol w:w="1331"/>
        <w:gridCol w:w="1337"/>
        <w:gridCol w:w="255"/>
        <w:gridCol w:w="256"/>
        <w:gridCol w:w="271"/>
        <w:gridCol w:w="109"/>
        <w:gridCol w:w="109"/>
        <w:gridCol w:w="109"/>
        <w:gridCol w:w="255"/>
        <w:gridCol w:w="256"/>
        <w:gridCol w:w="316"/>
      </w:tblGrid>
      <w:tr>
        <w:trPr/>
        <w:tc>
          <w:tcPr>
            <w:tcW w:w="151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amount and location of our operating and finance lease right-of-use assets and liabilities on our Consolidated Balance Sheets (in millions):</w:t>
      </w:r>
    </w:p>
    <w:p>
      <w:pPr>
        <w:pStyle w:val="TextBody"/>
        <w:bidi w:val="0"/>
        <w:spacing w:before="0" w:after="0"/>
        <w:ind w:left="0" w:right="0" w:firstLine="720"/>
        <w:jc w:val="left"/>
        <w:rPr/>
      </w:pPr>
      <w:r>
        <w:rPr/>
      </w:r>
    </w:p>
    <w:tbl>
      <w:tblPr>
        <w:tblW w:w="9617" w:type="dxa"/>
        <w:jc w:val="center"/>
        <w:tblInd w:w="0" w:type="dxa"/>
        <w:tblLayout w:type="fixed"/>
        <w:tblCellMar>
          <w:top w:w="28" w:type="dxa"/>
          <w:left w:w="28" w:type="dxa"/>
          <w:bottom w:w="28" w:type="dxa"/>
          <w:right w:w="28" w:type="dxa"/>
        </w:tblCellMar>
      </w:tblPr>
      <w:tblGrid>
        <w:gridCol w:w="1062"/>
        <w:gridCol w:w="929"/>
        <w:gridCol w:w="949"/>
        <w:gridCol w:w="109"/>
        <w:gridCol w:w="109"/>
        <w:gridCol w:w="109"/>
        <w:gridCol w:w="1358"/>
        <w:gridCol w:w="1358"/>
        <w:gridCol w:w="1363"/>
        <w:gridCol w:w="109"/>
        <w:gridCol w:w="109"/>
        <w:gridCol w:w="109"/>
        <w:gridCol w:w="211"/>
        <w:gridCol w:w="466"/>
        <w:gridCol w:w="109"/>
        <w:gridCol w:w="109"/>
        <w:gridCol w:w="109"/>
        <w:gridCol w:w="109"/>
        <w:gridCol w:w="211"/>
        <w:gridCol w:w="466"/>
        <w:gridCol w:w="154"/>
      </w:tblGrid>
      <w:tr>
        <w:trPr/>
        <w:tc>
          <w:tcPr>
            <w:tcW w:w="106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Long-term 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Finance lease right-of-use assets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Finance lease liabilities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Includes right-of-use assets of $23 million and $26 million and lease liabilities of $32 million and $33 million as of December 31, 2025 and 2024, respectively, associated with leased storage tanks owned by an equity method investee, in which we own a 50% interest.</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maturity of undiscounted cash flows for future minimum lease payments under noncancelable leases as of December 31, 2025 reconciled to our lease liabilities on our Consolidated Balance Sheet (amounts in millions):</w:t>
      </w:r>
    </w:p>
    <w:p>
      <w:pPr>
        <w:pStyle w:val="TextBody"/>
        <w:bidi w:val="0"/>
        <w:spacing w:before="0" w:after="0"/>
        <w:ind w:left="0" w:right="0" w:firstLine="720"/>
        <w:jc w:val="left"/>
        <w:rPr/>
      </w:pPr>
      <w:r>
        <w:rPr/>
      </w:r>
    </w:p>
    <w:tbl>
      <w:tblPr>
        <w:tblW w:w="5096" w:type="dxa"/>
        <w:jc w:val="center"/>
        <w:tblInd w:w="0" w:type="dxa"/>
        <w:tblLayout w:type="fixed"/>
        <w:tblCellMar>
          <w:top w:w="28" w:type="dxa"/>
          <w:left w:w="28" w:type="dxa"/>
          <w:bottom w:w="28" w:type="dxa"/>
          <w:right w:w="28" w:type="dxa"/>
        </w:tblCellMar>
      </w:tblPr>
      <w:tblGrid>
        <w:gridCol w:w="1096"/>
        <w:gridCol w:w="965"/>
        <w:gridCol w:w="968"/>
        <w:gridCol w:w="229"/>
        <w:gridCol w:w="507"/>
        <w:gridCol w:w="120"/>
        <w:gridCol w:w="109"/>
        <w:gridCol w:w="109"/>
        <w:gridCol w:w="109"/>
        <w:gridCol w:w="257"/>
        <w:gridCol w:w="440"/>
        <w:gridCol w:w="187"/>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Finance </w:t>
            </w:r>
            <w:r>
              <w:rPr>
                <w:rFonts w:ascii="Times New Roman;serif" w:hAnsi="Times New Roman;serif"/>
                <w:b/>
                <w:color w:val="000000"/>
                <w:sz w:val="10"/>
              </w:rPr>
              <w:t>(2)</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Future minimum lease payments</w:t>
            </w:r>
            <w:r>
              <w:rPr>
                <w:color w:val="000000"/>
              </w:rPr>
              <w:t xml:space="preserve">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discount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Excludes future minimum payments for short-term and other immaterial leases not included on our Consolidated Balance Sheet.</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Includes payments of approximately $6 million for each of the years ending 2026 through 2030 and approximately $33 million thereafter associated with leased storage tanks owned by an equity method investee, in which we own a 50% interest.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Lessor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evaluate all agreements entered into or modified that convey to others the use of property or equipment for a term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 We have elected the non-lease component separation practical expedient for all classes of assets where we are the lessor.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enter into agreements to conduct activities associated with (i) providing storage services primarily for crude oil and (ii) transporting crude oil. Certain of these agreements convey counterparties the right to direct the operation of physically distinct assets. Such agreements include (i) fixed consideration, which is measured based on an available capacity during the period multiplied by the rate in the agreement, or (ii) a fixed monthly fee and variable consideration based on usage. These agreements often include options to extend or terminate the lease, with advance notice. These agreements are operating leases.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lease revenue for the periods indicated (in millions):</w:t>
      </w:r>
    </w:p>
    <w:p>
      <w:pPr>
        <w:pStyle w:val="TextBody"/>
        <w:bidi w:val="0"/>
        <w:spacing w:before="0" w:after="0"/>
        <w:ind w:left="0" w:right="0" w:firstLine="720"/>
        <w:jc w:val="left"/>
        <w:rPr/>
      </w:pPr>
      <w:r>
        <w:rPr/>
      </w:r>
    </w:p>
    <w:tbl>
      <w:tblPr>
        <w:tblW w:w="5244" w:type="dxa"/>
        <w:jc w:val="center"/>
        <w:tblInd w:w="0" w:type="dxa"/>
        <w:tblLayout w:type="fixed"/>
        <w:tblCellMar>
          <w:top w:w="28" w:type="dxa"/>
          <w:left w:w="28" w:type="dxa"/>
          <w:bottom w:w="28" w:type="dxa"/>
          <w:right w:w="28" w:type="dxa"/>
        </w:tblCellMar>
      </w:tblPr>
      <w:tblGrid>
        <w:gridCol w:w="825"/>
        <w:gridCol w:w="725"/>
        <w:gridCol w:w="730"/>
        <w:gridCol w:w="109"/>
        <w:gridCol w:w="109"/>
        <w:gridCol w:w="109"/>
        <w:gridCol w:w="211"/>
        <w:gridCol w:w="256"/>
        <w:gridCol w:w="109"/>
        <w:gridCol w:w="109"/>
        <w:gridCol w:w="109"/>
        <w:gridCol w:w="109"/>
        <w:gridCol w:w="211"/>
        <w:gridCol w:w="361"/>
        <w:gridCol w:w="109"/>
        <w:gridCol w:w="109"/>
        <w:gridCol w:w="109"/>
        <w:gridCol w:w="109"/>
        <w:gridCol w:w="211"/>
        <w:gridCol w:w="361"/>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revenue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These amounts are included in “Services revenues” on our Consolidated Statements of Operations.</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maturity of lease payments for operating lease agreements in effect as of December 31, 2025. This presentation includes minimum fixed lease payments and does not include an estimate of variable lease consideration. These agreements have remaining lease terms ranging from one year to 6 years. The following table presents the undiscounted cash flows expected to be received related to these agreements (in millions):</w:t>
      </w:r>
    </w:p>
    <w:p>
      <w:pPr>
        <w:pStyle w:val="TextBody"/>
        <w:bidi w:val="0"/>
        <w:spacing w:before="0" w:after="0"/>
        <w:ind w:left="0" w:right="0" w:firstLine="720"/>
        <w:jc w:val="left"/>
        <w:rPr/>
      </w:pPr>
      <w:r>
        <w:rPr/>
      </w:r>
    </w:p>
    <w:tbl>
      <w:tblPr>
        <w:tblW w:w="8055" w:type="dxa"/>
        <w:jc w:val="center"/>
        <w:tblInd w:w="0" w:type="dxa"/>
        <w:tblLayout w:type="fixed"/>
        <w:tblCellMar>
          <w:top w:w="28" w:type="dxa"/>
          <w:left w:w="28" w:type="dxa"/>
          <w:bottom w:w="28" w:type="dxa"/>
          <w:right w:w="28" w:type="dxa"/>
        </w:tblCellMar>
      </w:tblPr>
      <w:tblGrid>
        <w:gridCol w:w="944"/>
        <w:gridCol w:w="831"/>
        <w:gridCol w:w="834"/>
        <w:gridCol w:w="211"/>
        <w:gridCol w:w="256"/>
        <w:gridCol w:w="109"/>
        <w:gridCol w:w="109"/>
        <w:gridCol w:w="109"/>
        <w:gridCol w:w="109"/>
        <w:gridCol w:w="211"/>
        <w:gridCol w:w="256"/>
        <w:gridCol w:w="109"/>
        <w:gridCol w:w="109"/>
        <w:gridCol w:w="109"/>
        <w:gridCol w:w="109"/>
        <w:gridCol w:w="211"/>
        <w:gridCol w:w="256"/>
        <w:gridCol w:w="109"/>
        <w:gridCol w:w="109"/>
        <w:gridCol w:w="109"/>
        <w:gridCol w:w="109"/>
        <w:gridCol w:w="211"/>
        <w:gridCol w:w="256"/>
        <w:gridCol w:w="109"/>
        <w:gridCol w:w="109"/>
        <w:gridCol w:w="109"/>
        <w:gridCol w:w="109"/>
        <w:gridCol w:w="211"/>
        <w:gridCol w:w="256"/>
        <w:gridCol w:w="109"/>
        <w:gridCol w:w="109"/>
        <w:gridCol w:w="109"/>
        <w:gridCol w:w="109"/>
        <w:gridCol w:w="316"/>
        <w:gridCol w:w="383"/>
        <w:gridCol w:w="232"/>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 minimum lease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2025 and 2024, we had not recognized any material amounts in connection with uncertainty in income taxes.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 Federal and State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are organized as a limited partnership, we have elected to be treated as a corporation for U.S. federal income tax purposes and are therefore subject to both U.S. federal and state income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Canadian Federal and Provincial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of our Canadian operations are conducted by entities that are treated as corporations for Canadian tax purposes (flow through for U.S. income tax purposes) and thus are subject to Canadian federal and provincial taxes. Additionally, payments of interest and dividends from our Canadian entities to other Plains entities are subject to Canadian withholding tax that is treated as income tax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Tax Components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Pre-tax book income by geography is as follows (in millions):</w:t>
      </w:r>
    </w:p>
    <w:p>
      <w:pPr>
        <w:pStyle w:val="TextBody"/>
        <w:bidi w:val="0"/>
        <w:spacing w:before="0" w:after="0"/>
        <w:jc w:val="left"/>
        <w:rPr/>
      </w:pPr>
      <w:r>
        <w:rPr/>
      </w:r>
    </w:p>
    <w:tbl>
      <w:tblPr>
        <w:tblW w:w="5636" w:type="dxa"/>
        <w:jc w:val="left"/>
        <w:tblInd w:w="0" w:type="dxa"/>
        <w:tblLayout w:type="fixed"/>
        <w:tblCellMar>
          <w:top w:w="28" w:type="dxa"/>
          <w:left w:w="28" w:type="dxa"/>
          <w:bottom w:w="28" w:type="dxa"/>
          <w:right w:w="28" w:type="dxa"/>
        </w:tblCellMar>
      </w:tblPr>
      <w:tblGrid>
        <w:gridCol w:w="827"/>
        <w:gridCol w:w="724"/>
        <w:gridCol w:w="728"/>
        <w:gridCol w:w="211"/>
        <w:gridCol w:w="616"/>
        <w:gridCol w:w="109"/>
        <w:gridCol w:w="109"/>
        <w:gridCol w:w="109"/>
        <w:gridCol w:w="109"/>
        <w:gridCol w:w="211"/>
        <w:gridCol w:w="466"/>
        <w:gridCol w:w="109"/>
        <w:gridCol w:w="109"/>
        <w:gridCol w:w="109"/>
        <w:gridCol w:w="109"/>
        <w:gridCol w:w="211"/>
        <w:gridCol w:w="616"/>
        <w:gridCol w:w="154"/>
      </w:tblGrid>
      <w:tr>
        <w:trPr/>
        <w:tc>
          <w:tcPr>
            <w:tcW w:w="82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pre-tax book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Components of income tax expense are as follows (in millions):</w:t>
      </w:r>
    </w:p>
    <w:p>
      <w:pPr>
        <w:pStyle w:val="TextBody"/>
        <w:bidi w:val="0"/>
        <w:spacing w:before="0" w:after="0"/>
        <w:ind w:left="0" w:right="0" w:firstLine="720"/>
        <w:jc w:val="left"/>
        <w:rPr/>
      </w:pPr>
      <w:r>
        <w:rPr/>
      </w:r>
    </w:p>
    <w:tbl>
      <w:tblPr>
        <w:tblW w:w="8186" w:type="dxa"/>
        <w:jc w:val="center"/>
        <w:tblInd w:w="0" w:type="dxa"/>
        <w:tblLayout w:type="fixed"/>
        <w:tblCellMar>
          <w:top w:w="28" w:type="dxa"/>
          <w:left w:w="28" w:type="dxa"/>
          <w:bottom w:w="28" w:type="dxa"/>
          <w:right w:w="28" w:type="dxa"/>
        </w:tblCellMar>
      </w:tblPr>
      <w:tblGrid>
        <w:gridCol w:w="1892"/>
        <w:gridCol w:w="1668"/>
        <w:gridCol w:w="1674"/>
        <w:gridCol w:w="211"/>
        <w:gridCol w:w="361"/>
        <w:gridCol w:w="109"/>
        <w:gridCol w:w="109"/>
        <w:gridCol w:w="109"/>
        <w:gridCol w:w="109"/>
        <w:gridCol w:w="211"/>
        <w:gridCol w:w="466"/>
        <w:gridCol w:w="109"/>
        <w:gridCol w:w="109"/>
        <w:gridCol w:w="109"/>
        <w:gridCol w:w="109"/>
        <w:gridCol w:w="211"/>
        <w:gridCol w:w="466"/>
        <w:gridCol w:w="154"/>
      </w:tblGrid>
      <w:tr>
        <w:trPr/>
        <w:tc>
          <w:tcPr>
            <w:tcW w:w="1892"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income tax expense/(benefit):</w:t>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Canadian federal and provincial income and withholding taxes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income tax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expense/(benefit):</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federal income tax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Canadian federal and provincial income and withholding taxes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income tax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difference between income tax expense based on the statutory federal income tax rate and our effective income tax expense is summarized as follows (in millions, except percentages):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63"/>
        <w:gridCol w:w="905"/>
        <w:gridCol w:w="909"/>
        <w:gridCol w:w="211"/>
        <w:gridCol w:w="466"/>
        <w:gridCol w:w="109"/>
        <w:gridCol w:w="109"/>
        <w:gridCol w:w="109"/>
        <w:gridCol w:w="109"/>
        <w:gridCol w:w="329"/>
        <w:gridCol w:w="330"/>
        <w:gridCol w:w="367"/>
        <w:gridCol w:w="109"/>
        <w:gridCol w:w="109"/>
        <w:gridCol w:w="109"/>
        <w:gridCol w:w="211"/>
        <w:gridCol w:w="466"/>
        <w:gridCol w:w="109"/>
        <w:gridCol w:w="109"/>
        <w:gridCol w:w="109"/>
        <w:gridCol w:w="109"/>
        <w:gridCol w:w="329"/>
        <w:gridCol w:w="330"/>
        <w:gridCol w:w="367"/>
        <w:gridCol w:w="109"/>
        <w:gridCol w:w="109"/>
        <w:gridCol w:w="109"/>
        <w:gridCol w:w="211"/>
        <w:gridCol w:w="466"/>
        <w:gridCol w:w="109"/>
        <w:gridCol w:w="109"/>
        <w:gridCol w:w="109"/>
        <w:gridCol w:w="109"/>
        <w:gridCol w:w="329"/>
        <w:gridCol w:w="330"/>
        <w:gridCol w:w="424"/>
      </w:tblGrid>
      <w:tr>
        <w:trPr/>
        <w:tc>
          <w:tcPr>
            <w:tcW w:w="126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3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and local income taxes </w:t>
            </w:r>
            <w:r>
              <w:rPr>
                <w:rFonts w:ascii="Times New Roman;serif" w:hAnsi="Times New Roman;serif"/>
                <w:b w:val="false"/>
                <w:color w:val="000000"/>
                <w:sz w:val="13"/>
              </w:rPr>
              <w:t>(1)</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differential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Provincial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withholding taxes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Nontaxable income attributable to noncontrolling interests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permanent book tax differences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Effective tax rate </w:t>
            </w:r>
            <w:r>
              <w:rPr>
                <w:rFonts w:ascii="Times New Roman;serif" w:hAnsi="Times New Roman;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The state and local income tax category of the rate reconciliation is primarily comprised of income taxes in Texas, Oklahoma and New Mexico, which represents more than 50 percent of the state and local tax effect.</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Consolidated pretax income includes amounts attributable to non-controlling interests. Income attributable to non-controlling interests does not result in income tax expense of the reporting entity because the related taxes are incurred by the noncontrolling owners. Accordingly, the effective tax rate reconciliation includes a reconciling item for income attributable to non-controlling interests.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F-51</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Supplemental Disclosures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taxes paid were as follows (in millions):</w:t>
      </w:r>
    </w:p>
    <w:tbl>
      <w:tblPr>
        <w:tblW w:w="8082" w:type="dxa"/>
        <w:jc w:val="left"/>
        <w:tblInd w:w="0" w:type="dxa"/>
        <w:tblLayout w:type="fixed"/>
        <w:tblCellMar>
          <w:top w:w="28" w:type="dxa"/>
          <w:left w:w="28" w:type="dxa"/>
          <w:bottom w:w="28" w:type="dxa"/>
          <w:right w:w="28" w:type="dxa"/>
        </w:tblCellMar>
      </w:tblPr>
      <w:tblGrid>
        <w:gridCol w:w="1897"/>
        <w:gridCol w:w="1662"/>
        <w:gridCol w:w="1676"/>
        <w:gridCol w:w="211"/>
        <w:gridCol w:w="361"/>
        <w:gridCol w:w="109"/>
        <w:gridCol w:w="109"/>
        <w:gridCol w:w="109"/>
        <w:gridCol w:w="109"/>
        <w:gridCol w:w="211"/>
        <w:gridCol w:w="466"/>
        <w:gridCol w:w="109"/>
        <w:gridCol w:w="109"/>
        <w:gridCol w:w="109"/>
        <w:gridCol w:w="109"/>
        <w:gridCol w:w="211"/>
        <w:gridCol w:w="361"/>
        <w:gridCol w:w="154"/>
      </w:tblGrid>
      <w:tr>
        <w:trPr/>
        <w:tc>
          <w:tcPr>
            <w:tcW w:w="1897"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 income tax:</w:t>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state income tax paid</w:t>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Canadian federal and provincial income and withholding taxes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tax paid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Deferred tax assets and liabilities are aggregated by the applicable tax paying entity and jurisdiction and result from the following (in millions):</w:t>
      </w:r>
    </w:p>
    <w:p>
      <w:pPr>
        <w:pStyle w:val="TextBody"/>
        <w:bidi w:val="0"/>
        <w:spacing w:before="0" w:after="0"/>
        <w:ind w:left="0" w:right="0" w:firstLine="720"/>
        <w:jc w:val="left"/>
        <w:rPr/>
      </w:pPr>
      <w:r>
        <w:rPr/>
      </w:r>
    </w:p>
    <w:tbl>
      <w:tblPr>
        <w:tblW w:w="7359" w:type="dxa"/>
        <w:jc w:val="center"/>
        <w:tblInd w:w="0" w:type="dxa"/>
        <w:tblLayout w:type="fixed"/>
        <w:tblCellMar>
          <w:top w:w="28" w:type="dxa"/>
          <w:left w:w="28" w:type="dxa"/>
          <w:bottom w:w="28" w:type="dxa"/>
          <w:right w:w="28" w:type="dxa"/>
        </w:tblCellMar>
      </w:tblPr>
      <w:tblGrid>
        <w:gridCol w:w="1855"/>
        <w:gridCol w:w="1627"/>
        <w:gridCol w:w="1633"/>
        <w:gridCol w:w="211"/>
        <w:gridCol w:w="616"/>
        <w:gridCol w:w="109"/>
        <w:gridCol w:w="109"/>
        <w:gridCol w:w="109"/>
        <w:gridCol w:w="109"/>
        <w:gridCol w:w="211"/>
        <w:gridCol w:w="616"/>
        <w:gridCol w:w="154"/>
      </w:tblGrid>
      <w:tr>
        <w:trPr/>
        <w:tc>
          <w:tcPr>
            <w:tcW w:w="1855"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partnerships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in excess of tax values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sheet classification of deferred tax assets/(liabilities):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and deferred credits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the exchange of the ownership interest in AAP in connection with our IPO and all subsequent exchanges, a deferred tax asset was created. These transfers of ownership were accounted for at the historical carrying basis for GAAP accounting purposes, but were recorded at the fair market value of the Class A shares at the time of exchange for U.S. federal income tax purposes. These transfers were transactions among shareholders, with the basis differences resulting in a deferred tax asset that was recorded as a component of partners’ capital. Also, other equity transactions, including the repurchase of common units by PAA, and the associated adjustment to partners’ capital attributable to PAGP resulted in a corresponding change to the deferred tax asset balance that was recorded as a component of partners’ capital. See Note 12 for additional information regarding exchanges and the repurchase of common units by PAA. The deferred tax asset is amortized to deferred income tax expense as the associated basis step-up is realized on our tax returns.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F-52</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our federal and state net operating loss carryforwards for income tax purposes were approximately $4,482 million and $1,134 million, respectively. If not utilized, the state net operating losses will begin to expire in 2026 and a portion of our federal net operating losses will begin to expire in 2033. Under the Tax Cuts and Jobs Act, U.S. federal NOLs generated after 2017 will have an indefinite carryforward period but may only reduce up to 80% of taxable income in any given year. Our U.S. federal NOLs generated prior to 2018 will not be subject to the taxable income limitation and will remain subject to a 20 year carryforward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Generally, tax returns for our Canadian entities are open to audit from 2018 through 2025. Our U.S. and state tax years are generally open to examination from 2022 to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in reference to tax years 2012 to 2019, we had received notices of reassessment (“notices”) from the Canada Revenue Agency and the Alberta Tax and Revenue Administration (the “Canadian Tax Authorities”) related primarily to transfer pricing associated with cross-border intercompany financing transactions. The notices include assessments, including penalties and interest, associated with these transfer pricing matters totaling approximately $189 million (based on the exchange rate as of December 31, 2025). Payment of a portion of the assessment is required in order to file a notice of objection to dispute the reassessment. Accordingly, we have remitted approximately $86 million (based on the exchange rate as of December 31, 2025) related to the assessments, which is included in “Other long-term assets, net,” on our Consolidated Balance Sheets. We disagree with these notices and have contested the reassessments. We intend to vigorously defend our position, and we plan to pursue all remedies available to us to successfully resolve these matters, including administrative remedies with the Canadian Tax Authorities, and judicial remedies, if necessary. As of December 31, 2025, we believe that our tax position associated with these matters is “more likely than not” to be sustained and have not recognized any amounts for uncertainty in income taxes related to these notices.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16—Major Customers and Concentration of Credit Risk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ExxonMobil Corporation and its subsidiaries accounted for approximately 31%, 31% and 27% of our revenues for the years ended December 31, 2025, 2024 and 2023, respectively. BP p.l.c. and its subsidiaries accounted for approximately 10% of our revenues for the year ended December 31, 2023. No other customers accounted for 10% or more of our revenues during any of the three years ended December 31, 2025.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us to concentrations of credit risk consist principally of trade receivables. Our accounts receivable are primarily from purchasers and shippers of crude oil and, to a lesser extent, purchasers of NGL.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4 for additional discussion of our accounts receivable and our review of credit exposure.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17—Related Party Transactions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PAA’s Ownership of our Class C Shares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PAA owned 530,932,175 and 542,004,838, respectively, Class C shares. See Note 12 for additional information regarding our Class C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Omnibus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Plains Entities entered into an Omnibus Agreement on November 15, 2016, which provides for, among other things,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issue additional Class A shares and use the net proceeds therefrom to purchase a like number of AAP units from AAP, and the corresponding ability of AAP to use the net proceeds therefrom to purchase a like number of PAA common units; and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F-53</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lend proceeds of any future indebtedness incurred by us to AAP, and AAP’s corresponding ability to lend such proceeds to PAA, in each case on substantially the same terms as incurred by us.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Transactions with</w:t>
      </w:r>
      <w:r>
        <w:rPr>
          <w:color w:val="000000"/>
        </w:rPr>
        <w:t xml:space="preserve"> </w:t>
      </w:r>
      <w:r>
        <w:rPr>
          <w:rFonts w:ascii="Times New Roman;serif" w:hAnsi="Times New Roman;serif"/>
          <w:b/>
          <w:i/>
          <w:color w:val="000000"/>
          <w:sz w:val="20"/>
        </w:rPr>
        <w:t xml:space="preserve">Other Related Parties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other related parties include entities in which we hold investments and account for under the equity method of accounting (see Note 9 for information regarding such entities). During the three years ended December 31, 2025, we recognized sales and transportation revenues, purchased petroleum products and utilized transportation and storage services from our related parties. These transactions were conducted at posted tariff rates or prices that we believe approximate market.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impact to our Consolidated Statements of Operations from these transactions is included below (in millions):</w:t>
      </w:r>
    </w:p>
    <w:p>
      <w:pPr>
        <w:pStyle w:val="TextBody"/>
        <w:bidi w:val="0"/>
        <w:spacing w:before="0" w:after="0"/>
        <w:ind w:left="0" w:right="0" w:firstLine="720"/>
        <w:jc w:val="left"/>
        <w:rPr/>
      </w:pPr>
      <w:r>
        <w:rPr/>
      </w:r>
    </w:p>
    <w:tbl>
      <w:tblPr>
        <w:tblW w:w="6971" w:type="dxa"/>
        <w:jc w:val="center"/>
        <w:tblInd w:w="0" w:type="dxa"/>
        <w:tblLayout w:type="fixed"/>
        <w:tblCellMar>
          <w:top w:w="28" w:type="dxa"/>
          <w:left w:w="28" w:type="dxa"/>
          <w:bottom w:w="28" w:type="dxa"/>
          <w:right w:w="28" w:type="dxa"/>
        </w:tblCellMar>
      </w:tblPr>
      <w:tblGrid>
        <w:gridCol w:w="1419"/>
        <w:gridCol w:w="1243"/>
        <w:gridCol w:w="1252"/>
        <w:gridCol w:w="211"/>
        <w:gridCol w:w="466"/>
        <w:gridCol w:w="109"/>
        <w:gridCol w:w="109"/>
        <w:gridCol w:w="109"/>
        <w:gridCol w:w="109"/>
        <w:gridCol w:w="211"/>
        <w:gridCol w:w="466"/>
        <w:gridCol w:w="109"/>
        <w:gridCol w:w="109"/>
        <w:gridCol w:w="109"/>
        <w:gridCol w:w="109"/>
        <w:gridCol w:w="211"/>
        <w:gridCol w:w="466"/>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 from related parties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and related costs from related parties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receivable and payable amounts with these related parties as reflected on our Consolidated Balance Sheets were as follows (in millions):</w:t>
      </w:r>
    </w:p>
    <w:p>
      <w:pPr>
        <w:pStyle w:val="TextBody"/>
        <w:bidi w:val="0"/>
        <w:spacing w:before="0" w:after="0"/>
        <w:jc w:val="left"/>
        <w:rPr/>
      </w:pPr>
      <w:r>
        <w:rPr/>
      </w:r>
    </w:p>
    <w:tbl>
      <w:tblPr>
        <w:tblW w:w="7899" w:type="dxa"/>
        <w:jc w:val="center"/>
        <w:tblInd w:w="0" w:type="dxa"/>
        <w:tblLayout w:type="fixed"/>
        <w:tblCellMar>
          <w:top w:w="28" w:type="dxa"/>
          <w:left w:w="28" w:type="dxa"/>
          <w:bottom w:w="28" w:type="dxa"/>
          <w:right w:w="28" w:type="dxa"/>
        </w:tblCellMar>
      </w:tblPr>
      <w:tblGrid>
        <w:gridCol w:w="2230"/>
        <w:gridCol w:w="1962"/>
        <w:gridCol w:w="1973"/>
        <w:gridCol w:w="211"/>
        <w:gridCol w:w="361"/>
        <w:gridCol w:w="109"/>
        <w:gridCol w:w="109"/>
        <w:gridCol w:w="109"/>
        <w:gridCol w:w="109"/>
        <w:gridCol w:w="211"/>
        <w:gridCol w:w="361"/>
        <w:gridCol w:w="154"/>
      </w:tblGrid>
      <w:tr>
        <w:trPr/>
        <w:tc>
          <w:tcPr>
            <w:tcW w:w="2230"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Trade accounts receivable and other receivables, net from related parties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Trade accounts payable to related parties </w:t>
            </w:r>
            <w:r>
              <w:rPr>
                <w:rFonts w:ascii="Times New Roman;serif" w:hAnsi="Times New Roman;serif"/>
                <w:b w:val="false"/>
                <w:color w:val="000000"/>
                <w:sz w:val="13"/>
              </w:rPr>
              <w:t xml:space="preserve">(1) (2)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Primarily includes amounts related to transportation and storage services.</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18—Equity-Indexed Compensation Plans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equity-indexed compensation plans primarily include LTIPs. Although other types of awards are contemplated under certain of the LTIPs, currently outstanding awards are limited to “phantom units,” which mature into the right to receive our Class A shares or common units of PAA (or cash equivalent) upon vesting, and “tracking units,” which, upon vesting, represent the right to receive a cash payment in an amount based upon the market value of a PAA common unit at the time of vesting. Some awards also include DERs, which, subject to applicable vesting criteria, entitle the grantee to a cash payment equal to the cash distribution paid on an outstanding Class A share or PAA common unit. The DERs terminate with the vesting or forfeiture of the underlying LTIP award.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LTIP awards include both liability-classified and equity-classified awards. In accordance with FASB guidance regarding share-based payments, the fair value of liability-classified LTIP awards is calculated based on the closing market price of the underlying PAGP share or PAA unit at each balance sheet date and adjusted for the present value of any distributions that are estimated to occur on the underlying shares or units over the vesting period that will not be received by the award recipients. The fair value for equity-classified awards is calculated in a similar manner on the respective grant dates. These fair values are recognized as compensation expense over the service period. We have elected to recognize forfeitures of awards when they occur.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F-54</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LTIP awards contain (i) time-based vesting criteria, (ii) performance conditions, (iii) market conditions or (iv) a combination of time-based vesting criteria and performance conditions. For awards with performance conditions,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have been if we had been accruing for these awards since the grant date. For awards with market conditions, the probable outcomes are determined on the respective dates that the fair values are calculated, and the resulting expense is accrued over the service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awards authorized under our LTIPs (including those associated with discontinued operations) as of December 31, 2025 (in millions):</w:t>
      </w:r>
    </w:p>
    <w:p>
      <w:pPr>
        <w:pStyle w:val="TextBody"/>
        <w:bidi w:val="0"/>
        <w:spacing w:before="0" w:after="0"/>
        <w:ind w:left="0" w:right="0" w:firstLine="720"/>
        <w:jc w:val="left"/>
        <w:rPr/>
      </w:pPr>
      <w:r>
        <w:rPr/>
      </w:r>
    </w:p>
    <w:tbl>
      <w:tblPr>
        <w:tblW w:w="8156" w:type="dxa"/>
        <w:jc w:val="center"/>
        <w:tblInd w:w="0" w:type="dxa"/>
        <w:tblLayout w:type="fixed"/>
        <w:tblCellMar>
          <w:top w:w="28" w:type="dxa"/>
          <w:left w:w="28" w:type="dxa"/>
          <w:bottom w:w="28" w:type="dxa"/>
          <w:right w:w="28" w:type="dxa"/>
        </w:tblCellMar>
      </w:tblPr>
      <w:tblGrid>
        <w:gridCol w:w="2257"/>
        <w:gridCol w:w="1997"/>
        <w:gridCol w:w="2015"/>
        <w:gridCol w:w="109"/>
        <w:gridCol w:w="109"/>
        <w:gridCol w:w="109"/>
        <w:gridCol w:w="456"/>
        <w:gridCol w:w="456"/>
        <w:gridCol w:w="648"/>
      </w:tblGrid>
      <w:tr>
        <w:trPr/>
        <w:tc>
          <w:tcPr>
            <w:tcW w:w="225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LTIP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LTIP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Awards Authorized</w:t>
            </w:r>
          </w:p>
        </w:tc>
      </w:tr>
      <w:tr>
        <w:trPr/>
        <w:tc>
          <w:tcPr>
            <w:tcW w:w="6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GP Holdings, L.P. Long-Term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All American 2021 Long-Term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All American PNG Successor Long-Term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All American GP LLC 2006 Long-Term Incentive Tracking Unit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Of the 47.3 million total awards authorized, 16.4 million awards are currently available for future grant. The remaining balance has already vested or is currently outstanding.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10.5 million PAA LTIP awards and 0.1 million PAGP LTIP awards were outstanding (including those associated with discontinued operations). Of the awards outstanding, 8.9 million PAA LTIP awards and 0.1 million PAGP LTIP awards include associated DERs. At December 31, 2025, certain of the outstanding LTIP awards were considered probable of vesting and such awards are expected to vest at various dates between August 2026 and August 2030. As of December 31, 2025, the outstanding awards that are considered probable of vesting have a remaining unrecognized fair value of approximately $70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19—Commitments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commitments (some of which are leases) related to real property, equipment and operating facilities. Future noncancelable commitments related to these items at December 31, 2025 are summarized below (in millions):</w:t>
      </w:r>
    </w:p>
    <w:p>
      <w:pPr>
        <w:pStyle w:val="TextBody"/>
        <w:bidi w:val="0"/>
        <w:spacing w:before="0" w:after="0"/>
        <w:ind w:left="0" w:right="0" w:firstLine="720"/>
        <w:jc w:val="left"/>
        <w:rPr/>
      </w:pPr>
      <w:r>
        <w:rPr/>
      </w:r>
    </w:p>
    <w:tbl>
      <w:tblPr>
        <w:tblW w:w="9679" w:type="dxa"/>
        <w:jc w:val="center"/>
        <w:tblInd w:w="0" w:type="dxa"/>
        <w:tblLayout w:type="fixed"/>
        <w:tblCellMar>
          <w:top w:w="28" w:type="dxa"/>
          <w:left w:w="28" w:type="dxa"/>
          <w:bottom w:w="28" w:type="dxa"/>
          <w:right w:w="28" w:type="dxa"/>
        </w:tblCellMar>
      </w:tblPr>
      <w:tblGrid>
        <w:gridCol w:w="694"/>
        <w:gridCol w:w="610"/>
        <w:gridCol w:w="616"/>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37"/>
        <w:gridCol w:w="525"/>
        <w:gridCol w:w="124"/>
        <w:gridCol w:w="109"/>
        <w:gridCol w:w="109"/>
        <w:gridCol w:w="109"/>
        <w:gridCol w:w="211"/>
        <w:gridCol w:w="616"/>
        <w:gridCol w:w="154"/>
      </w:tblGrid>
      <w:tr>
        <w:trPr/>
        <w:tc>
          <w:tcPr>
            <w:tcW w:w="69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Leases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rPr>
              <w:t xml:space="preserve">Other commitments </w:t>
            </w:r>
            <w:r>
              <w:rPr>
                <w:rFonts w:ascii="Times New Roman;serif" w:hAnsi="Times New Roman;serif"/>
                <w:b w:val="false"/>
                <w:color w:val="000000"/>
                <w:sz w:val="13"/>
              </w:rPr>
              <w:t>(2)</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Includes both operating and finance leases as defined by FASB guidance. Leases are primarily for (i) office space, (ii) land, (iii) vehicles, (iv) storage tanks and (v) tractor trailers. See Note 14 for additional information.</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Primarily includes storage, transportation and pipeline throughput agreements. Expense associated with such agreements was approximately $363 million, $341 million and $348 million for 2025, 2024 and 2023, respectively. A majority of the storage, transportation and pipeline throughput commitments are associated with agreements to store crude oil at facilities and transport crude oil on pipelines owned by equity method investees at posted tariff rates or prices that we believe approximate market. A portion of our commitment to transport is supported by crude oil buy/sell or other agreements with third parties with commensurate quantities.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F-55</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left"/>
        <w:rPr/>
      </w:pPr>
      <w:r>
        <w:rPr>
          <w:rFonts w:ascii="Times New Roman;serif" w:hAnsi="Times New Roman;serif"/>
          <w:b/>
          <w:i/>
          <w:color w:val="000000"/>
          <w:sz w:val="20"/>
        </w:rPr>
        <w:t>Loss Contingencies</w:t>
      </w:r>
      <w:r>
        <w:rPr>
          <w:color w:val="000000"/>
        </w:rPr>
        <w:t xml:space="preserve"> — </w:t>
      </w:r>
      <w:r>
        <w:rPr>
          <w:rFonts w:ascii="Times New Roman;serif" w:hAnsi="Times New Roman;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Legal Proceedings</w:t>
      </w:r>
      <w:r>
        <w:rPr>
          <w:color w:val="000000"/>
        </w:rPr>
        <w:t xml:space="preserve"> — </w:t>
      </w:r>
      <w:r>
        <w:rPr>
          <w:rFonts w:ascii="Times New Roman;serif" w:hAnsi="Times New Roman;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Environmental — General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 environmental liabilities when environmental assessments and/or remedial efforts are probable and the amounts can be reasonably estimated. Generally, our recording of these liabilities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F-56</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estimated undiscounted reserves for environmental liabilities (excluding liabilities related to the Line 901 incident, as discussed further below) were reflected on our Consolidated Balance Sheets as follows (in millions):</w:t>
      </w:r>
    </w:p>
    <w:p>
      <w:pPr>
        <w:pStyle w:val="TextBody"/>
        <w:bidi w:val="0"/>
        <w:spacing w:before="0" w:after="0"/>
        <w:ind w:left="0" w:right="0" w:firstLine="720"/>
        <w:jc w:val="left"/>
        <w:rPr/>
      </w:pPr>
      <w:r>
        <w:rPr/>
      </w:r>
    </w:p>
    <w:tbl>
      <w:tblPr>
        <w:tblW w:w="6476" w:type="dxa"/>
        <w:jc w:val="left"/>
        <w:tblInd w:w="0" w:type="dxa"/>
        <w:tblLayout w:type="fixed"/>
        <w:tblCellMar>
          <w:top w:w="28" w:type="dxa"/>
          <w:left w:w="28" w:type="dxa"/>
          <w:bottom w:w="28" w:type="dxa"/>
          <w:right w:w="28" w:type="dxa"/>
        </w:tblCellMar>
      </w:tblPr>
      <w:tblGrid>
        <w:gridCol w:w="1417"/>
        <w:gridCol w:w="1247"/>
        <w:gridCol w:w="1251"/>
        <w:gridCol w:w="338"/>
        <w:gridCol w:w="579"/>
        <w:gridCol w:w="177"/>
        <w:gridCol w:w="109"/>
        <w:gridCol w:w="109"/>
        <w:gridCol w:w="109"/>
        <w:gridCol w:w="331"/>
        <w:gridCol w:w="567"/>
        <w:gridCol w:w="242"/>
      </w:tblGrid>
      <w:tr>
        <w:trPr/>
        <w:tc>
          <w:tcPr>
            <w:tcW w:w="141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long-term liabilities and deferred credits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cases, the actual cash expenditures associated with these liabilities may not occur for several years.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our reserves are adequate, actual costs incurred (which may ultimately include costs for contingencies that are currently not reasonably estimable or costs for contingencies where the likelihood of loss is currently believed to be only reasonably possible or remote) may be in excess of such reserves and may potentially have a material adverse effect on our consolidated financial condition, results of operations or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Specific Legal, Environmental or Regulatory Matters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Line 901 Incident</w:t>
      </w:r>
      <w:r>
        <w:rPr>
          <w:rFonts w:ascii="Times New Roman;serif" w:hAnsi="Times New Roman;serif"/>
          <w:b w:val="false"/>
          <w:color w:val="000000"/>
          <w:sz w:val="20"/>
        </w:rPr>
        <w:t xml:space="preserve">. In May 2015, we experienced a release of crude oil from our Las Flores to Gaviota Pipeline (Line 901) in Santa Barbara County, California. Effective as of December 31, 2025, we estimate that the aggregate total costs we have incurred or will incur with respect to the Line 901 incident will be approximately $870 million, which includes actual emergency response and clean-up costs, natural resource damage assessments, fines and penalties incurred, certain third-party claims settlements, and estimated costs associated with our remaining Line 901 lawsuits and claims as described below, as well as estimates for certain legal fees and statutory interest where applicable. We accrue such estimates of aggregate total costs to “Field operating costs” in our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7"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F-57</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we did not recognize any costs related to the Line 901 incident. During the years ended December 31, 2024 and 2023, we recognized costs, net of amounts probable of recovery from insurance (as applicable) of $345 million and $10 million, respectively. As of December 31, 2025 and 2024, we had a remaining undiscounted gross liability of approximately $22 million and $5 million, respectively, related to the Line 901 incident, which aggregate amounts are reflected in “Current liabilities” on our Consolidated Balance Sheet.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insurance coverage, which is subject to certain exclusions and deductibles, in the event of such liabilities. To date, we have collected approximately $295 million of the $500 million available under our 2015 insurance program. With respect to the Line 901 incident, we do not have any amounts recorded as receivables that are recognized on our Consolidated Balance Sheets as of December 31, 2025 and 2024.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completed the required clean-up and remediation work with respect to the Line 901 incident; however, we expect to make payments for additional legal and professional costs during future periods. During the second quarter of 2025, we agreed to confidential settlement terms for various lawsuits filed in California Superior Court in Santa Barbara County by companies and individuals who provided labor, goods, or services associated with oil production activities they claim were disrupted following the Line 901 incident, the agreed aggregate settlement amount has been factored into our Line 901 total cost estimate. The only other remaining Line 901 lawsuit is pending in California Superior Court in Santa Barbara County, in which a landowner on an adjacent pipeline is alleging property damage from the “stigma” of the Line 901 incident. We are vigorously defending this remaining lawsuit, which has not yet been set for trial, and believe we have strong defenses.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 will have a material adverse effect on our consolidated financial condition, results of operations or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L48 Pipeline Release. </w:t>
      </w:r>
      <w:r>
        <w:rPr>
          <w:rFonts w:ascii="Times New Roman;serif" w:hAnsi="Times New Roman;serif"/>
          <w:b w:val="false"/>
          <w:color w:val="000000"/>
          <w:sz w:val="20"/>
        </w:rPr>
        <w:t>In March of 2025, our subsidiary, Pacific Pipeline System LLC, experienced a crude oil release of approximately 125 barrels on a segment of the Line 48 pipeline in Carson, California. Clean-up and remediation activities were conducted in cooperation with applicable state and federal regulatory agencies. An investigation by the California Office of the State Fire Marshall is not complete. To date no charges, fines or penalties have been assessed against us with respect to this release; however, it is possible that charges, fines or penalties may be assessed against us in the future. We provided notification to our applicable insurance carriers and intend to pursue reimbursement of any costs incurred in excess of our $10 million self-insured retention. We estimate that the aggregate cost to clean-up and remediate the site will be approximately $20 million. Through December 31, 2025, we incurred $12 million in connection with clean-up and remediation activities.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Hartree. </w:t>
      </w:r>
      <w:r>
        <w:rPr>
          <w:rFonts w:ascii="Times New Roman;serif" w:hAnsi="Times New Roman;serif"/>
          <w:b w:val="false"/>
          <w:color w:val="000000"/>
          <w:sz w:val="20"/>
        </w:rPr>
        <w:t>On July 19, 2022, Hartree Natural Gas Storage, LLC (“Hartree”) filed a lawsuit under seal in the Superior Court for the State of Delaware asserting claims against PAA Natural Gas Storage, L.P. and PAA arising out of a Membership Interest Purchase Agreement relating to the 2021 sale of the Pine Prairie Energy Center natural gas storage facility to Hartree. In early 2025, w</w:t>
      </w:r>
      <w:r>
        <w:rPr>
          <w:rFonts w:ascii="Times New Roman;serif" w:hAnsi="Times New Roman;serif"/>
          <w:b w:val="false"/>
          <w:color w:val="000000"/>
          <w:sz w:val="20"/>
          <w:shd w:fill="FFFFFF" w:val="clear"/>
        </w:rPr>
        <w:t>e entered into a settlement agreement with Hartree; the terms of the settlement are confidential and the amount paid is not material to our operations. All of Hartree’s claims were dismissed with prejudice and without any admission of wrongdoing by Plains.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Louisiana Coastal Erosion Lawsuit. </w:t>
      </w:r>
      <w:r>
        <w:rPr>
          <w:rFonts w:ascii="Times New Roman;serif" w:hAnsi="Times New Roman;serif"/>
          <w:b w:val="false"/>
          <w:color w:val="000000"/>
          <w:sz w:val="20"/>
        </w:rPr>
        <w:t>Various coastal parishes, the State of Louisiana and some of its departments have filed lawsuits in Louisiana against a number of energy companies seeking damages for coastal erosion in connection with oil and gas operations in Louisiana. One of our subsidiaries has been named in such a lawsuit filed by The Louisiana Department of Wildlife and Fisheries (“LADWF”). LADWF filed a lawsuit in the 24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Judicial District Court of Jefferson Parish, Louisiana on October 30, 2023 against our subsidiary, Plains Pipeline, L.P., Chevron Pipe Line Company, BP Oil Pipeline Company and Arrowhead Gulf Coast Pipeline, LLC (collectively, “Defendants”), as the former and current parties to certain pipeline right of way agreements (“ROWs”) in the vicinity of the Elmer Island Wildlife Refuge. LADWF alleges that the Defendants breached the terms of the ROWs by failing to prevent erosion and seeks restoration of the Wildlife Refuge or alternatively monetary compensatory damages including restoration costs, legal fees and disgorgement of profits derived from the alleged trespass. Our subsidiary owned and operated a pipeline in the vicinity of the refuge from 2006 through 2016. We settled this lawsuit in January 2026 for a payment from Plains of $1.5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8"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F-58</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20—Segment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Our crude oil marketing activities are included in our Crude Oil reporting segment as its primary purpose is to support the utilization of our assets by entering into transactions that facilitate increased volumes handled by our assets, resulting in additional earnings for the segment. The NGL segment includes our NGL assets primarily located in the Southwestern United States.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CODM (our Chief Executive Officer) evaluates segment performance based on measures including Segment Adjusted EBITDA (as defined below). The measure of Segment Adjusted EBITDA forms the basis of our internal financial reporting and is the primary performance measure of segment profit/(loss) used by our CODM in assessing performance and allocating resources among our operating segments. 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in consolidated joint venture entities (“Segment amounts attributable to noncontrolling interests in consolidated joint ventures”).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CODM uses Segment Adjusted EBITDA to evaluate the performance of each segment, including analyzing actual results compared to budget and guidance, to assess investment opportunities and to optimize and align assets to maximize returns to stakeholders.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Segment Adjusted EBITDA excludes depreciation and amortization.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 Maintenance capital is reviewed by our CODM on a segment basis. Repair and maintenance expenditures incurred in order to maintain the day to day operation of our existing assets are charged to expense as incurred. Assets are not reviewed by our CODM on a segmented basis; therefore, such information is not presented.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9"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F-59</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reflect certain financial data from continuing operations for each segment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985"/>
        <w:gridCol w:w="1558"/>
        <w:gridCol w:w="1563"/>
        <w:gridCol w:w="211"/>
        <w:gridCol w:w="771"/>
        <w:gridCol w:w="109"/>
        <w:gridCol w:w="109"/>
        <w:gridCol w:w="109"/>
        <w:gridCol w:w="109"/>
        <w:gridCol w:w="211"/>
        <w:gridCol w:w="516"/>
        <w:gridCol w:w="109"/>
        <w:gridCol w:w="109"/>
        <w:gridCol w:w="109"/>
        <w:gridCol w:w="109"/>
        <w:gridCol w:w="318"/>
        <w:gridCol w:w="567"/>
        <w:gridCol w:w="166"/>
        <w:gridCol w:w="109"/>
        <w:gridCol w:w="109"/>
        <w:gridCol w:w="109"/>
        <w:gridCol w:w="211"/>
        <w:gridCol w:w="771"/>
        <w:gridCol w:w="158"/>
      </w:tblGrid>
      <w:tr>
        <w:trPr/>
        <w:tc>
          <w:tcPr>
            <w:tcW w:w="1985"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Intersegment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December 31, 2025</w:t>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Purchases and related costs</w:t>
            </w:r>
            <w:r>
              <w:rPr>
                <w:color w:val="000000"/>
              </w:rPr>
              <w:t xml:space="preserve">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general and administrative expenses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significant segment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color w:val="000000"/>
              </w:rPr>
              <w:t xml:space="preserve"> </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Depreciation and amortization of unconsolidated entities </w:t>
            </w:r>
            <w:r>
              <w:rPr>
                <w:rFonts w:ascii="Times New Roman;serif" w:hAnsi="Times New Roman;serif"/>
                <w:b w:val="false"/>
                <w:color w:val="000000"/>
                <w:sz w:val="13"/>
              </w:rPr>
              <w:t>(3)</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Derivative activities and inventory valuation adjustments </w:t>
            </w:r>
            <w:r>
              <w:rPr>
                <w:rFonts w:ascii="Times New Roman;serif" w:hAnsi="Times New Roman;serif"/>
                <w:b w:val="false"/>
                <w:color w:val="000000"/>
                <w:sz w:val="13"/>
              </w:rPr>
              <w:t>(4)</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Long-term inventory costing adjustments </w:t>
            </w:r>
            <w:r>
              <w:rPr>
                <w:rFonts w:ascii="Times New Roman;serif" w:hAnsi="Times New Roman;serif"/>
                <w:b w:val="false"/>
                <w:color w:val="000000"/>
                <w:sz w:val="13"/>
              </w:rPr>
              <w:t>(5)</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Deficiencies under minimum volume commitments, net</w:t>
            </w:r>
            <w:r>
              <w:rPr>
                <w:color w:val="000000"/>
              </w:rPr>
              <w:t xml:space="preserve"> </w:t>
            </w:r>
            <w:r>
              <w:rPr>
                <w:rFonts w:ascii="Times New Roman;serif" w:hAnsi="Times New Roman;serif"/>
                <w:b w:val="false"/>
                <w:color w:val="000000"/>
                <w:sz w:val="13"/>
              </w:rPr>
              <w:t>(6)</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Equity-indexed compensation expense </w:t>
            </w:r>
            <w:r>
              <w:rPr>
                <w:rFonts w:ascii="Times New Roman;serif" w:hAnsi="Times New Roman;serif"/>
                <w:b w:val="false"/>
                <w:color w:val="000000"/>
                <w:sz w:val="13"/>
              </w:rPr>
              <w:t>(7)</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Foreign currency revaluation </w:t>
            </w:r>
            <w:r>
              <w:rPr>
                <w:rFonts w:ascii="Times New Roman;serif" w:hAnsi="Times New Roman;serif"/>
                <w:b w:val="false"/>
                <w:color w:val="000000"/>
                <w:sz w:val="13"/>
              </w:rPr>
              <w:t>(8)</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Transaction-related expenses </w:t>
            </w:r>
            <w:r>
              <w:rPr>
                <w:rFonts w:ascii="Times New Roman;serif" w:hAnsi="Times New Roman;serif"/>
                <w:b w:val="false"/>
                <w:color w:val="000000"/>
                <w:sz w:val="13"/>
              </w:rPr>
              <w:t>(9)</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amounts attributable to noncontrolling interests in consolidated joint ventures </w:t>
            </w:r>
            <w:r>
              <w:rPr>
                <w:rFonts w:ascii="Times New Roman;serif" w:hAnsi="Times New Roman;serif"/>
                <w:b w:val="false"/>
                <w:color w:val="000000"/>
                <w:sz w:val="13"/>
              </w:rPr>
              <w:t>(10)</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segment items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and acquisition capital expenditures </w:t>
            </w:r>
            <w:r>
              <w:rPr>
                <w:rFonts w:ascii="Times New Roman;serif" w:hAnsi="Times New Roman;serif"/>
                <w:b w:val="false"/>
                <w:color w:val="000000"/>
                <w:sz w:val="13"/>
              </w:rPr>
              <w:t>(11) (12)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Maintenance capital expenditures </w:t>
            </w:r>
            <w:r>
              <w:rPr>
                <w:rFonts w:ascii="Times New Roman;serif" w:hAnsi="Times New Roman;serif"/>
                <w:b w:val="false"/>
                <w:color w:val="000000"/>
                <w:sz w:val="13"/>
              </w:rPr>
              <w:t>(12)</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70"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F-60</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bl>
      <w:tblPr>
        <w:tblW w:w="10205" w:type="dxa"/>
        <w:jc w:val="center"/>
        <w:tblInd w:w="0" w:type="dxa"/>
        <w:tblLayout w:type="fixed"/>
        <w:tblCellMar>
          <w:top w:w="28" w:type="dxa"/>
          <w:left w:w="28" w:type="dxa"/>
          <w:bottom w:w="28" w:type="dxa"/>
          <w:right w:w="28" w:type="dxa"/>
        </w:tblCellMar>
      </w:tblPr>
      <w:tblGrid>
        <w:gridCol w:w="1968"/>
        <w:gridCol w:w="1566"/>
        <w:gridCol w:w="1571"/>
        <w:gridCol w:w="211"/>
        <w:gridCol w:w="772"/>
        <w:gridCol w:w="109"/>
        <w:gridCol w:w="109"/>
        <w:gridCol w:w="109"/>
        <w:gridCol w:w="109"/>
        <w:gridCol w:w="211"/>
        <w:gridCol w:w="517"/>
        <w:gridCol w:w="109"/>
        <w:gridCol w:w="109"/>
        <w:gridCol w:w="109"/>
        <w:gridCol w:w="109"/>
        <w:gridCol w:w="318"/>
        <w:gridCol w:w="567"/>
        <w:gridCol w:w="166"/>
        <w:gridCol w:w="109"/>
        <w:gridCol w:w="109"/>
        <w:gridCol w:w="109"/>
        <w:gridCol w:w="211"/>
        <w:gridCol w:w="772"/>
        <w:gridCol w:w="156"/>
      </w:tblGrid>
      <w:tr>
        <w:trPr/>
        <w:tc>
          <w:tcPr>
            <w:tcW w:w="1968"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Intersegment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December 31, 2024</w:t>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related costs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general and administrative expenses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significant segment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color w:val="000000"/>
              </w:rPr>
              <w:t xml:space="preserve"> </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Depreciation and amortization of unconsolidated entities </w:t>
            </w:r>
            <w:r>
              <w:rPr>
                <w:rFonts w:ascii="Times New Roman;serif" w:hAnsi="Times New Roman;serif"/>
                <w:b w:val="false"/>
                <w:color w:val="000000"/>
                <w:sz w:val="13"/>
              </w:rPr>
              <w:t>(3)</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Derivative activities and inventory valuation adjustments </w:t>
            </w:r>
            <w:r>
              <w:rPr>
                <w:rFonts w:ascii="Times New Roman;serif" w:hAnsi="Times New Roman;serif"/>
                <w:b w:val="false"/>
                <w:color w:val="000000"/>
                <w:sz w:val="13"/>
              </w:rPr>
              <w:t>(4)</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Long-term inventory costing adjustments </w:t>
            </w:r>
            <w:r>
              <w:rPr>
                <w:rFonts w:ascii="Times New Roman;serif" w:hAnsi="Times New Roman;serif"/>
                <w:b w:val="false"/>
                <w:color w:val="000000"/>
                <w:sz w:val="13"/>
              </w:rPr>
              <w:t>(5)</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Deficiencies under minimum volume commitments, net</w:t>
            </w:r>
            <w:r>
              <w:rPr>
                <w:color w:val="000000"/>
              </w:rPr>
              <w:t xml:space="preserve"> </w:t>
            </w:r>
            <w:r>
              <w:rPr>
                <w:rFonts w:ascii="Times New Roman;serif" w:hAnsi="Times New Roman;serif"/>
                <w:b w:val="false"/>
                <w:color w:val="000000"/>
                <w:sz w:val="13"/>
              </w:rPr>
              <w:t>(6)</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Equity-indexed compensation expense </w:t>
            </w:r>
            <w:r>
              <w:rPr>
                <w:rFonts w:ascii="Times New Roman;serif" w:hAnsi="Times New Roman;serif"/>
                <w:b w:val="false"/>
                <w:color w:val="000000"/>
                <w:sz w:val="13"/>
              </w:rPr>
              <w:t>(7)</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Foreign currency revaluation </w:t>
            </w:r>
            <w:r>
              <w:rPr>
                <w:rFonts w:ascii="Times New Roman;serif" w:hAnsi="Times New Roman;serif"/>
                <w:b w:val="false"/>
                <w:color w:val="000000"/>
                <w:sz w:val="13"/>
              </w:rPr>
              <w:t>(8)</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Line 901 incident </w:t>
            </w:r>
            <w:r>
              <w:rPr>
                <w:rFonts w:ascii="Times New Roman;serif" w:hAnsi="Times New Roman;serif"/>
                <w:b w:val="false"/>
                <w:color w:val="000000"/>
                <w:sz w:val="13"/>
              </w:rPr>
              <w:t>(13)</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amounts attributable to noncontrolling interests in consolidated joint ventures </w:t>
            </w:r>
            <w:r>
              <w:rPr>
                <w:rFonts w:ascii="Times New Roman;serif" w:hAnsi="Times New Roman;serif"/>
                <w:b w:val="false"/>
                <w:color w:val="000000"/>
                <w:sz w:val="13"/>
              </w:rPr>
              <w:t>(10)</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segment items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Segment Adjusted EBITDA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and acquisition capital expenditures </w:t>
            </w:r>
            <w:r>
              <w:rPr>
                <w:rFonts w:ascii="Times New Roman;serif" w:hAnsi="Times New Roman;serif"/>
                <w:b w:val="false"/>
                <w:color w:val="000000"/>
                <w:sz w:val="13"/>
              </w:rPr>
              <w:t>(11) (12)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Maintenance capital expenditures </w:t>
            </w:r>
            <w:r>
              <w:rPr>
                <w:rFonts w:ascii="Times New Roman;serif" w:hAnsi="Times New Roman;serif"/>
                <w:b w:val="false"/>
                <w:color w:val="000000"/>
                <w:sz w:val="13"/>
              </w:rPr>
              <w:t>(12)</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2024</w:t>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1"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F-61</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tbl>
      <w:tblPr>
        <w:tblW w:w="10205" w:type="dxa"/>
        <w:jc w:val="center"/>
        <w:tblInd w:w="0" w:type="dxa"/>
        <w:tblLayout w:type="fixed"/>
        <w:tblCellMar>
          <w:top w:w="28" w:type="dxa"/>
          <w:left w:w="28" w:type="dxa"/>
          <w:bottom w:w="28" w:type="dxa"/>
          <w:right w:w="28" w:type="dxa"/>
        </w:tblCellMar>
      </w:tblPr>
      <w:tblGrid>
        <w:gridCol w:w="1985"/>
        <w:gridCol w:w="1558"/>
        <w:gridCol w:w="1563"/>
        <w:gridCol w:w="211"/>
        <w:gridCol w:w="771"/>
        <w:gridCol w:w="109"/>
        <w:gridCol w:w="109"/>
        <w:gridCol w:w="109"/>
        <w:gridCol w:w="109"/>
        <w:gridCol w:w="211"/>
        <w:gridCol w:w="516"/>
        <w:gridCol w:w="109"/>
        <w:gridCol w:w="109"/>
        <w:gridCol w:w="109"/>
        <w:gridCol w:w="109"/>
        <w:gridCol w:w="318"/>
        <w:gridCol w:w="567"/>
        <w:gridCol w:w="166"/>
        <w:gridCol w:w="109"/>
        <w:gridCol w:w="109"/>
        <w:gridCol w:w="109"/>
        <w:gridCol w:w="211"/>
        <w:gridCol w:w="771"/>
        <w:gridCol w:w="158"/>
      </w:tblGrid>
      <w:tr>
        <w:trPr/>
        <w:tc>
          <w:tcPr>
            <w:tcW w:w="1985"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Intersegment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December 31, 2023</w:t>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related costs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general and administrative expenses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significant segment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color w:val="000000"/>
              </w:rPr>
              <w:t xml:space="preserve"> </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Depreciation and amortization of unconsolidated entities </w:t>
            </w:r>
            <w:r>
              <w:rPr>
                <w:rFonts w:ascii="Times New Roman;serif" w:hAnsi="Times New Roman;serif"/>
                <w:b w:val="false"/>
                <w:color w:val="000000"/>
                <w:sz w:val="13"/>
              </w:rPr>
              <w:t>(3)</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Derivative activities and inventory valuation adjustments </w:t>
            </w:r>
            <w:r>
              <w:rPr>
                <w:rFonts w:ascii="Times New Roman;serif" w:hAnsi="Times New Roman;serif"/>
                <w:b w:val="false"/>
                <w:color w:val="000000"/>
                <w:sz w:val="13"/>
              </w:rPr>
              <w:t>(4)</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Long-term inventory costing adjustments </w:t>
            </w:r>
            <w:r>
              <w:rPr>
                <w:rFonts w:ascii="Times New Roman;serif" w:hAnsi="Times New Roman;serif"/>
                <w:b w:val="false"/>
                <w:color w:val="000000"/>
                <w:sz w:val="13"/>
              </w:rPr>
              <w:t>(5)</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Deficiencies under minimum volume commitments, net</w:t>
            </w:r>
            <w:r>
              <w:rPr>
                <w:color w:val="000000"/>
              </w:rPr>
              <w:t xml:space="preserve"> </w:t>
            </w:r>
            <w:r>
              <w:rPr>
                <w:rFonts w:ascii="Times New Roman;serif" w:hAnsi="Times New Roman;serif"/>
                <w:b w:val="false"/>
                <w:color w:val="000000"/>
                <w:sz w:val="13"/>
              </w:rPr>
              <w:t>(6)</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Equity-indexed compensation expense </w:t>
            </w:r>
            <w:r>
              <w:rPr>
                <w:rFonts w:ascii="Times New Roman;serif" w:hAnsi="Times New Roman;serif"/>
                <w:b w:val="false"/>
                <w:color w:val="000000"/>
                <w:sz w:val="13"/>
              </w:rPr>
              <w:t>(7)</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Foreign currency revaluation </w:t>
            </w:r>
            <w:r>
              <w:rPr>
                <w:rFonts w:ascii="Times New Roman;serif" w:hAnsi="Times New Roman;serif"/>
                <w:b w:val="false"/>
                <w:color w:val="000000"/>
                <w:sz w:val="13"/>
              </w:rPr>
              <w:t>(8)</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Line 901 incident </w:t>
            </w:r>
            <w:r>
              <w:rPr>
                <w:rFonts w:ascii="Times New Roman;serif" w:hAnsi="Times New Roman;serif"/>
                <w:b w:val="false"/>
                <w:color w:val="000000"/>
                <w:sz w:val="13"/>
              </w:rPr>
              <w:t>(13)</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Transaction-related expenses </w:t>
            </w:r>
            <w:r>
              <w:rPr>
                <w:rFonts w:ascii="Times New Roman;serif" w:hAnsi="Times New Roman;serif"/>
                <w:b w:val="false"/>
                <w:color w:val="000000"/>
                <w:sz w:val="13"/>
              </w:rPr>
              <w:t>(9)</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amounts attributable to noncontrolling interests in consolidated joint ventures </w:t>
            </w:r>
            <w:r>
              <w:rPr>
                <w:rFonts w:ascii="Times New Roman;serif" w:hAnsi="Times New Roman;serif"/>
                <w:b w:val="false"/>
                <w:color w:val="000000"/>
                <w:sz w:val="13"/>
              </w:rPr>
              <w:t>(10)</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segment items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Segment Adjusted EBITDA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and acquisition capital expenditures </w:t>
            </w:r>
            <w:r>
              <w:rPr>
                <w:rFonts w:ascii="Times New Roman;serif" w:hAnsi="Times New Roman;serif"/>
                <w:b w:val="false"/>
                <w:color w:val="000000"/>
                <w:sz w:val="13"/>
              </w:rPr>
              <w:t>(11) (12)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Maintenance capital expenditures </w:t>
            </w:r>
            <w:r>
              <w:rPr>
                <w:rFonts w:ascii="Times New Roman;serif" w:hAnsi="Times New Roman;serif"/>
                <w:b w:val="false"/>
                <w:color w:val="000000"/>
                <w:sz w:val="13"/>
              </w:rPr>
              <w:t>(12)</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2023</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1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adjustments utilized by our CODM in the evaluation of segment results.</w:t>
      </w:r>
    </w:p>
    <w:p>
      <w:pPr>
        <w:pStyle w:val="TextBody"/>
        <w:bidi w:val="0"/>
        <w:spacing w:lineRule="auto" w:line="288" w:before="120" w:after="283"/>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Includes our proportionate share of the depreciation and amortization expense (including write-downs related to cancelled projects and impairments) of unconsolidated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2"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F-62</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120" w:after="283"/>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pStyle w:val="TextBody"/>
        <w:bidi w:val="0"/>
        <w:spacing w:lineRule="auto" w:line="288" w:before="120" w:after="283"/>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pStyle w:val="TextBody"/>
        <w:bidi w:val="0"/>
        <w:spacing w:lineRule="auto" w:line="288" w:before="120" w:after="283"/>
        <w:ind w:left="0" w:right="0" w:hanging="720"/>
        <w:jc w:val="left"/>
        <w:rPr/>
      </w:pPr>
      <w:r>
        <w:rPr>
          <w:rFonts w:ascii="Times New Roman;serif" w:hAnsi="Times New Roman;serif"/>
          <w:b w:val="false"/>
          <w:color w:val="000000"/>
          <w:sz w:val="13"/>
        </w:rPr>
        <w:t>(6)</w:t>
      </w:r>
      <w:r>
        <w:rPr>
          <w:rFonts w:ascii="Times New Roman;serif" w:hAnsi="Times New Roman;serif"/>
          <w:b w:val="false"/>
          <w:color w:val="000000"/>
          <w:sz w:val="20"/>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pStyle w:val="TextBody"/>
        <w:bidi w:val="0"/>
        <w:spacing w:lineRule="auto" w:line="288" w:before="120" w:after="283"/>
        <w:ind w:left="0" w:right="0" w:hanging="720"/>
        <w:jc w:val="left"/>
        <w:rPr/>
      </w:pPr>
      <w:r>
        <w:rPr>
          <w:rFonts w:ascii="Times New Roman;serif" w:hAnsi="Times New Roman;serif"/>
          <w:b w:val="false"/>
          <w:color w:val="000000"/>
          <w:sz w:val="14"/>
        </w:rPr>
        <w:t>(7)</w:t>
      </w:r>
      <w:r>
        <w:rPr>
          <w:rFonts w:ascii="Times New Roman;serif" w:hAnsi="Times New Roman;serif"/>
          <w:b w:val="false"/>
          <w:color w:val="000000"/>
          <w:sz w:val="20"/>
        </w:rPr>
        <w:t>Our total equity-indexed compensation expense includes expense associated with awards that will be settled in PAA common units and awards that will be settled in cash. The awards that will be settled in PAA common units are included in PAA’s diluted net income per unit calculation when the applicable performance criteria have been met. We exclude compensation expense associated with these awards in determining Segment Adjusted EBITDA as the dilutive impact of the outstanding awards is included in PAA’s diluted net income per unit calculation, as applicable. The portion of compensation expense associated with awards that will be settled in cash is not excluded in determining Segment Adjusted EBITDA. See Note 18 for information regarding our equity-indexed compensation plans.</w:t>
      </w:r>
    </w:p>
    <w:p>
      <w:pPr>
        <w:pStyle w:val="TextBody"/>
        <w:bidi w:val="0"/>
        <w:spacing w:lineRule="auto" w:line="288" w:before="120" w:after="283"/>
        <w:ind w:left="0" w:right="0" w:hanging="720"/>
        <w:jc w:val="left"/>
        <w:rPr/>
      </w:pPr>
      <w:r>
        <w:rPr>
          <w:rFonts w:ascii="Times New Roman;serif" w:hAnsi="Times New Roman;serif"/>
          <w:b w:val="false"/>
          <w:color w:val="000000"/>
          <w:sz w:val="13"/>
        </w:rPr>
        <w:t>(8)</w:t>
      </w:r>
      <w:r>
        <w:rPr>
          <w:rFonts w:ascii="Times New Roman;serif" w:hAnsi="Times New Roman;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pStyle w:val="TextBody"/>
        <w:bidi w:val="0"/>
        <w:spacing w:lineRule="auto" w:line="288" w:before="120" w:after="283"/>
        <w:ind w:left="0" w:right="0" w:hanging="720"/>
        <w:jc w:val="left"/>
        <w:rPr/>
      </w:pPr>
      <w:r>
        <w:rPr>
          <w:rFonts w:ascii="Times New Roman;serif" w:hAnsi="Times New Roman;serif"/>
          <w:b w:val="false"/>
          <w:color w:val="000000"/>
          <w:sz w:val="13"/>
        </w:rPr>
        <w:t>(9)</w:t>
      </w:r>
      <w:r>
        <w:rPr>
          <w:rFonts w:ascii="Times New Roman;serif" w:hAnsi="Times New Roman;serif"/>
          <w:b w:val="false"/>
          <w:color w:val="000000"/>
          <w:sz w:val="20"/>
        </w:rPr>
        <w:t>Primarily related to deal-specific costs incurred during the years presented. See Note 8 for additional discussion. An adjustment for these non-recurring expenses is included in the calculation of Segment Adjusted EBITDA for the years ended December 31, 2025 and 2023 as our CODM does not view such expenses as integral to understanding our core segment operating performance.</w:t>
      </w:r>
    </w:p>
    <w:p>
      <w:pPr>
        <w:pStyle w:val="TextBody"/>
        <w:bidi w:val="0"/>
        <w:spacing w:lineRule="auto" w:line="288" w:before="120" w:after="283"/>
        <w:ind w:left="0" w:right="0" w:hanging="720"/>
        <w:jc w:val="left"/>
        <w:rPr/>
      </w:pPr>
      <w:r>
        <w:rPr>
          <w:rFonts w:ascii="Times New Roman;serif" w:hAnsi="Times New Roman;serif"/>
          <w:b w:val="false"/>
          <w:color w:val="000000"/>
          <w:sz w:val="13"/>
        </w:rPr>
        <w:t>(10)</w:t>
      </w:r>
      <w:r>
        <w:rPr>
          <w:rFonts w:ascii="Times New Roman;serif" w:hAnsi="Times New Roman;serif"/>
          <w:b w:val="false"/>
          <w:color w:val="000000"/>
          <w:sz w:val="20"/>
        </w:rPr>
        <w:t>Reflects amounts attributable to noncontrolling interests in the Permian JV, Cactus II and Red River.</w:t>
      </w:r>
    </w:p>
    <w:p>
      <w:pPr>
        <w:pStyle w:val="TextBody"/>
        <w:bidi w:val="0"/>
        <w:spacing w:lineRule="auto" w:line="288" w:before="120" w:after="283"/>
        <w:ind w:left="0" w:right="0" w:hanging="720"/>
        <w:jc w:val="left"/>
        <w:rPr/>
      </w:pPr>
      <w:r>
        <w:rPr>
          <w:rFonts w:ascii="Times New Roman;serif" w:hAnsi="Times New Roman;serif"/>
          <w:b w:val="false"/>
          <w:color w:val="000000"/>
          <w:sz w:val="13"/>
        </w:rPr>
        <w:t>(11)</w:t>
      </w:r>
      <w:r>
        <w:rPr>
          <w:rFonts w:ascii="Times New Roman;serif" w:hAnsi="Times New Roman;serif"/>
          <w:b w:val="false"/>
          <w:color w:val="000000"/>
          <w:sz w:val="20"/>
        </w:rPr>
        <w:t>Investment capital and acquisition capital expenditures, including investments in unconsolidated entities.</w:t>
      </w:r>
    </w:p>
    <w:p>
      <w:pPr>
        <w:pStyle w:val="TextBody"/>
        <w:bidi w:val="0"/>
        <w:spacing w:lineRule="auto" w:line="288" w:before="120" w:after="283"/>
        <w:ind w:left="0" w:right="0" w:hanging="720"/>
        <w:jc w:val="left"/>
        <w:rPr/>
      </w:pPr>
      <w:r>
        <w:rPr>
          <w:rFonts w:ascii="Times New Roman;serif" w:hAnsi="Times New Roman;serif"/>
          <w:b w:val="false"/>
          <w:color w:val="000000"/>
          <w:sz w:val="13"/>
        </w:rPr>
        <w:t>(12)</w:t>
      </w:r>
      <w:r>
        <w:rPr>
          <w:rFonts w:ascii="Times New Roman;serif" w:hAnsi="Times New Roman;serif"/>
          <w:b w:val="false"/>
          <w:color w:val="000000"/>
          <w:sz w:val="20"/>
        </w:rPr>
        <w:t>These amounts combined represent total capital expenditures.</w:t>
      </w:r>
    </w:p>
    <w:p>
      <w:pPr>
        <w:pStyle w:val="TextBody"/>
        <w:bidi w:val="0"/>
        <w:spacing w:lineRule="auto" w:line="288" w:before="120" w:after="283"/>
        <w:ind w:left="0" w:right="0" w:hanging="720"/>
        <w:jc w:val="left"/>
        <w:rPr/>
      </w:pPr>
      <w:r>
        <w:rPr>
          <w:rFonts w:ascii="Times New Roman;serif" w:hAnsi="Times New Roman;serif"/>
          <w:b w:val="false"/>
          <w:color w:val="000000"/>
          <w:sz w:val="13"/>
        </w:rPr>
        <w:t>(13)</w:t>
      </w:r>
      <w:r>
        <w:rPr>
          <w:rFonts w:ascii="Times New Roman;serif" w:hAnsi="Times New Roman;serif"/>
          <w:b w:val="false"/>
          <w:color w:val="000000"/>
          <w:sz w:val="20"/>
        </w:rPr>
        <w:t>Includes costs recognized during the period related to the Line 901 incident that occurred in May 2015, net of amounts we believe are probable of recovery from insurance (as applicable). The year ended December 31, 2024 includes the write-off of a receivable for Line 901 insurance proceeds in the fourth quarter of 2024 and the impact of settlements in the third quarter of 2024. See Note 19 for additional information regarding the Line 901 incident.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3"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F-63</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before="120" w:after="283"/>
        <w:ind w:left="0" w:right="0" w:hanging="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Segment Adjusted EBITDA Reconciliation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Segment Adjusted EBITDA to Income from continuing operations, net of tax (in millions):</w:t>
      </w:r>
    </w:p>
    <w:p>
      <w:pPr>
        <w:pStyle w:val="TextBody"/>
        <w:bidi w:val="0"/>
        <w:spacing w:before="0" w:after="0"/>
        <w:ind w:left="0" w:right="0" w:firstLine="720"/>
        <w:jc w:val="left"/>
        <w:rPr/>
      </w:pPr>
      <w:r>
        <w:rPr/>
      </w:r>
    </w:p>
    <w:tbl>
      <w:tblPr>
        <w:tblW w:w="8562" w:type="dxa"/>
        <w:jc w:val="left"/>
        <w:tblInd w:w="0" w:type="dxa"/>
        <w:tblLayout w:type="fixed"/>
        <w:tblCellMar>
          <w:top w:w="28" w:type="dxa"/>
          <w:left w:w="28" w:type="dxa"/>
          <w:bottom w:w="28" w:type="dxa"/>
          <w:right w:w="28" w:type="dxa"/>
        </w:tblCellMar>
      </w:tblPr>
      <w:tblGrid>
        <w:gridCol w:w="1825"/>
        <w:gridCol w:w="1610"/>
        <w:gridCol w:w="1620"/>
        <w:gridCol w:w="211"/>
        <w:gridCol w:w="616"/>
        <w:gridCol w:w="109"/>
        <w:gridCol w:w="109"/>
        <w:gridCol w:w="109"/>
        <w:gridCol w:w="109"/>
        <w:gridCol w:w="211"/>
        <w:gridCol w:w="616"/>
        <w:gridCol w:w="109"/>
        <w:gridCol w:w="109"/>
        <w:gridCol w:w="109"/>
        <w:gridCol w:w="109"/>
        <w:gridCol w:w="211"/>
        <w:gridCol w:w="616"/>
        <w:gridCol w:w="154"/>
      </w:tblGrid>
      <w:tr>
        <w:trPr/>
        <w:tc>
          <w:tcPr>
            <w:tcW w:w="1825"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other segment items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Unallocated general and administrative expenses </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Gains/(losses) on asset sales, asset impairments and 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investments in unconsolidated entities,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tax</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net of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See footnotes to the segment financial data tables above for a more detailed discussion of Other segment items.</w:t>
      </w:r>
    </w:p>
    <w:p>
      <w:pPr>
        <w:pStyle w:val="TextBody"/>
        <w:bidi w:val="0"/>
        <w:spacing w:lineRule="auto" w:line="288" w:before="6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general and administrative expenses incremental to those of PAA, which are not allocated to our reporting segments in determining Segment Adjusted EBITDA.</w:t>
      </w:r>
    </w:p>
    <w:p>
      <w:pPr>
        <w:pStyle w:val="TextBody"/>
        <w:bidi w:val="0"/>
        <w:spacing w:before="60" w:after="283"/>
        <w:ind w:left="0" w:right="0" w:hanging="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Geographic Data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operations in the United States and Canada. Set forth below are revenues and long-lived assets attributable to these geographic areas (in millions):</w:t>
      </w:r>
    </w:p>
    <w:p>
      <w:pPr>
        <w:pStyle w:val="TextBody"/>
        <w:bidi w:val="0"/>
        <w:spacing w:before="0" w:after="0"/>
        <w:ind w:left="0" w:right="0" w:firstLine="720"/>
        <w:jc w:val="left"/>
        <w:rPr/>
      </w:pPr>
      <w:r>
        <w:rPr/>
      </w:r>
    </w:p>
    <w:tbl>
      <w:tblPr>
        <w:tblW w:w="5349" w:type="dxa"/>
        <w:jc w:val="left"/>
        <w:tblInd w:w="0" w:type="dxa"/>
        <w:tblLayout w:type="fixed"/>
        <w:tblCellMar>
          <w:top w:w="28" w:type="dxa"/>
          <w:left w:w="28" w:type="dxa"/>
          <w:bottom w:w="28" w:type="dxa"/>
          <w:right w:w="28" w:type="dxa"/>
        </w:tblCellMar>
      </w:tblPr>
      <w:tblGrid>
        <w:gridCol w:w="434"/>
        <w:gridCol w:w="382"/>
        <w:gridCol w:w="384"/>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Revenues</w:t>
            </w:r>
            <w:r>
              <w:rPr>
                <w:color w:val="000000"/>
              </w:rPr>
              <w:t>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Revenues are primarily attributed to each region based on where the services are provided or the product is shipped.</w:t>
      </w:r>
    </w:p>
    <w:p>
      <w:pPr>
        <w:pStyle w:val="TextBody"/>
        <w:bidi w:val="0"/>
        <w:spacing w:before="0" w:after="0"/>
        <w:jc w:val="left"/>
        <w:rPr/>
      </w:pPr>
      <w:r>
        <w:rPr/>
      </w:r>
    </w:p>
    <w:tbl>
      <w:tblPr>
        <w:tblW w:w="4385" w:type="dxa"/>
        <w:jc w:val="center"/>
        <w:tblInd w:w="0" w:type="dxa"/>
        <w:tblLayout w:type="fixed"/>
        <w:tblCellMar>
          <w:top w:w="28" w:type="dxa"/>
          <w:left w:w="28" w:type="dxa"/>
          <w:bottom w:w="28" w:type="dxa"/>
          <w:right w:w="28" w:type="dxa"/>
        </w:tblCellMar>
      </w:tblPr>
      <w:tblGrid>
        <w:gridCol w:w="581"/>
        <w:gridCol w:w="511"/>
        <w:gridCol w:w="512"/>
        <w:gridCol w:w="109"/>
        <w:gridCol w:w="109"/>
        <w:gridCol w:w="109"/>
        <w:gridCol w:w="211"/>
        <w:gridCol w:w="721"/>
        <w:gridCol w:w="109"/>
        <w:gridCol w:w="109"/>
        <w:gridCol w:w="109"/>
        <w:gridCol w:w="109"/>
        <w:gridCol w:w="211"/>
        <w:gridCol w:w="721"/>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Long-Lived Assets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Excludes long-term derivative assets and long-term deferred tax assets.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4"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F-64</w:t>
                      </w:r>
                    </w:p>
                  </w:txbxContent>
                </v:textbox>
                <w10:wrap type="none"/>
              </v:rect>
            </w:pict>
          </mc:Fallback>
        </mc:AlternateContent>
      </w:r>
    </w:p>
    <w:p>
      <w:pPr>
        <w:pStyle w:val="TextBody"/>
        <w:bidi w:val="0"/>
        <w:spacing w:lineRule="auto" w:line="288" w:before="0" w:after="0"/>
        <w:jc w:val="left"/>
        <w:rPr/>
      </w:pPr>
      <w:hyperlink w:anchor="i0c15c301e2e1454884c7405821cd32f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hyperlink w:anchor="i0c15c301e2e1454884c7405821cd32fa_157">
        <w:r>
          <w:rPr>
            <w:rStyle w:val="InternetLink"/>
            <w:rFonts w:ascii="Times New Roman;serif" w:hAnsi="Times New Roman;serif"/>
            <w:b w:val="false"/>
            <w:color w:val="0000FF"/>
            <w:sz w:val="18"/>
            <w:u w:val="single"/>
          </w:rPr>
          <w:t>Index to Financial Statements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21—Selected Quarterly Financial Data (Unaudited)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17, 2025, we entered into a SPA with Keyera, pursuant to which Keyera agreed to acquire all of the issued and outstanding shares of Plains Midstream Canada ULC, our wholly-owned subsidiary that owns substantially all of our Canadian NGL Business. See Note 1 for additional information. We determined that in conjunction with entering into the SPA, the operations of the Canadian NGL Business meet the criteria for classification as held for sale and for discontinued operations reporting, as the sale will represent a strategic shift that will have a major effect on our operations and financial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selected quarterly financial data (in millions, except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05"/>
        <w:gridCol w:w="1001"/>
        <w:gridCol w:w="1005"/>
        <w:gridCol w:w="218"/>
        <w:gridCol w:w="748"/>
        <w:gridCol w:w="112"/>
        <w:gridCol w:w="109"/>
        <w:gridCol w:w="109"/>
        <w:gridCol w:w="109"/>
        <w:gridCol w:w="242"/>
        <w:gridCol w:w="829"/>
        <w:gridCol w:w="125"/>
        <w:gridCol w:w="109"/>
        <w:gridCol w:w="109"/>
        <w:gridCol w:w="109"/>
        <w:gridCol w:w="227"/>
        <w:gridCol w:w="777"/>
        <w:gridCol w:w="117"/>
        <w:gridCol w:w="109"/>
        <w:gridCol w:w="109"/>
        <w:gridCol w:w="109"/>
        <w:gridCol w:w="242"/>
        <w:gridCol w:w="829"/>
        <w:gridCol w:w="125"/>
        <w:gridCol w:w="109"/>
        <w:gridCol w:w="109"/>
        <w:gridCol w:w="109"/>
        <w:gridCol w:w="211"/>
        <w:gridCol w:w="721"/>
        <w:gridCol w:w="163"/>
      </w:tblGrid>
      <w:tr>
        <w:trPr/>
        <w:tc>
          <w:tcPr>
            <w:tcW w:w="120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First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Third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Fourth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w:t>
            </w:r>
            <w:r>
              <w:rPr>
                <w:rFonts w:ascii="Times New Roman;serif" w:hAnsi="Times New Roman;serif"/>
                <w:b/>
                <w:color w:val="000000"/>
                <w:sz w:val="10"/>
              </w:rPr>
              <w:t>(1)</w:t>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December 31, 2025</w:t>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margin </w:t>
            </w:r>
            <w:r>
              <w:rPr>
                <w:rFonts w:ascii="Times New Roman;serif" w:hAnsi="Times New Roman;serif"/>
                <w:b w:val="false"/>
                <w:color w:val="000000"/>
                <w:sz w:val="13"/>
              </w:rPr>
              <w:t>(2)</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net of tax</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net income per Class A share:</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net income per Class A share</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income per Class A share:</w:t>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income per Class A share</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December 31, 2024</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margin </w:t>
            </w:r>
            <w:r>
              <w:rPr>
                <w:rFonts w:ascii="Times New Roman;serif" w:hAnsi="Times New Roman;serif"/>
                <w:b w:val="false"/>
                <w:color w:val="000000"/>
                <w:sz w:val="13"/>
              </w:rPr>
              <w:t>(2)</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income/(loss)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net of tax</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income/(loss) attributable to PAGP</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net income/(loss) per Class A share:</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net income/(loss) per Class A share</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income/(loss) per Class A share:</w:t>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income/(loss) per Class A share</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211"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211"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211"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211"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211"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211"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211"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211"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211"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211"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211"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The sum of the four quarters may not equal the year due to rounding.</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Gross margin is calculated as Total revenues less (i) Purchases and related costs, (ii) Field operating costs, (iii) Depreciation and amortization and (iv) (Gains)/losses on asset sales, asset impairments and other, net.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5"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SUBSIDIARIES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As of 12/31/2025</w:t>
      </w:r>
      <w:r>
        <w:rPr>
          <w:rFonts w:ascii="Times New Roman;serif" w:hAnsi="Times New Roman;serif"/>
          <w:b w:val="false"/>
          <w:color w:val="000000"/>
          <w:sz w:val="20"/>
        </w:rPr>
        <w:t>)</w:t>
      </w:r>
    </w:p>
    <w:tbl>
      <w:tblPr>
        <w:tblW w:w="6643" w:type="dxa"/>
        <w:jc w:val="center"/>
        <w:tblInd w:w="0" w:type="dxa"/>
        <w:tblLayout w:type="fixed"/>
        <w:tblCellMar>
          <w:top w:w="28" w:type="dxa"/>
          <w:left w:w="28" w:type="dxa"/>
          <w:bottom w:w="28" w:type="dxa"/>
          <w:right w:w="28" w:type="dxa"/>
        </w:tblCellMar>
      </w:tblPr>
      <w:tblGrid>
        <w:gridCol w:w="1483"/>
        <w:gridCol w:w="1302"/>
        <w:gridCol w:w="1310"/>
        <w:gridCol w:w="109"/>
        <w:gridCol w:w="109"/>
        <w:gridCol w:w="109"/>
        <w:gridCol w:w="650"/>
        <w:gridCol w:w="650"/>
        <w:gridCol w:w="921"/>
      </w:tblGrid>
      <w:tr>
        <w:trPr/>
        <w:tc>
          <w:tcPr>
            <w:tcW w:w="148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Subsidiary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Jurisdiction of Organization</w:t>
            </w:r>
          </w:p>
        </w:tc>
      </w:tr>
      <w:tr>
        <w:trPr/>
        <w:tc>
          <w:tcPr>
            <w:tcW w:w="4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Advantage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Alpha Crude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Aurora Pipeline Company Ltd.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Bakersfield Crude Terminal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Black Knight Midstream,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Cactus II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Cactus III Crude Holdings GP,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Cactus III Crude Holdings,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Cactus III Crude Services,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Cactus III Crude Marketing,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Cactus III Crude Pipeline,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Cactus III Crude Terminal Company,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Cactus III Pipeline Company,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Capline Pipeline Company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Cheyenne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Eagle Ford Crude Terminal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FM Gathering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Kern-Southland Energy Link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M2 Crude Oil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MDE 2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MDE Energy Solutions,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MDE Midstream 2,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MDE Midstream,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MDE Midstream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MDE Pipeline Logistics,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Midway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Niobrara Crude Terminal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OMOG JV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OMOG JV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Oryx Delaware Oil Transport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Oryx Midland Oil Gathering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Oryx Midland Oil Marketing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Oryx Midstream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Oryx Wink Oil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PAA Finance Corp.</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PAA GP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PAA Luxembourg S.a.r.l.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Luxembourg</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PAA Midstream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PAA Natural Gas Storage, L.P.</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PAA Service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PAA/Vulcan Gas Storage,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Pacific Pipeline System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AAP, L.P.</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All American Emergency Relief Fund,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All American GP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6148" w:type="dxa"/>
        <w:jc w:val="center"/>
        <w:tblInd w:w="0" w:type="dxa"/>
        <w:tblLayout w:type="fixed"/>
        <w:tblCellMar>
          <w:top w:w="28" w:type="dxa"/>
          <w:left w:w="28" w:type="dxa"/>
          <w:bottom w:w="28" w:type="dxa"/>
          <w:right w:w="28" w:type="dxa"/>
        </w:tblCellMar>
      </w:tblPr>
      <w:tblGrid>
        <w:gridCol w:w="1303"/>
        <w:gridCol w:w="1142"/>
        <w:gridCol w:w="1155"/>
        <w:gridCol w:w="109"/>
        <w:gridCol w:w="109"/>
        <w:gridCol w:w="109"/>
        <w:gridCol w:w="650"/>
        <w:gridCol w:w="650"/>
        <w:gridCol w:w="921"/>
      </w:tblGrid>
      <w:tr>
        <w:trPr/>
        <w:tc>
          <w:tcPr>
            <w:tcW w:w="130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Subsidiary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Jurisdiction of Organization</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All American Pipeline, L.P.</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BK Holdco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Canada Liquid Pipelines ULC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British Columbia</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Capline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Eagle Ford Energy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Eagle Ford Gas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EF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Gas Solutions,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GP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LPG Services CA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LPG Services GP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LPG Services, L.P.</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Marketing Bondholder,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Marketing CA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Marketing Canada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Marketing, L.P.</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Midstream Canada ULC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British Columbia</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Midstream Luxembourg S.a.r.l.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Luxembourg</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Midstream Superior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Oryx Permian Basin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Oryx Permian Basin Marketing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Oryx Permian Basin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Pipeline, L.P.</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Pipeline MidCon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Pipeline Montana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Products Terminals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Rail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South Texas Gathering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PMC (Nova Scotia) Company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Nova Scotia</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PNGS GP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POPB NM Crude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POPBP DE Crude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Rancho LPG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 River Pipeline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Rocky Mountain Pipeline Montana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 James Rail Terminal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Sunrise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Corridor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CONSENT OF INDEPENDENT REGISTERED PUBLIC ACCOUNTING FIRM</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Statements on Form S-3 (Nos. 333-200596, 333-210067, 333-218463, 333-267726, and 333-274400) and on Form S-8 (No. 333-193141) of Plains GP Holdings, L.P. of our report dated February 27, 2026 relating to the financial statements and the effectiveness of internal control over financial reporting, which appears in this Form 10-K.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Houston, Texas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27,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Willie Chiang,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Plains GP Holdings,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88" w:before="0" w:after="12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27, 2026</w:t>
      </w:r>
    </w:p>
    <w:p>
      <w:pPr>
        <w:pStyle w:val="TextBody"/>
        <w:bidi w:val="0"/>
        <w:spacing w:lineRule="auto" w:line="288" w:before="0" w:after="0"/>
        <w:jc w:val="left"/>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667"/>
        <w:gridCol w:w="585"/>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Willie Chiang</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Willie Chiang</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Al Swanson,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Plains GP Holdings,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88" w:before="0" w:after="12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27, 2026</w:t>
      </w:r>
    </w:p>
    <w:p>
      <w:pPr>
        <w:pStyle w:val="TextBody"/>
        <w:bidi w:val="0"/>
        <w:spacing w:lineRule="auto" w:line="288" w:before="0" w:after="0"/>
        <w:jc w:val="left"/>
        <w:rPr>
          <w:color w:val="000000"/>
        </w:rPr>
      </w:pPr>
      <w:r>
        <w:rPr>
          <w:color w:val="000000"/>
        </w:rPr>
        <w:t> </w:t>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 Swanson</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 Swanson</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PLAINS GP HOLDINGS,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Willie Chiang, Chief Executive Officer of Plains GP Holdings, L.P. (the “Company”), hereby certify that:</w:t>
      </w:r>
    </w:p>
    <w:p>
      <w:pPr>
        <w:pStyle w:val="TextBody"/>
        <w:bidi w:val="0"/>
        <w:spacing w:before="0" w:after="0"/>
        <w:jc w:val="left"/>
        <w:rPr/>
      </w:pPr>
      <w:r>
        <w:rPr/>
      </w:r>
    </w:p>
    <w:p>
      <w:pPr>
        <w:pStyle w:val="TextBody"/>
        <w:bidi w:val="0"/>
        <w:spacing w:lineRule="auto" w:line="288" w:before="0" w:after="120"/>
        <w:ind w:left="0" w:right="0" w:firstLine="720"/>
        <w:jc w:val="left"/>
        <w:rPr/>
      </w:pPr>
      <w:r>
        <w:rPr>
          <w:rFonts w:ascii="Times New Roman;serif" w:hAnsi="Times New Roman;serif"/>
          <w:b w:val="false"/>
          <w:color w:val="000000"/>
          <w:sz w:val="20"/>
        </w:rPr>
        <w:t>(i)</w:t>
      </w:r>
      <w:r>
        <w:rPr>
          <w:color w:val="000000"/>
        </w:rPr>
        <w:t xml:space="preserve"> </w:t>
      </w:r>
      <w:r>
        <w:rPr>
          <w:rFonts w:ascii="Times New Roman;serif" w:hAnsi="Times New Roman;serif"/>
          <w:b w:val="false"/>
          <w:color w:val="000000"/>
          <w:sz w:val="20"/>
        </w:rPr>
        <w:t>the accompanying report on Form 10-K for the period ended December 31, 2025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120"/>
        <w:ind w:left="0" w:right="0" w:firstLine="720"/>
        <w:jc w:val="left"/>
        <w:rPr/>
      </w:pPr>
      <w:r>
        <w:rPr>
          <w:rFonts w:ascii="Times New Roman;serif" w:hAnsi="Times New Roman;serif"/>
          <w:b w:val="false"/>
          <w:color w:val="000000"/>
          <w:sz w:val="20"/>
        </w:rPr>
        <w:t>(ii)</w:t>
      </w:r>
      <w:r>
        <w:rPr>
          <w:color w:val="000000"/>
        </w:rPr>
        <w:t xml:space="preserve"> </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2129" w:type="dxa"/>
        <w:jc w:val="left"/>
        <w:tblInd w:w="0" w:type="dxa"/>
        <w:tblLayout w:type="fixed"/>
        <w:tblCellMar>
          <w:top w:w="28" w:type="dxa"/>
          <w:left w:w="28" w:type="dxa"/>
          <w:bottom w:w="28" w:type="dxa"/>
          <w:right w:w="28" w:type="dxa"/>
        </w:tblCellMar>
      </w:tblPr>
      <w:tblGrid>
        <w:gridCol w:w="681"/>
        <w:gridCol w:w="597"/>
        <w:gridCol w:w="851"/>
      </w:tblGrid>
      <w:tr>
        <w:trPr/>
        <w:tc>
          <w:tcPr>
            <w:tcW w:w="68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Willie Chiang</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Willie Chiang</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27, 2026</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PLAINS GP HOLDINGS,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Al Swanson, Chief Financial Officer of Plains GP Holdings,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720"/>
        <w:jc w:val="left"/>
        <w:rPr/>
      </w:pPr>
      <w:r>
        <w:rPr>
          <w:rFonts w:ascii="Times New Roman;serif" w:hAnsi="Times New Roman;serif"/>
          <w:b w:val="false"/>
          <w:color w:val="000000"/>
          <w:sz w:val="20"/>
        </w:rPr>
        <w:t>(i)</w:t>
      </w:r>
      <w:r>
        <w:rPr>
          <w:color w:val="000000"/>
        </w:rPr>
        <w:t xml:space="preserve"> </w:t>
      </w:r>
      <w:r>
        <w:rPr>
          <w:rFonts w:ascii="Times New Roman;serif" w:hAnsi="Times New Roman;serif"/>
          <w:b w:val="false"/>
          <w:color w:val="000000"/>
          <w:sz w:val="20"/>
        </w:rPr>
        <w:t>the accompanying report on Form 10-K for the period ended December 31, 2025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120"/>
        <w:ind w:left="0" w:right="0" w:firstLine="720"/>
        <w:jc w:val="left"/>
        <w:rPr/>
      </w:pPr>
      <w:r>
        <w:rPr>
          <w:rFonts w:ascii="Times New Roman;serif" w:hAnsi="Times New Roman;serif"/>
          <w:b w:val="false"/>
          <w:color w:val="000000"/>
          <w:sz w:val="20"/>
        </w:rPr>
        <w:t>(ii)</w:t>
      </w:r>
      <w:r>
        <w:rPr>
          <w:color w:val="000000"/>
        </w:rPr>
        <w:t xml:space="preserve"> </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2130" w:type="dxa"/>
        <w:jc w:val="left"/>
        <w:tblInd w:w="0" w:type="dxa"/>
        <w:tblLayout w:type="fixed"/>
        <w:tblCellMar>
          <w:top w:w="28" w:type="dxa"/>
          <w:left w:w="28" w:type="dxa"/>
          <w:bottom w:w="28" w:type="dxa"/>
          <w:right w:w="28" w:type="dxa"/>
        </w:tblCellMar>
      </w:tblPr>
      <w:tblGrid>
        <w:gridCol w:w="681"/>
        <w:gridCol w:w="598"/>
        <w:gridCol w:w="851"/>
      </w:tblGrid>
      <w:tr>
        <w:trPr/>
        <w:tc>
          <w:tcPr>
            <w:tcW w:w="68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 Swanson</w:t>
            </w:r>
          </w:p>
        </w:tc>
      </w:tr>
      <w:tr>
        <w:trPr/>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Al Swanson</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27, 2026</w:t>
            </w:r>
          </w:p>
        </w:tc>
      </w:tr>
    </w:tbl>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s://www.sec.gov/Archives/edgar/data/1070423/000110465916132668/a16-14925_1ex2d1.htm" TargetMode="External"/><Relationship Id="rId9" Type="http://schemas.openxmlformats.org/officeDocument/2006/relationships/hyperlink" Target="https://www.sec.gov/Archives/edgar/data/1581990/000110465921091445/tm2121936d1_ex2-1.htm" TargetMode="External"/><Relationship Id="rId10" Type="http://schemas.openxmlformats.org/officeDocument/2006/relationships/hyperlink" Target="https://www.sec.gov/Archives/edgar/data/1581990/000158199025000021/pagpq22025exhibit21.htm" TargetMode="External"/><Relationship Id="rId11" Type="http://schemas.openxmlformats.org/officeDocument/2006/relationships/hyperlink" Target="https://www.sec.gov/Archives/edgar/data/1581990/000110465925107698/tm2530340d1_ex2-1.htm" TargetMode="External"/><Relationship Id="rId12" Type="http://schemas.openxmlformats.org/officeDocument/2006/relationships/hyperlink" Target="https://www.sec.gov/Archives/edgar/data/1581990/000110465925107698/tm2530340d1_ex2-2.htm" TargetMode="External"/><Relationship Id="rId13" Type="http://schemas.openxmlformats.org/officeDocument/2006/relationships/hyperlink" Target="https://www.sec.gov/Archives/edgar/data/1070423/000110465917061889/a17-22685_5ex3d1.htm" TargetMode="External"/><Relationship Id="rId14" Type="http://schemas.openxmlformats.org/officeDocument/2006/relationships/hyperlink" Target="https://www.sec.gov/Archives/edgar/data/1070423/000110465916158355/a16-21841_1ex3d3.htm" TargetMode="External"/><Relationship Id="rId15" Type="http://schemas.openxmlformats.org/officeDocument/2006/relationships/hyperlink" Target="https://www.sec.gov/Archives/edgar/data/1070423/000110465916158355/a16-21841_1ex3d4.htm" TargetMode="External"/><Relationship Id="rId16" Type="http://schemas.openxmlformats.org/officeDocument/2006/relationships/hyperlink" Target="https://www.sec.gov/Archives/edgar/data/1581990/000110465918060012/a18-36197_1ex3d1.htm" TargetMode="External"/><Relationship Id="rId17" Type="http://schemas.openxmlformats.org/officeDocument/2006/relationships/hyperlink" Target="https://www.sec.gov/Archives/edgar/data/1581990/000110465919032813/a19-10857_1ex3d1.htm" TargetMode="External"/><Relationship Id="rId18" Type="http://schemas.openxmlformats.org/officeDocument/2006/relationships/hyperlink" Target="https://www.sec.gov/Archives/edgar/data/1581990/000110465923093996/tm2324102d2_ex3-1.htm" TargetMode="External"/><Relationship Id="rId19" Type="http://schemas.openxmlformats.org/officeDocument/2006/relationships/hyperlink" Target="https://www.sec.gov/Archives/edgar/data/1070423/000095012908000071/h52770exv3w3.htm" TargetMode="External"/><Relationship Id="rId20" Type="http://schemas.openxmlformats.org/officeDocument/2006/relationships/hyperlink" Target="https://www.sec.gov/Archives/edgar/data/1581990/000104746913007875/a2216069zex-3_1.htm" TargetMode="External"/><Relationship Id="rId21" Type="http://schemas.openxmlformats.org/officeDocument/2006/relationships/hyperlink" Target="https://www.sec.gov/Archives/edgar/data/1581990/000110465916158356/a16-21845_1ex3d2.htm" TargetMode="External"/><Relationship Id="rId22" Type="http://schemas.openxmlformats.org/officeDocument/2006/relationships/hyperlink" Target="https://www.sec.gov/Archives/edgar/data/1581990/000158199020000012/exhibit31.htm" TargetMode="External"/><Relationship Id="rId23" Type="http://schemas.openxmlformats.org/officeDocument/2006/relationships/hyperlink" Target="https://www.sec.gov/Archives/edgar/data/1581990/000104746913007875/a2216069zex-3_3.htm" TargetMode="External"/><Relationship Id="rId24" Type="http://schemas.openxmlformats.org/officeDocument/2006/relationships/hyperlink" Target="https://www.sec.gov/Archives/edgar/data/1581990/000158199022000006/pagp202110-kexhibit311a.htm" TargetMode="External"/><Relationship Id="rId25" Type="http://schemas.openxmlformats.org/officeDocument/2006/relationships/hyperlink" Target="https://www.sec.gov/Archives/edgar/data/1070423/000089924302002834/dex41.txt" TargetMode="External"/><Relationship Id="rId26" Type="http://schemas.openxmlformats.org/officeDocument/2006/relationships/hyperlink" Target="https://www.sec.gov/Archives/edgar/data/1070423/000110465906034368/a06-11663_1ex4d1.htm" TargetMode="External"/><Relationship Id="rId27" Type="http://schemas.openxmlformats.org/officeDocument/2006/relationships/hyperlink" Target="https://www.sec.gov/Archives/edgar/data/1070423/000095012906009235/h40667exv4w2.htm" TargetMode="External"/><Relationship Id="rId28" Type="http://schemas.openxmlformats.org/officeDocument/2006/relationships/hyperlink" Target="https://www.sec.gov/Archives/edgar/data/1070423/000119312512132295/d321017dex43.htm" TargetMode="External"/><Relationship Id="rId29" Type="http://schemas.openxmlformats.org/officeDocument/2006/relationships/hyperlink" Target="https://www.sec.gov/Archives/edgar/data/1070423/000119312512499932/d453762dex43.htm" TargetMode="External"/><Relationship Id="rId30" Type="http://schemas.openxmlformats.org/officeDocument/2006/relationships/hyperlink" Target="https://www.sec.gov/Archives/edgar/data/1070423/000119312514164183/d713938dex41.htm" TargetMode="External"/><Relationship Id="rId31" Type="http://schemas.openxmlformats.org/officeDocument/2006/relationships/hyperlink" Target="https://www.sec.gov/Archives/edgar/data/1070423/000119312514440007/d833885dex43.htm" TargetMode="External"/><Relationship Id="rId32" Type="http://schemas.openxmlformats.org/officeDocument/2006/relationships/hyperlink" Target="https://www.sec.gov/Archives/edgar/data/1070423/000110465916159593/a16-22232_1ex4d1.htm" TargetMode="External"/><Relationship Id="rId33" Type="http://schemas.openxmlformats.org/officeDocument/2006/relationships/hyperlink" Target="https://www.sec.gov/Archives/edgar/data/1070423/000141057819001281/tv529555_ex4-1.htm" TargetMode="External"/><Relationship Id="rId34" Type="http://schemas.openxmlformats.org/officeDocument/2006/relationships/hyperlink" Target="https://www.sec.gov/Archives/edgar/data/1070423/000110465920072270/tm2022235d1_ex4-1.htm" TargetMode="External"/><Relationship Id="rId35" Type="http://schemas.openxmlformats.org/officeDocument/2006/relationships/hyperlink" Target="https://www.sec.gov/Archives/edgar/data/1070423/000110465924075672/tm2418387d1_ex4-1.htm" TargetMode="External"/><Relationship Id="rId36" Type="http://schemas.openxmlformats.org/officeDocument/2006/relationships/hyperlink" Target="https://www.sec.gov/Archives/edgar/data/1070423/000110465925003785/tm253436d1_ex4-1.htm" TargetMode="External"/><Relationship Id="rId37" Type="http://schemas.openxmlformats.org/officeDocument/2006/relationships/hyperlink" Target="https://www.sec.gov/Archives/edgar/data/1070423/000110465925088257/tm2524999d4_ex4-1.htm" TargetMode="External"/><Relationship Id="rId38" Type="http://schemas.openxmlformats.org/officeDocument/2006/relationships/hyperlink" Target="https://www.sec.gov/Archives/edgar/data/1070423/000110465925088257/tm2524999d4_ex4-1.htm" TargetMode="External"/><Relationship Id="rId39" Type="http://schemas.openxmlformats.org/officeDocument/2006/relationships/hyperlink" Target="https://www.sec.gov/Archives/edgar/data/1070423/000110465925088257/tm2524999d4_ex4-1.htm" TargetMode="External"/><Relationship Id="rId40" Type="http://schemas.openxmlformats.org/officeDocument/2006/relationships/hyperlink" Target="https://www.sec.gov/Archives/edgar/data/1070423/000110465925088257/tm2524999d4_ex4-3.htm" TargetMode="External"/><Relationship Id="rId41" Type="http://schemas.openxmlformats.org/officeDocument/2006/relationships/hyperlink" Target="https://www.sec.gov/Archives/edgar/data/1070423/000110465925088257/tm2524999d4_ex4-3.htm" TargetMode="External"/><Relationship Id="rId42" Type="http://schemas.openxmlformats.org/officeDocument/2006/relationships/hyperlink" Target="https://www.sec.gov/Archives/edgar/data/1070423/000110465925088257/tm2524999d4_ex4-3.htm" TargetMode="External"/><Relationship Id="rId43" Type="http://schemas.openxmlformats.org/officeDocument/2006/relationships/hyperlink" Target="https://www.sec.gov/Archives/edgar/data/1070423/000110465925088257/tm2524999d4_ex4-3.htm" TargetMode="External"/><Relationship Id="rId44" Type="http://schemas.openxmlformats.org/officeDocument/2006/relationships/hyperlink" Target="https://www.sec.gov/Archives/edgar/data/1070423/000110465925088257/tm2524999d4_ex4-3.htm" TargetMode="External"/><Relationship Id="rId45" Type="http://schemas.openxmlformats.org/officeDocument/2006/relationships/hyperlink" Target="https://www.sec.gov/Archives/edgar/data/1581990/000110465913078057/a13-22338_2ex4d1.htm" TargetMode="External"/><Relationship Id="rId46" Type="http://schemas.openxmlformats.org/officeDocument/2006/relationships/hyperlink" Target="https://www.sec.gov/Archives/edgar/data/1581990/000158199025000006/pagp202410-kexhibit415.htm" TargetMode="External"/><Relationship Id="rId47" Type="http://schemas.openxmlformats.org/officeDocument/2006/relationships/hyperlink" Target="https://www.sec.gov/Archives/edgar/data/1581990/000158199025000006/pagp202410-kexhibit415.htm" TargetMode="External"/><Relationship Id="rId48" Type="http://schemas.openxmlformats.org/officeDocument/2006/relationships/hyperlink" Target="https://www.sec.gov/Archives/edgar/data/1581990/000158199025000006/pagp202410-kexhibit415.htm" TargetMode="External"/><Relationship Id="rId49" Type="http://schemas.openxmlformats.org/officeDocument/2006/relationships/hyperlink" Target="https://www.sec.gov/Archives/edgar/data/1581990/000158199025000006/pagp202410-kexhibit415.htm" TargetMode="External"/><Relationship Id="rId50" Type="http://schemas.openxmlformats.org/officeDocument/2006/relationships/hyperlink" Target="https://www.sec.gov/Archives/edgar/data/1070423/000110465921109829/tm2125729d3_ex10-1.htm" TargetMode="External"/><Relationship Id="rId51" Type="http://schemas.openxmlformats.org/officeDocument/2006/relationships/hyperlink" Target="https://www.sec.gov/Archives/edgar/data/1070423/000110465922094478/tm2224524d1_ex10-1.htm" TargetMode="External"/><Relationship Id="rId52" Type="http://schemas.openxmlformats.org/officeDocument/2006/relationships/hyperlink" Target="https://www.sec.gov/Archives/edgar/data/1070423/000110465924092056/tm2422213d1_ex10-1.htm" TargetMode="External"/><Relationship Id="rId53" Type="http://schemas.openxmlformats.org/officeDocument/2006/relationships/hyperlink" Target="https://www.sec.gov/Archives/edgar/data/1581990/000110465921109833/tm2125730d3_ex10-2.htm" TargetMode="External"/><Relationship Id="rId54" Type="http://schemas.openxmlformats.org/officeDocument/2006/relationships/hyperlink" Target="https://www.sec.gov/Archives/edgar/data/1070423/000110465922094478/tm2224524d1_ex10-2.htm" TargetMode="External"/><Relationship Id="rId55" Type="http://schemas.openxmlformats.org/officeDocument/2006/relationships/hyperlink" Target="https://www.sec.gov/Archives/edgar/data/1070423/000110465924092056/tm2422213d1_ex10-2.htm" TargetMode="External"/><Relationship Id="rId56" Type="http://schemas.openxmlformats.org/officeDocument/2006/relationships/hyperlink" Target="https://www.sec.gov/Archives/edgar/data/1581990/000110465925107698/tm2530340d1_ex10-1.htm" TargetMode="External"/><Relationship Id="rId57" Type="http://schemas.openxmlformats.org/officeDocument/2006/relationships/hyperlink" Target="https://www.sec.gov/Archives/edgar/data/1581990/000110465925107698/tm2530340d1_ex10-1.htm" TargetMode="External"/><Relationship Id="rId58" Type="http://schemas.openxmlformats.org/officeDocument/2006/relationships/hyperlink" Target="https://www.sec.gov/Archives/edgar/data/1070423/000110465925118133/tm2532637d1_ex10-1.htm" TargetMode="External"/><Relationship Id="rId59" Type="http://schemas.openxmlformats.org/officeDocument/2006/relationships/hyperlink" Target="https://www.sec.gov/Archives/edgar/data/1070423/000095012908000071/h52770exv10w2.htm" TargetMode="External"/><Relationship Id="rId60" Type="http://schemas.openxmlformats.org/officeDocument/2006/relationships/hyperlink" Target="https://www.sec.gov/Archives/edgar/data/1070423/000110465916158355/a16-21841_1ex10d1.htm" TargetMode="External"/><Relationship Id="rId61" Type="http://schemas.openxmlformats.org/officeDocument/2006/relationships/hyperlink" Target="https://www.sec.gov/Archives/edgar/data/1070423/000110465916158355/a16-21841_1ex10d2.htm" TargetMode="External"/><Relationship Id="rId62" Type="http://schemas.openxmlformats.org/officeDocument/2006/relationships/hyperlink" Target="https://www.sec.gov/Archives/edgar/data/1070423/000089924301501783/dex101.txt" TargetMode="External"/><Relationship Id="rId63" Type="http://schemas.openxmlformats.org/officeDocument/2006/relationships/hyperlink" Target="https://www.sec.gov/Archives/edgar/data/1070423/000104746909001897/a2190434zex-10_49.htm" TargetMode="External"/><Relationship Id="rId64" Type="http://schemas.openxmlformats.org/officeDocument/2006/relationships/hyperlink" Target="https://www.sec.gov/Archives/edgar/data/1070423/000110465911010359/a11-2319_1ex10d31.htm" TargetMode="External"/><Relationship Id="rId65" Type="http://schemas.openxmlformats.org/officeDocument/2006/relationships/hyperlink" Target="https://www.sec.gov/Archives/edgar/data/1581990/000110465913078057/a13-22338_2ex10d4.htm" TargetMode="External"/><Relationship Id="rId66" Type="http://schemas.openxmlformats.org/officeDocument/2006/relationships/hyperlink" Target="https://www.sec.gov/Archives/edgar/data/1581990/000158199018000014/pagpq32018exhibit106.htm" TargetMode="External"/><Relationship Id="rId67" Type="http://schemas.openxmlformats.org/officeDocument/2006/relationships/hyperlink" Target="https://www.sec.gov/Archives/edgar/data/1581990/000158199020000005/pagp201910-kexhibit1031.htm" TargetMode="External"/><Relationship Id="rId68" Type="http://schemas.openxmlformats.org/officeDocument/2006/relationships/hyperlink" Target="https://www.sec.gov/Archives/edgar/data/1581990/000158199022000006/pagp202110-kexhibit1012.htm" TargetMode="External"/><Relationship Id="rId69" Type="http://schemas.openxmlformats.org/officeDocument/2006/relationships/hyperlink" Target="https://www.sec.gov/Archives/edgar/data/1581990/000158199025000028/pagpq32025exhibit101.htm" TargetMode="External"/><Relationship Id="rId70" Type="http://schemas.openxmlformats.org/officeDocument/2006/relationships/hyperlink" Target="https://www.sec.gov/Archives/edgar/data/1070423/000089924301501783/dex102.txt" TargetMode="External"/><Relationship Id="rId71" Type="http://schemas.openxmlformats.org/officeDocument/2006/relationships/hyperlink" Target="https://www.sec.gov/Archives/edgar/data/1070423/000104746909001897/a2190434zex-10_50.htm" TargetMode="External"/><Relationship Id="rId72" Type="http://schemas.openxmlformats.org/officeDocument/2006/relationships/hyperlink" Target="https://www.sec.gov/Archives/edgar/data/1581990/000158199019000013/pagpq32019exhibit101.htm" TargetMode="External"/><Relationship Id="rId73" Type="http://schemas.openxmlformats.org/officeDocument/2006/relationships/hyperlink" Target="https://www.sec.gov/Archives/edgar/data/1070423/000110465911010359/a11-2319_1ex10d32.htm" TargetMode="External"/><Relationship Id="rId74" Type="http://schemas.openxmlformats.org/officeDocument/2006/relationships/hyperlink" Target="https://www.sec.gov/Archives/edgar/data/1581990/000110465913078057/a13-22338_2ex10d5.htm" TargetMode="External"/><Relationship Id="rId75" Type="http://schemas.openxmlformats.org/officeDocument/2006/relationships/hyperlink" Target="https://www.sec.gov/Archives/edgar/data/1581990/000158199025000028/pagpq32025exhibit102.htm" TargetMode="External"/><Relationship Id="rId76" Type="http://schemas.openxmlformats.org/officeDocument/2006/relationships/hyperlink" Target="https://www.sec.gov/Archives/edgar/data/1070423/000110465916100030/a15-24557_1ex10d53.htm" TargetMode="External"/><Relationship Id="rId77" Type="http://schemas.openxmlformats.org/officeDocument/2006/relationships/hyperlink" Target="https://www.sec.gov/Archives/edgar/data/1581990/000158199018000014/pagpq32018exhibit107.htm" TargetMode="External"/><Relationship Id="rId78" Type="http://schemas.openxmlformats.org/officeDocument/2006/relationships/hyperlink" Target="https://www.sec.gov/Archives/edgar/data/1581990/000158199018000014/pagpq32018exhibit108.htm" TargetMode="External"/><Relationship Id="rId79" Type="http://schemas.openxmlformats.org/officeDocument/2006/relationships/hyperlink" Target="https://www.sec.gov/Archives/edgar/data/1581990/000158199025000028/pagpq32025exhibit106.htm" TargetMode="External"/><Relationship Id="rId80" Type="http://schemas.openxmlformats.org/officeDocument/2006/relationships/hyperlink" Target="https://www.sec.gov/Archives/edgar/data/1070423/000110465913093006/a13-26950_1ex4d4.htm" TargetMode="External"/><Relationship Id="rId81" Type="http://schemas.openxmlformats.org/officeDocument/2006/relationships/hyperlink" Target="https://www.sec.gov/Archives/edgar/data/1481506/000095012310047963/h72950exv10w2.htm" TargetMode="External"/><Relationship Id="rId82" Type="http://schemas.openxmlformats.org/officeDocument/2006/relationships/hyperlink" Target="https://www.sec.gov/Archives/edgar/data/1581990/000110465913078057/a13-22338_2ex10d3.htm" TargetMode="External"/><Relationship Id="rId83" Type="http://schemas.openxmlformats.org/officeDocument/2006/relationships/hyperlink" Target="https://www.sec.gov/Archives/edgar/data/1581990/000110465913078057/a13-22338_2ex10d2.htm" TargetMode="External"/><Relationship Id="rId84" Type="http://schemas.openxmlformats.org/officeDocument/2006/relationships/hyperlink" Target="https://www.sec.gov/Archives/edgar/data/1581990/000158199021000007/pagp202010-kexhibit1054.htm" TargetMode="External"/><Relationship Id="rId85" Type="http://schemas.openxmlformats.org/officeDocument/2006/relationships/hyperlink" Target="https://www.sec.gov/Archives/edgar/data/1070423/000107042322000012/paaq12022exhibit101.htm" TargetMode="External"/><Relationship Id="rId86" Type="http://schemas.openxmlformats.org/officeDocument/2006/relationships/hyperlink" Target="https://www.sec.gov/Archives/edgar/data/1581990/000158199023000022/pagpq32023exhibit101.htm" TargetMode="External"/><Relationship Id="rId87" Type="http://schemas.openxmlformats.org/officeDocument/2006/relationships/hyperlink" Target="https://www.sec.gov/Archives/edgar/data/1070423/000107042324000027/paaq32024exhibit103.htm" TargetMode="External"/><Relationship Id="rId88" Type="http://schemas.openxmlformats.org/officeDocument/2006/relationships/hyperlink" Target="https://www.sec.gov/Archives/edgar/data/1581990/000158199025000028/pagpq32025exhibit103.htm" TargetMode="External"/><Relationship Id="rId89" Type="http://schemas.openxmlformats.org/officeDocument/2006/relationships/hyperlink" Target="https://www.sec.gov/Archives/edgar/data/1581990/000158199025000028/pagpq32025exhibit104.htm" TargetMode="External"/><Relationship Id="rId90" Type="http://schemas.openxmlformats.org/officeDocument/2006/relationships/hyperlink" Target="https://www.sec.gov/Archives/edgar/data/1581990/000158199025000028/pagpq32025exhibit105.htm" TargetMode="External"/><Relationship Id="rId91" Type="http://schemas.openxmlformats.org/officeDocument/2006/relationships/hyperlink" Target="https://www.sec.gov/Archives/edgar/data/1581990/000158199025000006/pagp202410-kexhibit191.htm" TargetMode="External"/><Relationship Id="rId92" Type="http://schemas.openxmlformats.org/officeDocument/2006/relationships/hyperlink" Target="https://www.sec.gov/Archives/edgar/data/1581990/000158199025000006/pagp202410-kexhibit191.htm" TargetMode="External"/><Relationship Id="rId93" Type="http://schemas.openxmlformats.org/officeDocument/2006/relationships/hyperlink" Target="https://www.sec.gov/Archives/edgar/data/1581990/000158199025000006/pagp202410-kexhibit191.htm" TargetMode="External"/><Relationship Id="rId94" Type="http://schemas.openxmlformats.org/officeDocument/2006/relationships/hyperlink" Target="https://www.sec.gov/Archives/edgar/data/1581990/000158199025000006/pagp202410-kexhibit191.htm" TargetMode="External"/><Relationship Id="rId95" Type="http://schemas.openxmlformats.org/officeDocument/2006/relationships/hyperlink" Target="https://www.sec.gov/Archives/edgar/data/1581990/000158199025000006/pagp202410-kexhibit192.htm" TargetMode="External"/><Relationship Id="rId96" Type="http://schemas.openxmlformats.org/officeDocument/2006/relationships/hyperlink" Target="https://www.sec.gov/Archives/edgar/data/1581990/000158199025000006/pagp202410-kexhibit192.htm" TargetMode="External"/><Relationship Id="rId97" Type="http://schemas.openxmlformats.org/officeDocument/2006/relationships/hyperlink" Target="https://www.sec.gov/Archives/edgar/data/1581990/000158199025000006/pagp202410-kexhibit192.htm" TargetMode="External"/><Relationship Id="rId98" Type="http://schemas.openxmlformats.org/officeDocument/2006/relationships/hyperlink" Target="https://www.sec.gov/Archives/edgar/data/1581990/000158199024000008/pagp202310-kexhibit971.htm" TargetMode="External"/><Relationship Id="rId99" Type="http://schemas.openxmlformats.org/officeDocument/2006/relationships/fontTable" Target="fontTable.xml"/><Relationship Id="rId10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100604</Words>
  <Characters>556164</Characters>
  <CharactersWithSpaces>651405</CharactersWithSpaces>
  <Paragraphs>7818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