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1-14569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ALL AMERICAN PIPELINE, L.P.</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76-0582150</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36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 </w:t>
      </w:r>
      <w:r>
        <w:rPr>
          <w:rFonts w:ascii="Times New Roman;sans-serif" w:hAnsi="Times New Roman;sans-serif"/>
          <w:b w:val="false"/>
          <w:color w:val="000000"/>
          <w:sz w:val="20"/>
        </w:rPr>
        <w:t>No</w:t>
      </w:r>
    </w:p>
    <w:p>
      <w:pPr>
        <w:pStyle w:val="TextBody"/>
        <w:spacing w:lineRule="auto" w:line="288" w:before="120" w:after="283"/>
        <w:ind w:left="0" w:right="0" w:firstLine="360"/>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60" w:after="283"/>
        <w:ind w:left="0" w:right="0" w:firstLine="360"/>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lineRule="auto" w:line="288" w:before="120" w:after="283"/>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2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1, 2023, there were 698,390,006 Common Units outstanding.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539" w:type="dxa"/>
        <w:jc w:val="center"/>
        <w:tblInd w:w="0" w:type="dxa"/>
        <w:tblCellMar>
          <w:top w:w="28" w:type="dxa"/>
          <w:left w:w="28" w:type="dxa"/>
          <w:bottom w:w="28" w:type="dxa"/>
          <w:right w:w="28" w:type="dxa"/>
        </w:tblCellMar>
      </w:tblPr>
      <w:tblGrid>
        <w:gridCol w:w="3639"/>
        <w:gridCol w:w="3187"/>
        <w:gridCol w:w="3201"/>
        <w:gridCol w:w="149"/>
        <w:gridCol w:w="149"/>
        <w:gridCol w:w="214"/>
      </w:tblGrid>
      <w:tr>
        <w:trPr/>
        <w:tc>
          <w:tcPr>
            <w:tcW w:w="3639" w:type="dxa"/>
            <w:tcBorders/>
            <w:shd w:fill="auto" w:val="clear"/>
            <w:vAlign w:val="center"/>
          </w:tcPr>
          <w:p>
            <w:pPr>
              <w:pStyle w:val="TableContents"/>
              <w:spacing w:before="0" w:after="283"/>
              <w:rPr>
                <w:sz w:val="4"/>
                <w:szCs w:val="4"/>
              </w:rPr>
            </w:pPr>
            <w:r>
              <w:rPr>
                <w:sz w:val="4"/>
                <w:szCs w:val="4"/>
              </w:rPr>
            </w:r>
          </w:p>
        </w:tc>
        <w:tc>
          <w:tcPr>
            <w:tcW w:w="3187" w:type="dxa"/>
            <w:tcBorders/>
            <w:shd w:fill="auto" w:val="clear"/>
            <w:vAlign w:val="center"/>
          </w:tcPr>
          <w:p>
            <w:pPr>
              <w:pStyle w:val="TableContents"/>
              <w:spacing w:before="0" w:after="283"/>
              <w:rPr>
                <w:sz w:val="4"/>
                <w:szCs w:val="4"/>
              </w:rPr>
            </w:pPr>
            <w:r>
              <w:rPr>
                <w:sz w:val="4"/>
                <w:szCs w:val="4"/>
              </w:rPr>
            </w:r>
          </w:p>
        </w:tc>
        <w:tc>
          <w:tcPr>
            <w:tcW w:w="320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b8092966dc8a450abc9fbd078add567e_10">
              <w:r>
                <w:rPr>
                  <w:rStyle w:val="InternetLink"/>
                  <w:rFonts w:ascii="Times New Roman;sans-serif" w:hAnsi="Times New Roman;sans-serif"/>
                  <w:b/>
                  <w:color w:val="0000FF"/>
                  <w:sz w:val="20"/>
                  <w:u w:val="single"/>
                </w:rPr>
                <w:t>PART I. FINANCIAL INFORMATION</w:t>
              </w:r>
            </w:hyperlink>
          </w:p>
        </w:tc>
        <w:tc>
          <w:tcPr>
            <w:tcW w:w="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3">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6">
              <w:r>
                <w:rPr>
                  <w:rStyle w:val="InternetLink"/>
                </w:rPr>
                <w:t xml:space="preserve">Condensed Consolidated Balance Sheets: As of </w:t>
              </w:r>
            </w:hyperlink>
            <w:hyperlink w:anchor="ib8092966dc8a450abc9fbd078add567e_16">
              <w:r>
                <w:rPr>
                  <w:rStyle w:val="InternetLink"/>
                </w:rPr>
                <w:t>March</w:t>
              </w:r>
            </w:hyperlink>
            <w:hyperlink w:anchor="ib8092966dc8a450abc9fbd078add567e_16">
              <w:r>
                <w:rPr>
                  <w:rStyle w:val="InternetLink"/>
                </w:rPr>
                <w:t xml:space="preserve"> 3</w:t>
              </w:r>
            </w:hyperlink>
            <w:hyperlink w:anchor="ib8092966dc8a450abc9fbd078add567e_16">
              <w:r>
                <w:rPr>
                  <w:rStyle w:val="InternetLink"/>
                </w:rPr>
                <w:t>1</w:t>
              </w:r>
            </w:hyperlink>
            <w:hyperlink w:anchor="ib8092966dc8a450abc9fbd078add567e_16">
              <w:r>
                <w:rPr>
                  <w:rStyle w:val="InternetLink"/>
                </w:rPr>
                <w:t>, 202</w:t>
              </w:r>
            </w:hyperlink>
            <w:hyperlink w:anchor="ib8092966dc8a450abc9fbd078add567e_16">
              <w:r>
                <w:rPr>
                  <w:rStyle w:val="InternetLink"/>
                </w:rPr>
                <w:t>3</w:t>
              </w:r>
            </w:hyperlink>
            <w:hyperlink w:anchor="ib8092966dc8a450abc9fbd078add567e_16">
              <w:r>
                <w:rPr>
                  <w:rStyle w:val="InternetLink"/>
                </w:rPr>
                <w:t xml:space="preserve"> and December 31, 202</w:t>
              </w:r>
            </w:hyperlink>
            <w:hyperlink w:anchor="ib8092966dc8a450abc9fbd078add567e_16">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6">
              <w:r>
                <w:rPr>
                  <w:rStyle w:val="InternetLink"/>
                  <w:rFonts w:ascii="Times New Roman;sans-serif" w:hAnsi="Times New Roman;sans-serif"/>
                  <w:b w:val="false"/>
                  <w:color w:val="0000FF"/>
                  <w:sz w:val="20"/>
                  <w:u w:val="single"/>
                </w:rPr>
                <w:t>3</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8092966dc8a450abc9fbd078add567e_22">
              <w:r>
                <w:rPr>
                  <w:rStyle w:val="InternetLink"/>
                </w:rPr>
                <w:t xml:space="preserve">Condensed Consolidated Statements of Operations: For the three </w:t>
              </w:r>
            </w:hyperlink>
            <w:hyperlink w:anchor="ib8092966dc8a450abc9fbd078add567e_22">
              <w:r>
                <w:rPr>
                  <w:rStyle w:val="InternetLink"/>
                </w:rPr>
                <w:t xml:space="preserve">months ended </w:t>
              </w:r>
            </w:hyperlink>
            <w:hyperlink w:anchor="ib8092966dc8a450abc9fbd078add567e_22">
              <w:r>
                <w:rPr>
                  <w:rStyle w:val="InternetLink"/>
                </w:rPr>
                <w:t>March</w:t>
              </w:r>
            </w:hyperlink>
            <w:hyperlink w:anchor="ib8092966dc8a450abc9fbd078add567e_22">
              <w:r>
                <w:rPr>
                  <w:rStyle w:val="InternetLink"/>
                </w:rPr>
                <w:t xml:space="preserve"> 3</w:t>
              </w:r>
            </w:hyperlink>
            <w:hyperlink w:anchor="ib8092966dc8a450abc9fbd078add567e_22">
              <w:r>
                <w:rPr>
                  <w:rStyle w:val="InternetLink"/>
                </w:rPr>
                <w:t>1</w:t>
              </w:r>
            </w:hyperlink>
            <w:hyperlink w:anchor="ib8092966dc8a450abc9fbd078add567e_22">
              <w:r>
                <w:rPr>
                  <w:rStyle w:val="InternetLink"/>
                </w:rPr>
                <w:t>, 202</w:t>
              </w:r>
            </w:hyperlink>
            <w:hyperlink w:anchor="ib8092966dc8a450abc9fbd078add567e_22">
              <w:r>
                <w:rPr>
                  <w:rStyle w:val="InternetLink"/>
                </w:rPr>
                <w:t>3</w:t>
              </w:r>
            </w:hyperlink>
            <w:hyperlink w:anchor="ib8092966dc8a450abc9fbd078add567e_22">
              <w:r>
                <w:rPr>
                  <w:rStyle w:val="InternetLink"/>
                </w:rPr>
                <w:t xml:space="preserve"> and 202</w:t>
              </w:r>
            </w:hyperlink>
            <w:hyperlink w:anchor="ib8092966dc8a450abc9fbd078add567e_22">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22">
              <w:r>
                <w:rPr>
                  <w:rStyle w:val="InternetLink"/>
                  <w:rFonts w:ascii="Times New Roman;sans-serif" w:hAnsi="Times New Roman;sans-serif"/>
                  <w:b w:val="false"/>
                  <w:color w:val="0000FF"/>
                  <w:sz w:val="20"/>
                  <w:u w:val="single"/>
                </w:rPr>
                <w:t>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8092966dc8a450abc9fbd078add567e_25">
              <w:r>
                <w:rPr>
                  <w:rStyle w:val="InternetLink"/>
                </w:rPr>
                <w:t>Condensed Consolidated Statements of Comprehensive Income/(Loss): For the three</w:t>
              </w:r>
            </w:hyperlink>
            <w:hyperlink w:anchor="ib8092966dc8a450abc9fbd078add567e_25">
              <w:r>
                <w:rPr>
                  <w:rStyle w:val="InternetLink"/>
                </w:rPr>
                <w:t xml:space="preserve"> months ended </w:t>
              </w:r>
            </w:hyperlink>
            <w:hyperlink w:anchor="ib8092966dc8a450abc9fbd078add567e_25">
              <w:r>
                <w:rPr>
                  <w:rStyle w:val="InternetLink"/>
                </w:rPr>
                <w:t>March</w:t>
              </w:r>
            </w:hyperlink>
            <w:hyperlink w:anchor="ib8092966dc8a450abc9fbd078add567e_25">
              <w:r>
                <w:rPr>
                  <w:rStyle w:val="InternetLink"/>
                </w:rPr>
                <w:t xml:space="preserve"> 3</w:t>
              </w:r>
            </w:hyperlink>
            <w:hyperlink w:anchor="ib8092966dc8a450abc9fbd078add567e_25">
              <w:r>
                <w:rPr>
                  <w:rStyle w:val="InternetLink"/>
                </w:rPr>
                <w:t>1</w:t>
              </w:r>
            </w:hyperlink>
            <w:hyperlink w:anchor="ib8092966dc8a450abc9fbd078add567e_25">
              <w:r>
                <w:rPr>
                  <w:rStyle w:val="InternetLink"/>
                </w:rPr>
                <w:t>, 202</w:t>
              </w:r>
            </w:hyperlink>
            <w:hyperlink w:anchor="ib8092966dc8a450abc9fbd078add567e_25">
              <w:r>
                <w:rPr>
                  <w:rStyle w:val="InternetLink"/>
                </w:rPr>
                <w:t>3</w:t>
              </w:r>
            </w:hyperlink>
            <w:hyperlink w:anchor="ib8092966dc8a450abc9fbd078add567e_25">
              <w:r>
                <w:rPr>
                  <w:rStyle w:val="InternetLink"/>
                </w:rPr>
                <w:t> and 202</w:t>
              </w:r>
            </w:hyperlink>
            <w:hyperlink w:anchor="ib8092966dc8a450abc9fbd078add567e_25">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25">
              <w:r>
                <w:rPr>
                  <w:rStyle w:val="InternetLink"/>
                  <w:rFonts w:ascii="Times New Roman;sans-serif" w:hAnsi="Times New Roman;sans-serif"/>
                  <w:b w:val="false"/>
                  <w:color w:val="0000FF"/>
                  <w:sz w:val="20"/>
                  <w:u w:val="single"/>
                </w:rPr>
                <w:t>5</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8092966dc8a450abc9fbd078add567e_28">
              <w:r>
                <w:rPr>
                  <w:rStyle w:val="InternetLink"/>
                </w:rPr>
                <w:t>Condensed Consolidated Statements of Changes in Accumulated Other Comprehensive Income/(Loss): For the three</w:t>
              </w:r>
            </w:hyperlink>
            <w:hyperlink w:anchor="ib8092966dc8a450abc9fbd078add567e_28">
              <w:r>
                <w:rPr>
                  <w:rStyle w:val="InternetLink"/>
                </w:rPr>
                <w:t xml:space="preserve"> months ended </w:t>
              </w:r>
            </w:hyperlink>
            <w:hyperlink w:anchor="ib8092966dc8a450abc9fbd078add567e_28">
              <w:r>
                <w:rPr>
                  <w:rStyle w:val="InternetLink"/>
                </w:rPr>
                <w:t>March</w:t>
              </w:r>
            </w:hyperlink>
            <w:hyperlink w:anchor="ib8092966dc8a450abc9fbd078add567e_28">
              <w:r>
                <w:rPr>
                  <w:rStyle w:val="InternetLink"/>
                </w:rPr>
                <w:t xml:space="preserve"> 3</w:t>
              </w:r>
            </w:hyperlink>
            <w:hyperlink w:anchor="ib8092966dc8a450abc9fbd078add567e_28">
              <w:r>
                <w:rPr>
                  <w:rStyle w:val="InternetLink"/>
                </w:rPr>
                <w:t>1</w:t>
              </w:r>
            </w:hyperlink>
            <w:hyperlink w:anchor="ib8092966dc8a450abc9fbd078add567e_28">
              <w:r>
                <w:rPr>
                  <w:rStyle w:val="InternetLink"/>
                </w:rPr>
                <w:t>, 202</w:t>
              </w:r>
            </w:hyperlink>
            <w:hyperlink w:anchor="ib8092966dc8a450abc9fbd078add567e_28">
              <w:r>
                <w:rPr>
                  <w:rStyle w:val="InternetLink"/>
                </w:rPr>
                <w:t>3</w:t>
              </w:r>
            </w:hyperlink>
            <w:hyperlink w:anchor="ib8092966dc8a450abc9fbd078add567e_28">
              <w:r>
                <w:rPr>
                  <w:rStyle w:val="InternetLink"/>
                </w:rPr>
                <w:t xml:space="preserve"> and 202</w:t>
              </w:r>
            </w:hyperlink>
            <w:hyperlink w:anchor="ib8092966dc8a450abc9fbd078add567e_28">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28">
              <w:r>
                <w:rPr>
                  <w:rStyle w:val="InternetLink"/>
                  <w:rFonts w:ascii="Times New Roman;sans-serif" w:hAnsi="Times New Roman;sans-serif"/>
                  <w:b w:val="false"/>
                  <w:color w:val="0000FF"/>
                  <w:sz w:val="20"/>
                  <w:u w:val="single"/>
                </w:rPr>
                <w:t>5</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31">
              <w:r>
                <w:rPr>
                  <w:rStyle w:val="InternetLink"/>
                </w:rPr>
                <w:t xml:space="preserve">Condensed Consolidated Statements of Cash Flows: For the </w:t>
              </w:r>
            </w:hyperlink>
            <w:hyperlink w:anchor="ib8092966dc8a450abc9fbd078add567e_31">
              <w:r>
                <w:rPr>
                  <w:rStyle w:val="InternetLink"/>
                </w:rPr>
                <w:t>three</w:t>
              </w:r>
            </w:hyperlink>
            <w:hyperlink w:anchor="ib8092966dc8a450abc9fbd078add567e_31">
              <w:r>
                <w:rPr>
                  <w:rStyle w:val="InternetLink"/>
                </w:rPr>
                <w:t xml:space="preserve"> months ended </w:t>
              </w:r>
            </w:hyperlink>
            <w:hyperlink w:anchor="ib8092966dc8a450abc9fbd078add567e_31">
              <w:r>
                <w:rPr>
                  <w:rStyle w:val="InternetLink"/>
                </w:rPr>
                <w:t>March</w:t>
              </w:r>
            </w:hyperlink>
            <w:hyperlink w:anchor="ib8092966dc8a450abc9fbd078add567e_31">
              <w:r>
                <w:rPr>
                  <w:rStyle w:val="InternetLink"/>
                </w:rPr>
                <w:t xml:space="preserve"> 3</w:t>
              </w:r>
            </w:hyperlink>
            <w:hyperlink w:anchor="ib8092966dc8a450abc9fbd078add567e_31">
              <w:r>
                <w:rPr>
                  <w:rStyle w:val="InternetLink"/>
                </w:rPr>
                <w:t>1</w:t>
              </w:r>
            </w:hyperlink>
            <w:hyperlink w:anchor="ib8092966dc8a450abc9fbd078add567e_31">
              <w:r>
                <w:rPr>
                  <w:rStyle w:val="InternetLink"/>
                </w:rPr>
                <w:t>, 202</w:t>
              </w:r>
            </w:hyperlink>
            <w:hyperlink w:anchor="ib8092966dc8a450abc9fbd078add567e_31">
              <w:r>
                <w:rPr>
                  <w:rStyle w:val="InternetLink"/>
                </w:rPr>
                <w:t>3</w:t>
              </w:r>
            </w:hyperlink>
            <w:hyperlink w:anchor="ib8092966dc8a450abc9fbd078add567e_31">
              <w:r>
                <w:rPr>
                  <w:rStyle w:val="InternetLink"/>
                </w:rPr>
                <w:t xml:space="preserve"> and 202</w:t>
              </w:r>
            </w:hyperlink>
            <w:hyperlink w:anchor="ib8092966dc8a450abc9fbd078add567e_31">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31">
              <w:r>
                <w:rPr>
                  <w:rStyle w:val="InternetLink"/>
                  <w:rFonts w:ascii="Times New Roman;sans-serif" w:hAnsi="Times New Roman;sans-serif"/>
                  <w:b w:val="false"/>
                  <w:color w:val="0000FF"/>
                  <w:sz w:val="20"/>
                  <w:u w:val="single"/>
                </w:rPr>
                <w:t>6</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b8092966dc8a450abc9fbd078add567e_34">
              <w:r>
                <w:rPr>
                  <w:rStyle w:val="InternetLink"/>
                </w:rPr>
                <w:t>Condensed Consolidated Statements of Changes in Partners’ Capital: For the three</w:t>
              </w:r>
            </w:hyperlink>
            <w:hyperlink w:anchor="ib8092966dc8a450abc9fbd078add567e_34">
              <w:r>
                <w:rPr>
                  <w:rStyle w:val="InternetLink"/>
                </w:rPr>
                <w:t xml:space="preserve"> months ended </w:t>
              </w:r>
            </w:hyperlink>
            <w:hyperlink w:anchor="ib8092966dc8a450abc9fbd078add567e_34">
              <w:r>
                <w:rPr>
                  <w:rStyle w:val="InternetLink"/>
                </w:rPr>
                <w:t>March</w:t>
              </w:r>
            </w:hyperlink>
            <w:hyperlink w:anchor="ib8092966dc8a450abc9fbd078add567e_34">
              <w:r>
                <w:rPr>
                  <w:rStyle w:val="InternetLink"/>
                </w:rPr>
                <w:t xml:space="preserve"> 3</w:t>
              </w:r>
            </w:hyperlink>
            <w:hyperlink w:anchor="ib8092966dc8a450abc9fbd078add567e_34">
              <w:r>
                <w:rPr>
                  <w:rStyle w:val="InternetLink"/>
                </w:rPr>
                <w:t>1</w:t>
              </w:r>
            </w:hyperlink>
            <w:hyperlink w:anchor="ib8092966dc8a450abc9fbd078add567e_34">
              <w:r>
                <w:rPr>
                  <w:rStyle w:val="InternetLink"/>
                </w:rPr>
                <w:t>, 202</w:t>
              </w:r>
            </w:hyperlink>
            <w:hyperlink w:anchor="ib8092966dc8a450abc9fbd078add567e_34">
              <w:r>
                <w:rPr>
                  <w:rStyle w:val="InternetLink"/>
                </w:rPr>
                <w:t>3</w:t>
              </w:r>
            </w:hyperlink>
            <w:hyperlink w:anchor="ib8092966dc8a450abc9fbd078add567e_34">
              <w:r>
                <w:rPr>
                  <w:rStyle w:val="InternetLink"/>
                </w:rPr>
                <w:t> and 202</w:t>
              </w:r>
            </w:hyperlink>
            <w:hyperlink w:anchor="ib8092966dc8a450abc9fbd078add567e_34">
              <w:r>
                <w:rPr>
                  <w:rStyle w:val="InternetLink"/>
                </w:rPr>
                <w:t>2</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34">
              <w:r>
                <w:rPr>
                  <w:rStyle w:val="InternetLink"/>
                  <w:rFonts w:ascii="Times New Roman;sans-serif" w:hAnsi="Times New Roman;sans-serif"/>
                  <w:b w:val="false"/>
                  <w:color w:val="0000FF"/>
                  <w:sz w:val="20"/>
                  <w:u w:val="single"/>
                </w:rPr>
                <w:t>7</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37">
              <w:r>
                <w:rPr>
                  <w:rStyle w:val="InternetLink"/>
                  <w:rFonts w:ascii="Times New Roman;sans-serif" w:hAnsi="Times New Roman;sans-serif"/>
                  <w:b w:val="false"/>
                  <w:color w:val="0000FF"/>
                  <w:sz w:val="20"/>
                  <w:u w:val="single"/>
                </w:rPr>
                <w:t>Notes to the Condensed Consolidated Financial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40">
              <w:r>
                <w:rPr>
                  <w:rStyle w:val="InternetLink"/>
                  <w:rFonts w:ascii="Times New Roman;sans-serif" w:hAnsi="Times New Roman;sans-serif"/>
                  <w:b w:val="false"/>
                  <w:color w:val="0000FF"/>
                  <w:sz w:val="20"/>
                  <w:u w:val="single"/>
                </w:rPr>
                <w:t>1. Organization and Basis of Consolidation and Presentation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40">
              <w:r>
                <w:rPr>
                  <w:rStyle w:val="InternetLink"/>
                  <w:rFonts w:ascii="Times New Roman;sans-serif" w:hAnsi="Times New Roman;sans-serif"/>
                  <w:b w:val="false"/>
                  <w:color w:val="0000FF"/>
                  <w:sz w:val="20"/>
                  <w:u w:val="single"/>
                </w:rPr>
                <w:t>8</w:t>
              </w:r>
            </w:hyperlink>
          </w:p>
        </w:tc>
      </w:tr>
      <w:tr>
        <w:trPr/>
        <w:tc>
          <w:tcPr>
            <w:tcW w:w="10027" w:type="dxa"/>
            <w:gridSpan w:val="3"/>
            <w:tcBorders/>
            <w:shd w:fill="auto" w:val="clear"/>
            <w:vAlign w:val="center"/>
          </w:tcPr>
          <w:p>
            <w:pPr>
              <w:pStyle w:val="TableContents"/>
              <w:spacing w:before="0" w:after="283"/>
              <w:rPr>
                <w:sz w:val="4"/>
                <w:szCs w:val="4"/>
              </w:rPr>
            </w:pPr>
            <w:r>
              <w:rPr>
                <w:sz w:val="4"/>
                <w:szCs w:val="4"/>
              </w:rPr>
            </w:r>
          </w:p>
        </w:tc>
        <w:tc>
          <w:tcPr>
            <w:tcW w:w="512" w:type="dxa"/>
            <w:gridSpan w:val="3"/>
            <w:tcBorders/>
            <w:shd w:fill="auto" w:val="clear"/>
            <w:vAlign w:val="center"/>
          </w:tcPr>
          <w:p>
            <w:pPr>
              <w:pStyle w:val="TableContents"/>
              <w:spacing w:before="0" w:after="283"/>
              <w:rPr>
                <w:sz w:val="4"/>
                <w:szCs w:val="4"/>
              </w:rPr>
            </w:pPr>
            <w:r>
              <w:rPr>
                <w:sz w:val="4"/>
                <w:szCs w:val="4"/>
              </w:rPr>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46">
              <w:r>
                <w:rPr>
                  <w:rStyle w:val="InternetLink"/>
                </w:rPr>
                <w:t>2</w:t>
              </w:r>
            </w:hyperlink>
            <w:hyperlink w:anchor="ib8092966dc8a450abc9fbd078add567e_46">
              <w:r>
                <w:rPr>
                  <w:rStyle w:val="InternetLink"/>
                </w:rPr>
                <w:t>. Revenues and Accounts Receivable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46">
              <w:r>
                <w:rPr>
                  <w:rStyle w:val="InternetLink"/>
                  <w:rFonts w:ascii="Times New Roman;sans-serif" w:hAnsi="Times New Roman;sans-serif"/>
                  <w:b w:val="false"/>
                  <w:color w:val="0000FF"/>
                  <w:sz w:val="20"/>
                  <w:u w:val="single"/>
                </w:rPr>
                <w:t>10</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52">
              <w:r>
                <w:rPr>
                  <w:rStyle w:val="InternetLink"/>
                </w:rPr>
                <w:t>3</w:t>
              </w:r>
            </w:hyperlink>
            <w:hyperlink w:anchor="ib8092966dc8a450abc9fbd078add567e_52">
              <w:r>
                <w:rPr>
                  <w:rStyle w:val="InternetLink"/>
                </w:rPr>
                <w:t>. Net Income</w:t>
              </w:r>
            </w:hyperlink>
            <w:hyperlink w:anchor="ib8092966dc8a450abc9fbd078add567e_52">
              <w:r>
                <w:rPr>
                  <w:rStyle w:val="InternetLink"/>
                </w:rPr>
                <w:t xml:space="preserve"> Per Common Unit</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52">
              <w:r>
                <w:rPr>
                  <w:rStyle w:val="InternetLink"/>
                  <w:rFonts w:ascii="Times New Roman;sans-serif" w:hAnsi="Times New Roman;sans-serif"/>
                  <w:b w:val="false"/>
                  <w:color w:val="0000FF"/>
                  <w:sz w:val="20"/>
                  <w:u w:val="single"/>
                </w:rPr>
                <w:t>14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55">
              <w:r>
                <w:rPr>
                  <w:rStyle w:val="InternetLink"/>
                </w:rPr>
                <w:t>4</w:t>
              </w:r>
            </w:hyperlink>
            <w:hyperlink w:anchor="ib8092966dc8a450abc9fbd078add567e_55">
              <w:r>
                <w:rPr>
                  <w:rStyle w:val="InternetLink"/>
                </w:rPr>
                <w:t>. Inventory, Linefill and Long-term Inventory</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55">
              <w:r>
                <w:rPr>
                  <w:rStyle w:val="InternetLink"/>
                  <w:rFonts w:ascii="Times New Roman;sans-serif" w:hAnsi="Times New Roman;sans-serif"/>
                  <w:b w:val="false"/>
                  <w:color w:val="0000FF"/>
                  <w:sz w:val="20"/>
                  <w:u w:val="single"/>
                </w:rPr>
                <w:t>15</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58">
              <w:r>
                <w:rPr>
                  <w:rStyle w:val="InternetLink"/>
                </w:rPr>
                <w:t>5</w:t>
              </w:r>
            </w:hyperlink>
            <w:hyperlink w:anchor="ib8092966dc8a450abc9fbd078add567e_58">
              <w:r>
                <w:rPr>
                  <w:rStyle w:val="InternetLink"/>
                </w:rPr>
                <w:t>. Debt</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58">
              <w:r>
                <w:rPr>
                  <w:rStyle w:val="InternetLink"/>
                  <w:rFonts w:ascii="Times New Roman;sans-serif" w:hAnsi="Times New Roman;sans-serif"/>
                  <w:b w:val="false"/>
                  <w:color w:val="0000FF"/>
                  <w:sz w:val="20"/>
                  <w:u w:val="single"/>
                </w:rPr>
                <w:t>16</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61">
              <w:r>
                <w:rPr>
                  <w:rStyle w:val="InternetLink"/>
                </w:rPr>
                <w:t>6</w:t>
              </w:r>
            </w:hyperlink>
            <w:hyperlink w:anchor="ib8092966dc8a450abc9fbd078add567e_61">
              <w:r>
                <w:rPr>
                  <w:rStyle w:val="InternetLink"/>
                </w:rPr>
                <w:t>. Partners’ Capital and Distributions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61">
              <w:r>
                <w:rPr>
                  <w:rStyle w:val="InternetLink"/>
                  <w:rFonts w:ascii="Times New Roman;sans-serif" w:hAnsi="Times New Roman;sans-serif"/>
                  <w:b w:val="false"/>
                  <w:color w:val="0000FF"/>
                  <w:sz w:val="20"/>
                  <w:u w:val="single"/>
                </w:rPr>
                <w:t>17</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64">
              <w:r>
                <w:rPr>
                  <w:rStyle w:val="InternetLink"/>
                </w:rPr>
                <w:t>7</w:t>
              </w:r>
            </w:hyperlink>
            <w:hyperlink w:anchor="ib8092966dc8a450abc9fbd078add567e_64">
              <w:r>
                <w:rPr>
                  <w:rStyle w:val="InternetLink"/>
                </w:rPr>
                <w:t>. Derivatives and Risk Management Activities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64">
              <w:r>
                <w:rPr>
                  <w:rStyle w:val="InternetLink"/>
                  <w:rFonts w:ascii="Times New Roman;sans-serif" w:hAnsi="Times New Roman;sans-serif"/>
                  <w:b w:val="false"/>
                  <w:color w:val="0000FF"/>
                  <w:sz w:val="20"/>
                  <w:u w:val="single"/>
                </w:rPr>
                <w:t>19</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67">
              <w:r>
                <w:rPr>
                  <w:rStyle w:val="InternetLink"/>
                </w:rPr>
                <w:t>8</w:t>
              </w:r>
            </w:hyperlink>
            <w:hyperlink w:anchor="ib8092966dc8a450abc9fbd078add567e_67">
              <w:r>
                <w:rPr>
                  <w:rStyle w:val="InternetLink"/>
                </w:rPr>
                <w:t>. Related Party Transactions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67">
              <w:r>
                <w:rPr>
                  <w:rStyle w:val="InternetLink"/>
                  <w:rFonts w:ascii="Times New Roman;sans-serif" w:hAnsi="Times New Roman;sans-serif"/>
                  <w:b w:val="false"/>
                  <w:color w:val="0000FF"/>
                  <w:sz w:val="20"/>
                  <w:u w:val="single"/>
                </w:rPr>
                <w:t>23</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70">
              <w:r>
                <w:rPr>
                  <w:rStyle w:val="InternetLink"/>
                </w:rPr>
                <w:t>9</w:t>
              </w:r>
            </w:hyperlink>
            <w:hyperlink w:anchor="ib8092966dc8a450abc9fbd078add567e_70">
              <w:r>
                <w:rPr>
                  <w:rStyle w:val="InternetLink"/>
                </w:rPr>
                <w:t>. Commitments and Contingencies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70">
              <w:r>
                <w:rPr>
                  <w:rStyle w:val="InternetLink"/>
                  <w:rFonts w:ascii="Times New Roman;sans-serif" w:hAnsi="Times New Roman;sans-serif"/>
                  <w:b w:val="false"/>
                  <w:color w:val="0000FF"/>
                  <w:sz w:val="20"/>
                  <w:u w:val="single"/>
                </w:rPr>
                <w:t>25</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73">
              <w:r>
                <w:rPr>
                  <w:rStyle w:val="InternetLink"/>
                </w:rPr>
                <w:t>1</w:t>
              </w:r>
            </w:hyperlink>
            <w:hyperlink w:anchor="ib8092966dc8a450abc9fbd078add567e_73">
              <w:r>
                <w:rPr>
                  <w:rStyle w:val="InternetLink"/>
                </w:rPr>
                <w:t>0</w:t>
              </w:r>
            </w:hyperlink>
            <w:hyperlink w:anchor="ib8092966dc8a450abc9fbd078add567e_73">
              <w:r>
                <w:rPr>
                  <w:rStyle w:val="InternetLink"/>
                </w:rPr>
                <w:t>. Segment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73">
              <w:r>
                <w:rPr>
                  <w:rStyle w:val="InternetLink"/>
                  <w:rFonts w:ascii="Times New Roman;sans-serif" w:hAnsi="Times New Roman;sans-serif"/>
                  <w:b w:val="false"/>
                  <w:color w:val="0000FF"/>
                  <w:sz w:val="20"/>
                  <w:u w:val="single"/>
                </w:rPr>
                <w:t>30</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76">
              <w:r>
                <w:rPr>
                  <w:rStyle w:val="InternetLink"/>
                  <w:rFonts w:ascii="Times New Roman;sans-serif" w:hAnsi="Times New Roman;sans-serif"/>
                  <w:b w:val="false"/>
                  <w:color w:val="0000FF"/>
                  <w:sz w:val="20"/>
                  <w:u w:val="single"/>
                </w:rPr>
                <w:t>11. Divestitures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76">
              <w:r>
                <w:rPr>
                  <w:rStyle w:val="InternetLink"/>
                  <w:rFonts w:ascii="Times New Roman;sans-serif" w:hAnsi="Times New Roman;sans-serif"/>
                  <w:b w:val="false"/>
                  <w:color w:val="0000FF"/>
                  <w:sz w:val="20"/>
                  <w:u w:val="single"/>
                </w:rPr>
                <w:t>33</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630"/>
              <w:jc w:val="left"/>
              <w:rPr/>
            </w:pPr>
            <w:hyperlink w:anchor="ib8092966dc8a450abc9fbd078add567e_8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82">
              <w:r>
                <w:rPr>
                  <w:rStyle w:val="InternetLink"/>
                  <w:rFonts w:ascii="Times New Roman;sans-serif" w:hAnsi="Times New Roman;sans-serif"/>
                  <w:b w:val="false"/>
                  <w:color w:val="0000FF"/>
                  <w:sz w:val="20"/>
                  <w:u w:val="single"/>
                </w:rPr>
                <w:t>34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15">
              <w:r>
                <w:rPr>
                  <w:rStyle w:val="InternetLink"/>
                  <w:rFonts w:ascii="Times New Roman;sans-serif" w:hAnsi="Times New Roman;sans-serif"/>
                  <w:b w:val="false"/>
                  <w:color w:val="0000FF"/>
                  <w:sz w:val="20"/>
                  <w:u w:val="single"/>
                </w:rPr>
                <w:t>Item 3. QUANTITATIVE AND QUALITATIVE DISCLOSURES ABOUT MARKET RISK</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15">
              <w:r>
                <w:rPr>
                  <w:rStyle w:val="InternetLink"/>
                  <w:rFonts w:ascii="Times New Roman;sans-serif" w:hAnsi="Times New Roman;sans-serif"/>
                  <w:b w:val="false"/>
                  <w:color w:val="0000FF"/>
                  <w:sz w:val="20"/>
                  <w:u w:val="single"/>
                </w:rPr>
                <w:t>52</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18">
              <w:r>
                <w:rPr>
                  <w:rStyle w:val="InternetLink"/>
                  <w:rFonts w:ascii="Times New Roman;sans-serif" w:hAnsi="Times New Roman;sans-serif"/>
                  <w:b w:val="false"/>
                  <w:color w:val="0000FF"/>
                  <w:sz w:val="20"/>
                  <w:u w:val="single"/>
                </w:rPr>
                <w:t>Item 4. CONTROLS AND PROCEDURES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18">
              <w:r>
                <w:rPr>
                  <w:rStyle w:val="InternetLink"/>
                  <w:rFonts w:ascii="Times New Roman;sans-serif" w:hAnsi="Times New Roman;sans-serif"/>
                  <w:b w:val="false"/>
                  <w:color w:val="0000FF"/>
                  <w:sz w:val="20"/>
                  <w:u w:val="single"/>
                </w:rPr>
                <w:t>53</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21">
              <w:r>
                <w:rPr>
                  <w:rStyle w:val="InternetLink"/>
                  <w:rFonts w:ascii="Times New Roman;sans-serif" w:hAnsi="Times New Roman;sans-serif"/>
                  <w:b/>
                  <w:color w:val="0000FF"/>
                  <w:sz w:val="20"/>
                  <w:u w:val="single"/>
                </w:rPr>
                <w:t>PART II. OTHER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24">
              <w:r>
                <w:rPr>
                  <w:rStyle w:val="InternetLink"/>
                  <w:rFonts w:ascii="Times New Roman;sans-serif" w:hAnsi="Times New Roman;sans-serif"/>
                  <w:b w:val="false"/>
                  <w:color w:val="0000FF"/>
                  <w:sz w:val="20"/>
                  <w:u w:val="single"/>
                </w:rPr>
                <w:t>Item 1. LEGAL PROCEEDINGS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24">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27">
              <w:r>
                <w:rPr>
                  <w:rStyle w:val="InternetLink"/>
                  <w:rFonts w:ascii="Times New Roman;sans-serif" w:hAnsi="Times New Roman;sans-serif"/>
                  <w:b w:val="false"/>
                  <w:color w:val="0000FF"/>
                  <w:sz w:val="20"/>
                  <w:u w:val="single"/>
                </w:rPr>
                <w:t>Item 1A. 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27">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30">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30">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33">
              <w:r>
                <w:rPr>
                  <w:rStyle w:val="InternetLink"/>
                  <w:rFonts w:ascii="Times New Roman;sans-serif" w:hAnsi="Times New Roman;sans-serif"/>
                  <w:b w:val="false"/>
                  <w:color w:val="0000FF"/>
                  <w:sz w:val="20"/>
                  <w:u w:val="single"/>
                </w:rPr>
                <w:t>Item 3. DEFAULTS UPON SENIOR SECURITIES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33">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36">
              <w:r>
                <w:rPr>
                  <w:rStyle w:val="InternetLink"/>
                  <w:rFonts w:ascii="Times New Roman;sans-serif" w:hAnsi="Times New Roman;sans-serif"/>
                  <w:b w:val="false"/>
                  <w:color w:val="0000FF"/>
                  <w:sz w:val="20"/>
                  <w:u w:val="single"/>
                </w:rPr>
                <w:t>Item 4. MINE SAFETY DISCLOSURES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36">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39">
              <w:r>
                <w:rPr>
                  <w:rStyle w:val="InternetLink"/>
                  <w:rFonts w:ascii="Times New Roman;sans-serif" w:hAnsi="Times New Roman;sans-serif"/>
                  <w:b w:val="false"/>
                  <w:color w:val="0000FF"/>
                  <w:sz w:val="20"/>
                  <w:u w:val="single"/>
                </w:rPr>
                <w:t>Item 5. OTHER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39">
              <w:r>
                <w:rPr>
                  <w:rStyle w:val="InternetLink"/>
                  <w:rFonts w:ascii="Times New Roman;sans-serif" w:hAnsi="Times New Roman;sans-serif"/>
                  <w:b w:val="false"/>
                  <w:color w:val="0000FF"/>
                  <w:sz w:val="20"/>
                  <w:u w:val="single"/>
                </w:rPr>
                <w:t>54</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42">
              <w:r>
                <w:rPr>
                  <w:rStyle w:val="InternetLink"/>
                  <w:rFonts w:ascii="Times New Roman;sans-serif" w:hAnsi="Times New Roman;sans-serif"/>
                  <w:b w:val="false"/>
                  <w:color w:val="0000FF"/>
                  <w:sz w:val="20"/>
                  <w:u w:val="single"/>
                </w:rPr>
                <w:t>Item 6. EXHIBITS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42">
              <w:r>
                <w:rPr>
                  <w:rStyle w:val="InternetLink"/>
                  <w:rFonts w:ascii="Times New Roman;sans-serif" w:hAnsi="Times New Roman;sans-serif"/>
                  <w:b w:val="false"/>
                  <w:color w:val="0000FF"/>
                  <w:sz w:val="20"/>
                  <w:u w:val="single"/>
                </w:rPr>
                <w:t>55</w:t>
              </w:r>
            </w:hyperlink>
          </w:p>
        </w:tc>
      </w:tr>
      <w:tr>
        <w:trPr/>
        <w:tc>
          <w:tcPr>
            <w:tcW w:w="100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b8092966dc8a450abc9fbd078add567e_148">
              <w:r>
                <w:rPr>
                  <w:rStyle w:val="InternetLink"/>
                  <w:rFonts w:ascii="Times New Roman;sans-serif" w:hAnsi="Times New Roman;sans-serif"/>
                  <w:b w:val="false"/>
                  <w:color w:val="0000FF"/>
                  <w:sz w:val="20"/>
                  <w:u w:val="single"/>
                </w:rPr>
                <w:t>SIGNATURES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b8092966dc8a450abc9fbd078add567e_148">
              <w:r>
                <w:rPr>
                  <w:rStyle w:val="InternetLink"/>
                  <w:rFonts w:ascii="Times New Roman;sans-serif" w:hAnsi="Times New Roman;sans-serif"/>
                  <w:b w:val="false"/>
                  <w:color w:val="0000FF"/>
                  <w:sz w:val="20"/>
                  <w:u w:val="single"/>
                </w:rPr>
                <w:t>58</w:t>
              </w:r>
            </w:hyperlink>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46685"/>
                <wp:effectExtent l="0" t="0" r="0" b="0"/>
                <wp:wrapNone/>
                <wp:docPr id="2"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120"/>
        <w:jc w:val="center"/>
        <w:rPr/>
      </w:pPr>
      <w:r>
        <w:rPr>
          <w:rFonts w:ascii="Times New Roman;sans-serif" w:hAnsi="Times New Roman;sans-serif"/>
          <w:b/>
          <w:color w:val="000000"/>
          <w:sz w:val="20"/>
        </w:rPr>
        <w:t>PART I. FINANCIAL INFORMATION</w:t>
      </w: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tbl>
      <w:tblPr>
        <w:tblW w:w="9991" w:type="dxa"/>
        <w:jc w:val="center"/>
        <w:tblInd w:w="0" w:type="dxa"/>
        <w:tblCellMar>
          <w:top w:w="28" w:type="dxa"/>
          <w:left w:w="28" w:type="dxa"/>
          <w:bottom w:w="28" w:type="dxa"/>
          <w:right w:w="28" w:type="dxa"/>
        </w:tblCellMar>
      </w:tblPr>
      <w:tblGrid>
        <w:gridCol w:w="2705"/>
        <w:gridCol w:w="2379"/>
        <w:gridCol w:w="2400"/>
        <w:gridCol w:w="211"/>
        <w:gridCol w:w="721"/>
        <w:gridCol w:w="109"/>
        <w:gridCol w:w="109"/>
        <w:gridCol w:w="109"/>
        <w:gridCol w:w="109"/>
        <w:gridCol w:w="221"/>
        <w:gridCol w:w="757"/>
        <w:gridCol w:w="161"/>
      </w:tblGrid>
      <w:tr>
        <w:trPr/>
        <w:tc>
          <w:tcPr>
            <w:tcW w:w="2705"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(4,770)</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unitholders (71,090,468 and 71,090,468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B preferred unitholders (800,000 and 800,000 units outstanding,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unitholders (698,390,006 and 698,354,498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 excluding noncontrolling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tbl>
      <w:tblPr>
        <w:tblW w:w="8679" w:type="dxa"/>
        <w:jc w:val="center"/>
        <w:tblInd w:w="0" w:type="dxa"/>
        <w:tblCellMar>
          <w:top w:w="28" w:type="dxa"/>
          <w:left w:w="28" w:type="dxa"/>
          <w:bottom w:w="28" w:type="dxa"/>
          <w:right w:w="28" w:type="dxa"/>
        </w:tblCellMar>
      </w:tblPr>
      <w:tblGrid>
        <w:gridCol w:w="2097"/>
        <w:gridCol w:w="1842"/>
        <w:gridCol w:w="1850"/>
        <w:gridCol w:w="211"/>
        <w:gridCol w:w="721"/>
        <w:gridCol w:w="109"/>
        <w:gridCol w:w="109"/>
        <w:gridCol w:w="109"/>
        <w:gridCol w:w="109"/>
        <w:gridCol w:w="211"/>
        <w:gridCol w:w="721"/>
        <w:gridCol w:w="109"/>
        <w:gridCol w:w="109"/>
        <w:gridCol w:w="109"/>
        <w:gridCol w:w="109"/>
        <w:gridCol w:w="154"/>
      </w:tblGrid>
      <w:tr>
        <w:trPr/>
        <w:tc>
          <w:tcPr>
            <w:tcW w:w="2097"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$2 and $1,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3):</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lineRule="auto" w:line="288" w:before="0" w:after="0"/>
        <w:jc w:val="center"/>
        <w:rPr>
          <w:color w:val="000000"/>
        </w:rPr>
      </w:pPr>
      <w:r>
        <w:rPr>
          <w:color w:val="000000"/>
        </w:rPr>
        <w:t> </w:t>
      </w:r>
    </w:p>
    <w:tbl>
      <w:tblPr>
        <w:tblW w:w="7614" w:type="dxa"/>
        <w:jc w:val="center"/>
        <w:tblInd w:w="0" w:type="dxa"/>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154"/>
      </w:tblGrid>
      <w:tr>
        <w:trPr/>
        <w:tc>
          <w:tcPr>
            <w:tcW w:w="1894"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before="0" w:after="0"/>
        <w:jc w:val="center"/>
        <w:rPr/>
      </w:pPr>
      <w:r>
        <w:rPr/>
      </w:r>
    </w:p>
    <w:p>
      <w:pPr>
        <w:pStyle w:val="TextBody"/>
        <w:spacing w:lineRule="auto" w:line="288" w:before="0" w:after="0"/>
        <w:jc w:val="center"/>
        <w:rPr>
          <w:color w:val="000000"/>
        </w:rPr>
      </w:pPr>
      <w:r>
        <w:rPr>
          <w:color w:val="000000"/>
        </w:rPr>
        <w:t> </w:t>
      </w:r>
    </w:p>
    <w:tbl>
      <w:tblPr>
        <w:tblW w:w="7384" w:type="dxa"/>
        <w:jc w:val="center"/>
        <w:tblInd w:w="0" w:type="dxa"/>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hedges</w:t>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7309" w:type="dxa"/>
        <w:jc w:val="center"/>
        <w:tblInd w:w="0" w:type="dxa"/>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331"/>
        <w:gridCol w:w="109"/>
        <w:gridCol w:w="109"/>
        <w:gridCol w:w="109"/>
        <w:gridCol w:w="109"/>
        <w:gridCol w:w="211"/>
        <w:gridCol w:w="541"/>
        <w:gridCol w:w="154"/>
      </w:tblGrid>
      <w:tr>
        <w:trPr/>
        <w:tc>
          <w:tcPr>
            <w:tcW w:w="1015"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064" w:type="dxa"/>
        <w:jc w:val="center"/>
        <w:tblInd w:w="0" w:type="dxa"/>
        <w:tblCellMar>
          <w:top w:w="28" w:type="dxa"/>
          <w:left w:w="28" w:type="dxa"/>
          <w:bottom w:w="28" w:type="dxa"/>
          <w:right w:w="28" w:type="dxa"/>
        </w:tblCellMar>
      </w:tblPr>
      <w:tblGrid>
        <w:gridCol w:w="2218"/>
        <w:gridCol w:w="1949"/>
        <w:gridCol w:w="1953"/>
        <w:gridCol w:w="211"/>
        <w:gridCol w:w="466"/>
        <w:gridCol w:w="109"/>
        <w:gridCol w:w="109"/>
        <w:gridCol w:w="109"/>
        <w:gridCol w:w="109"/>
        <w:gridCol w:w="211"/>
        <w:gridCol w:w="466"/>
        <w:gridCol w:w="154"/>
      </w:tblGrid>
      <w:tr>
        <w:trPr/>
        <w:tc>
          <w:tcPr>
            <w:tcW w:w="2218"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of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(Gains)/losses on asset sales and asset impairments, net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expense/(benefit)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Preferred Distribution Rate Reset Option (Note 7)</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earnings in unconsolidated entities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on earnings from unconsolidated entities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acquisitions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equipment and other</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purchases of linefill</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by/(used in)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borrowings under commercial paper program (Note 5)</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senior notes (Note 5)</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units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A preferred unitholders (Note 6)</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B preferred unitholders (Note 6)</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common unitholders (Note 6)</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noncontrolling interests (Note 6)</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translation adjustment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increase/(decrease) in cash and cash equivalents and restricted cash</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beginning of period</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paid/(received) for:</w:t>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net of amounts capitalized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net of amounts refunded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22"/>
        <w:gridCol w:w="485"/>
        <w:gridCol w:w="488"/>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88"/>
        <w:gridCol w:w="1327"/>
        <w:gridCol w:w="202"/>
        <w:gridCol w:w="109"/>
        <w:gridCol w:w="109"/>
        <w:gridCol w:w="109"/>
        <w:gridCol w:w="322"/>
        <w:gridCol w:w="945"/>
        <w:gridCol w:w="168"/>
        <w:gridCol w:w="109"/>
        <w:gridCol w:w="109"/>
        <w:gridCol w:w="109"/>
        <w:gridCol w:w="211"/>
        <w:gridCol w:w="721"/>
        <w:gridCol w:w="157"/>
      </w:tblGrid>
      <w:tr>
        <w:trPr/>
        <w:tc>
          <w:tcPr>
            <w:tcW w:w="82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178" w:type="dxa"/>
            <w:gridSpan w:val="12"/>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95" w:type="dxa"/>
            <w:gridSpan w:val="15"/>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178" w:type="dxa"/>
            <w:gridSpan w:val="12"/>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808" w:type="dxa"/>
            <w:gridSpan w:val="30"/>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22"/>
        <w:gridCol w:w="485"/>
        <w:gridCol w:w="488"/>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88"/>
        <w:gridCol w:w="1327"/>
        <w:gridCol w:w="202"/>
        <w:gridCol w:w="109"/>
        <w:gridCol w:w="109"/>
        <w:gridCol w:w="109"/>
        <w:gridCol w:w="322"/>
        <w:gridCol w:w="945"/>
        <w:gridCol w:w="168"/>
        <w:gridCol w:w="109"/>
        <w:gridCol w:w="109"/>
        <w:gridCol w:w="109"/>
        <w:gridCol w:w="211"/>
        <w:gridCol w:w="721"/>
        <w:gridCol w:w="157"/>
      </w:tblGrid>
      <w:tr>
        <w:trPr/>
        <w:tc>
          <w:tcPr>
            <w:tcW w:w="82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7"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1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7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ind w:left="0" w:right="0" w:hanging="90"/>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178" w:type="dxa"/>
            <w:gridSpan w:val="12"/>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95" w:type="dxa"/>
            <w:gridSpan w:val="15"/>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178" w:type="dxa"/>
            <w:gridSpan w:val="12"/>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808" w:type="dxa"/>
            <w:gridSpan w:val="30"/>
            <w:tcBorders/>
            <w:shd w:fill="auto" w:val="clea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non-economic general partner interest is held by PAA GP LLC (“PAA GP”), a Delaware limited liability company, whose sole member is Plains AAP, L.P. (“AAP”), a Delaware limited partnership. In addition to its ownership of PAA GP, as of March 31, 2023, AAP also owned a limited partner interest in us through its ownership of approximately 240.8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2023, owned an approximate 81% limited partner interest in AAP. PAA GP Holdings LLC (“PAGP GP”) is the general partner of PAGP.</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References to our “general partner,” as the context requires, include any or all of PAGP GP, PAGP, GP LLC, AAP and PAA GP.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spacing w:before="0" w:after="0"/>
        <w:ind w:left="0" w:right="0" w:firstLine="720"/>
        <w:rPr/>
      </w:pPr>
      <w:r>
        <w:rPr/>
      </w:r>
    </w:p>
    <w:tbl>
      <w:tblPr>
        <w:tblW w:w="6312" w:type="dxa"/>
        <w:jc w:val="left"/>
        <w:tblInd w:w="0" w:type="dxa"/>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interim financial statements and related notes thereto should be read in conjunction with our 2022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months ended March 31,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2022 Annual Report on Form 10-K, there have been no new accounting pronouncements that have become effective or have been issued during the three months ended March 31, 2023 that are of significance or potential significance to us.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Revenues from Contracts with Customers.</w:t>
      </w:r>
      <w:r>
        <w:rPr>
          <w:color w:val="000000"/>
        </w:rPr>
        <w:t xml:space="preserve">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spacing w:before="0" w:after="0"/>
        <w:ind w:left="0" w:right="0" w:firstLine="720"/>
        <w:rPr/>
      </w:pPr>
      <w:r>
        <w:rPr/>
      </w:r>
    </w:p>
    <w:tbl>
      <w:tblPr>
        <w:tblW w:w="8229" w:type="dxa"/>
        <w:jc w:val="left"/>
        <w:tblInd w:w="0" w:type="dxa"/>
        <w:tblCellMar>
          <w:top w:w="28" w:type="dxa"/>
          <w:left w:w="28" w:type="dxa"/>
          <w:bottom w:w="28" w:type="dxa"/>
          <w:right w:w="28" w:type="dxa"/>
        </w:tblCellMar>
      </w:tblPr>
      <w:tblGrid>
        <w:gridCol w:w="1931"/>
        <w:gridCol w:w="1701"/>
        <w:gridCol w:w="1707"/>
        <w:gridCol w:w="211"/>
        <w:gridCol w:w="721"/>
        <w:gridCol w:w="109"/>
        <w:gridCol w:w="109"/>
        <w:gridCol w:w="109"/>
        <w:gridCol w:w="109"/>
        <w:gridCol w:w="211"/>
        <w:gridCol w:w="721"/>
        <w:gridCol w:w="109"/>
        <w:gridCol w:w="109"/>
        <w:gridCol w:w="109"/>
        <w:gridCol w:w="109"/>
        <w:gridCol w:w="154"/>
      </w:tblGrid>
      <w:tr>
        <w:trPr/>
        <w:tc>
          <w:tcPr>
            <w:tcW w:w="193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7314" w:type="dxa"/>
        <w:jc w:val="center"/>
        <w:tblInd w:w="0" w:type="dxa"/>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154"/>
      </w:tblGrid>
      <w:tr>
        <w:trPr/>
        <w:tc>
          <w:tcPr>
            <w:tcW w:w="1785"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before="0" w:after="0"/>
        <w:jc w:val="both"/>
        <w:rPr/>
      </w:pPr>
      <w:r>
        <w:rPr/>
      </w:r>
    </w:p>
    <w:p>
      <w:pPr>
        <w:pStyle w:val="TextBody"/>
        <w:spacing w:lineRule="auto" w:line="288" w:before="0" w:after="0"/>
        <w:ind w:left="0" w:right="0" w:firstLine="720"/>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spacing w:before="0" w:after="0"/>
        <w:ind w:left="0" w:right="0" w:firstLine="720"/>
        <w:rPr/>
      </w:pPr>
      <w:r>
        <w:rPr/>
      </w:r>
    </w:p>
    <w:tbl>
      <w:tblPr>
        <w:tblW w:w="7269" w:type="dxa"/>
        <w:jc w:val="center"/>
        <w:tblInd w:w="0" w:type="dxa"/>
        <w:tblCellMar>
          <w:top w:w="28" w:type="dxa"/>
          <w:left w:w="28" w:type="dxa"/>
          <w:bottom w:w="28" w:type="dxa"/>
          <w:right w:w="28" w:type="dxa"/>
        </w:tblCellMar>
      </w:tblPr>
      <w:tblGrid>
        <w:gridCol w:w="1220"/>
        <w:gridCol w:w="1073"/>
        <w:gridCol w:w="1082"/>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220"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spacing w:before="0" w:after="0"/>
        <w:ind w:left="0" w:right="0" w:firstLine="720"/>
        <w:rPr/>
      </w:pPr>
      <w:r>
        <w:rPr/>
      </w:r>
    </w:p>
    <w:tbl>
      <w:tblPr>
        <w:tblW w:w="7564" w:type="dxa"/>
        <w:jc w:val="center"/>
        <w:tblInd w:w="0" w:type="dxa"/>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65"/>
        <w:gridCol w:w="453"/>
        <w:gridCol w:w="137"/>
        <w:gridCol w:w="109"/>
        <w:gridCol w:w="109"/>
        <w:gridCol w:w="109"/>
        <w:gridCol w:w="289"/>
        <w:gridCol w:w="639"/>
        <w:gridCol w:w="212"/>
      </w:tblGrid>
      <w:tr>
        <w:trPr/>
        <w:tc>
          <w:tcPr>
            <w:tcW w:w="728"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Unbilled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were related to deficiencies for which the counterparties had not met their contractual minimum commitments and are not reflected in our Condensed Consolidated Financial Statements as we had not yet billed or collected such amounts.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before="60" w:after="283"/>
        <w:ind w:left="0" w:right="0" w:firstLine="720"/>
        <w:rPr/>
      </w:pPr>
      <w:r>
        <w:rPr/>
      </w:r>
    </w:p>
    <w:p>
      <w:pPr>
        <w:pStyle w:val="TextBody"/>
        <w:spacing w:lineRule="auto" w:line="288" w:before="60" w:after="283"/>
        <w:ind w:left="0" w:right="0" w:firstLine="720"/>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spacing w:before="0" w:after="0"/>
        <w:ind w:left="0" w:right="0" w:firstLine="720"/>
        <w:rPr/>
      </w:pPr>
      <w:r>
        <w:rPr/>
      </w:r>
    </w:p>
    <w:tbl>
      <w:tblPr>
        <w:tblW w:w="4586" w:type="dxa"/>
        <w:jc w:val="center"/>
        <w:tblInd w:w="0" w:type="dxa"/>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2023 (in millions):</w:t>
      </w:r>
    </w:p>
    <w:p>
      <w:pPr>
        <w:pStyle w:val="TextBody"/>
        <w:spacing w:before="0" w:after="0"/>
        <w:ind w:left="0" w:right="0" w:firstLine="720"/>
        <w:rPr/>
      </w:pPr>
      <w:r>
        <w:rPr/>
      </w:r>
    </w:p>
    <w:tbl>
      <w:tblPr>
        <w:tblW w:w="10539" w:type="dxa"/>
        <w:jc w:val="left"/>
        <w:tblInd w:w="0" w:type="dxa"/>
        <w:tblCellMar>
          <w:top w:w="28" w:type="dxa"/>
          <w:left w:w="28" w:type="dxa"/>
          <w:bottom w:w="28" w:type="dxa"/>
          <w:right w:w="28" w:type="dxa"/>
        </w:tblCellMar>
      </w:tblPr>
      <w:tblGrid>
        <w:gridCol w:w="1333"/>
        <w:gridCol w:w="1062"/>
        <w:gridCol w:w="1065"/>
        <w:gridCol w:w="297"/>
        <w:gridCol w:w="659"/>
        <w:gridCol w:w="155"/>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300"/>
        <w:gridCol w:w="664"/>
        <w:gridCol w:w="225"/>
      </w:tblGrid>
      <w:tr>
        <w:trPr/>
        <w:tc>
          <w:tcPr>
            <w:tcW w:w="1333"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r>
      <w:tr>
        <w:trPr/>
        <w:tc>
          <w:tcPr>
            <w:tcW w:w="346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spacing w:before="60" w:after="283"/>
        <w:ind w:left="0" w:right="0" w:hanging="360"/>
        <w:rPr/>
      </w:pPr>
      <w:r>
        <w:rPr/>
      </w:r>
    </w:p>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spacing w:before="0" w:after="0"/>
        <w:rPr/>
      </w:pPr>
      <w:r>
        <w:rPr/>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Acreage dedications;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Buy/sell arrangements with future committed volumes;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spacing w:lineRule="auto" w:line="288" w:before="0" w:after="120"/>
        <w:ind w:left="0" w:right="0" w:hanging="180"/>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spacing w:before="0" w:after="0"/>
        <w:ind w:left="0" w:right="0" w:firstLine="18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March 31,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center"/>
        <w:tblInd w:w="0" w:type="dxa"/>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shd w:fill="auto" w:val="clear"/>
            <w:vAlign w:val="center"/>
          </w:tcPr>
          <w:p>
            <w:pPr>
              <w:pStyle w:val="TableContents"/>
              <w:spacing w:before="0" w:after="283"/>
              <w:rPr>
                <w:sz w:val="4"/>
                <w:szCs w:val="4"/>
              </w:rPr>
            </w:pPr>
            <w:r>
              <w:rPr>
                <w:sz w:val="4"/>
                <w:szCs w:val="4"/>
              </w:rPr>
            </w:r>
          </w:p>
        </w:tc>
        <w:tc>
          <w:tcPr>
            <w:tcW w:w="2057" w:type="dxa"/>
            <w:tcBorders/>
            <w:shd w:fill="auto" w:val="clear"/>
            <w:vAlign w:val="center"/>
          </w:tcPr>
          <w:p>
            <w:pPr>
              <w:pStyle w:val="TableContents"/>
              <w:spacing w:before="0" w:after="283"/>
              <w:rPr>
                <w:sz w:val="4"/>
                <w:szCs w:val="4"/>
              </w:rPr>
            </w:pPr>
            <w:r>
              <w:rPr>
                <w:sz w:val="4"/>
                <w:szCs w:val="4"/>
              </w:rPr>
            </w:r>
          </w:p>
        </w:tc>
        <w:tc>
          <w:tcPr>
            <w:tcW w:w="20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6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3—Net Income Per Common Unit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2022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months ended March 31, 2023 and 2022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period were reduced by a hypothetical common unit repurchase based on the remaining unamortized fair value, as prescribed by the treasury stock method in guidance issued by the FASB. For the three months ended March 31, 2023 and 2022, approximately 4.9 million and 0.7 million equity-indexed compensation plan awards, respectively, on a weighted-average basis, were excluded from the computation of diluted net income per common unit as the effect did not change the presentation of net income per common unit.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spacing w:before="0" w:after="0"/>
        <w:rPr/>
      </w:pPr>
      <w:r>
        <w:rPr/>
      </w:r>
    </w:p>
    <w:tbl>
      <w:tblPr>
        <w:tblW w:w="8042" w:type="dxa"/>
        <w:jc w:val="center"/>
        <w:tblInd w:w="0" w:type="dxa"/>
        <w:tblCellMar>
          <w:top w:w="28" w:type="dxa"/>
          <w:left w:w="28" w:type="dxa"/>
          <w:bottom w:w="28" w:type="dxa"/>
          <w:right w:w="28" w:type="dxa"/>
        </w:tblCellMar>
      </w:tblPr>
      <w:tblGrid>
        <w:gridCol w:w="1895"/>
        <w:gridCol w:w="1667"/>
        <w:gridCol w:w="1673"/>
        <w:gridCol w:w="211"/>
        <w:gridCol w:w="511"/>
        <w:gridCol w:w="109"/>
        <w:gridCol w:w="109"/>
        <w:gridCol w:w="109"/>
        <w:gridCol w:w="109"/>
        <w:gridCol w:w="211"/>
        <w:gridCol w:w="511"/>
        <w:gridCol w:w="109"/>
        <w:gridCol w:w="109"/>
        <w:gridCol w:w="109"/>
        <w:gridCol w:w="109"/>
        <w:gridCol w:w="491"/>
      </w:tblGrid>
      <w:tr>
        <w:trPr/>
        <w:tc>
          <w:tcPr>
            <w:tcW w:w="1895"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A preferred unitholders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allocated to participating securities</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spacing w:before="60" w:after="283"/>
        <w:ind w:left="0" w:right="0" w:hanging="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spacing w:before="0" w:after="0"/>
        <w:ind w:left="0" w:right="0" w:firstLine="720"/>
        <w:rPr/>
      </w:pPr>
      <w:r>
        <w:rPr/>
      </w:r>
    </w:p>
    <w:tbl>
      <w:tblPr>
        <w:tblW w:w="10807" w:type="dxa"/>
        <w:jc w:val="center"/>
        <w:tblInd w:w="0" w:type="dxa"/>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spacing w:before="60" w:after="283"/>
        <w:ind w:left="0" w:right="0" w:hanging="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spacing w:before="0" w:after="0"/>
        <w:ind w:left="0" w:right="0" w:firstLine="720"/>
        <w:rPr/>
      </w:pPr>
      <w:r>
        <w:rPr/>
      </w:r>
    </w:p>
    <w:tbl>
      <w:tblPr>
        <w:tblW w:w="10263" w:type="dxa"/>
        <w:jc w:val="center"/>
        <w:tblInd w:w="0" w:type="dxa"/>
        <w:tblCellMar>
          <w:top w:w="28" w:type="dxa"/>
          <w:left w:w="28" w:type="dxa"/>
          <w:bottom w:w="28" w:type="dxa"/>
          <w:right w:w="28" w:type="dxa"/>
        </w:tblCellMar>
      </w:tblPr>
      <w:tblGrid>
        <w:gridCol w:w="2847"/>
        <w:gridCol w:w="2505"/>
        <w:gridCol w:w="2508"/>
        <w:gridCol w:w="211"/>
        <w:gridCol w:w="616"/>
        <w:gridCol w:w="109"/>
        <w:gridCol w:w="109"/>
        <w:gridCol w:w="109"/>
        <w:gridCol w:w="109"/>
        <w:gridCol w:w="245"/>
        <w:gridCol w:w="716"/>
        <w:gridCol w:w="179"/>
      </w:tblGrid>
      <w:tr>
        <w:trPr/>
        <w:tc>
          <w:tcPr>
            <w:tcW w:w="2847"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5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2.85% senior notes due January 2023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of unamortized discounts and debt issuance costs of $45 and $46, respectively</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0" w:type="dxa"/>
            <w:gridSpan w:val="3"/>
            <w:tcBorders/>
            <w:shd w:fill="auto" w:val="cle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These senior notes were redeemed on January 31, 2023.</w:t>
      </w:r>
    </w:p>
    <w:p>
      <w:pPr>
        <w:pStyle w:val="TextBody"/>
        <w:spacing w:lineRule="auto" w:line="288" w:before="12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Our fixed-rate senior notes had a face value of approximately $8.0 billion and $8.4 billion as of March 31, 2023 and December 31, 2022, respectively. We estimated the aggregate fair value of these notes as of March 31, 2023 and December 31, 2022 to be approximately $7.3 billion and $7.6 billion, respectively. Our fixed-rate senior notes are traded among institutions, and these trades are routinely published by a reporting service. Our determination of fair value is based on reported trading activity near the end of the reporting period. The fair value estimate for our senior notes is based upon observable market data and is classified in Level 2 of the fair value hierarchy. </w:t>
      </w:r>
    </w:p>
    <w:p>
      <w:pPr>
        <w:pStyle w:val="TextBody"/>
        <w:spacing w:before="0" w:after="0"/>
        <w:ind w:left="0" w:right="0" w:hanging="36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credit facilities and commercial paper program for the three months ended March 31, 2023 and 2022 were approximately $1.5 billion and $5.6 billion, respectively. Total repayments under our credit facilities and commercial paper program were approximately $1.5 billion and $5.2 billion for the three months ended March 31, 2023 and 2022, respectively. The variance in total gross borrowings and repayments is impacted by various business and financial factors including, but not limited to, the timing, average term and method of general partnership borrowing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31, 2023, we redeemed our 2.85%, $400 million senior notes due January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2023 and December 31, 2022, we had outstanding letters of credit of $144 million and $102 million, respectively.</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activity for our preferred and common units: </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744"/>
        <w:gridCol w:w="1482"/>
        <w:gridCol w:w="1489"/>
        <w:gridCol w:w="619"/>
        <w:gridCol w:w="581"/>
        <w:gridCol w:w="571"/>
        <w:gridCol w:w="109"/>
        <w:gridCol w:w="109"/>
        <w:gridCol w:w="109"/>
        <w:gridCol w:w="566"/>
        <w:gridCol w:w="565"/>
        <w:gridCol w:w="567"/>
        <w:gridCol w:w="109"/>
        <w:gridCol w:w="109"/>
        <w:gridCol w:w="109"/>
        <w:gridCol w:w="593"/>
        <w:gridCol w:w="593"/>
        <w:gridCol w:w="515"/>
      </w:tblGrid>
      <w:tr>
        <w:trPr/>
        <w:tc>
          <w:tcPr>
            <w:tcW w:w="1744"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2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698,390,006 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r>
        <w:trPr/>
        <w:tc>
          <w:tcPr>
            <w:tcW w:w="4715"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tbl>
      <w:tblPr>
        <w:tblW w:w="10539" w:type="dxa"/>
        <w:jc w:val="center"/>
        <w:tblInd w:w="0" w:type="dxa"/>
        <w:tblCellMar>
          <w:top w:w="28" w:type="dxa"/>
          <w:left w:w="28" w:type="dxa"/>
          <w:bottom w:w="28" w:type="dxa"/>
          <w:right w:w="28" w:type="dxa"/>
        </w:tblCellMar>
      </w:tblPr>
      <w:tblGrid>
        <w:gridCol w:w="1850"/>
        <w:gridCol w:w="1530"/>
        <w:gridCol w:w="1538"/>
        <w:gridCol w:w="619"/>
        <w:gridCol w:w="548"/>
        <w:gridCol w:w="527"/>
        <w:gridCol w:w="109"/>
        <w:gridCol w:w="109"/>
        <w:gridCol w:w="109"/>
        <w:gridCol w:w="525"/>
        <w:gridCol w:w="522"/>
        <w:gridCol w:w="524"/>
        <w:gridCol w:w="109"/>
        <w:gridCol w:w="109"/>
        <w:gridCol w:w="109"/>
        <w:gridCol w:w="593"/>
        <w:gridCol w:w="593"/>
        <w:gridCol w:w="516"/>
      </w:tblGrid>
      <w:tr>
        <w:trPr/>
        <w:tc>
          <w:tcPr>
            <w:tcW w:w="1850"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6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9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704,991,540 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under the Common Equity Repurchase Program</w:t>
            </w:r>
          </w:p>
        </w:tc>
        <w:tc>
          <w:tcPr>
            <w:tcW w:w="11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(2,375,299)</w:t>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51,937 </w:t>
            </w:r>
          </w:p>
        </w:tc>
        <w:tc>
          <w:tcPr>
            <w:tcW w:w="5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2022</w:t>
            </w:r>
          </w:p>
        </w:tc>
        <w:tc>
          <w:tcPr>
            <w:tcW w:w="11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702,668,178 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r>
        <w:trPr/>
        <w:tc>
          <w:tcPr>
            <w:tcW w:w="4918"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60" w:after="283"/>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spacing w:before="0" w:after="0"/>
        <w:ind w:left="0" w:right="0" w:firstLine="720"/>
        <w:rPr/>
      </w:pPr>
      <w:r>
        <w:rPr/>
      </w:r>
    </w:p>
    <w:p>
      <w:pPr>
        <w:pStyle w:val="TextBody"/>
        <w:spacing w:lineRule="auto" w:line="268" w:before="0" w:after="0"/>
        <w:ind w:left="0" w:right="0" w:firstLine="720"/>
        <w:rPr/>
      </w:pPr>
      <w:r>
        <w:rPr>
          <w:rFonts w:ascii="Times New Roman;sans-serif" w:hAnsi="Times New Roman;sans-serif"/>
          <w:b w:val="false"/>
          <w:i/>
          <w:color w:val="000000"/>
          <w:sz w:val="20"/>
        </w:rPr>
        <w:t>Series A Preferred Unit Distributions</w:t>
      </w:r>
      <w:r>
        <w:rPr>
          <w:rFonts w:ascii="Times New Roman;sans-serif" w:hAnsi="Times New Roman;sans-serif"/>
          <w:b w:val="false"/>
          <w:color w:val="000000"/>
          <w:sz w:val="20"/>
        </w:rPr>
        <w:t>. After the fifth anniversary of the January 28, 2016 issuance date of our Series A preferred units, the holders of our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to be paid in May 2023 will reflect a pro-rated amount of approximately $0.585 per unit. The following table details distributions to our Series A preferred unitholders paid during or pertaining to the first three months of 2023 (in millions, except per unit data):</w:t>
      </w:r>
    </w:p>
    <w:p>
      <w:pPr>
        <w:pStyle w:val="TextBody"/>
        <w:spacing w:before="0" w:after="0"/>
        <w:ind w:left="0" w:right="0" w:firstLine="720"/>
        <w:rPr/>
      </w:pPr>
      <w:r>
        <w:rPr/>
      </w:r>
    </w:p>
    <w:tbl>
      <w:tblPr>
        <w:tblW w:w="6107" w:type="dxa"/>
        <w:jc w:val="center"/>
        <w:tblInd w:w="0" w:type="dxa"/>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0"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May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0.525 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May 1, 2023 for the period from January 1, 2023 through March 31, 2023. At March 31, 2023, such amount was accrued as distributions payable in “Other current liabilities” on our Condensed Consolidated Balance Sheet.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pP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See Note 12 to our Consolidated Financial Statements included in Part IV of our 2022 Annual Report on Form 10-K for additional information regarding our Series B preferred unit distributions. The following table details distributions paid or to be paid to our Series B preferred unitholders (in millions, except per unit data):</w:t>
      </w:r>
    </w:p>
    <w:p>
      <w:pPr>
        <w:pStyle w:val="TextBody"/>
        <w:spacing w:before="0" w:after="0"/>
        <w:rPr/>
      </w:pPr>
      <w:r>
        <w:rPr/>
      </w:r>
    </w:p>
    <w:tbl>
      <w:tblPr>
        <w:tblW w:w="6146" w:type="dxa"/>
        <w:jc w:val="center"/>
        <w:tblInd w:w="0" w:type="dxa"/>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9"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330"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May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May 1, 2023 for the period from February 15, 2023 through May 14, 2023. At March 31, 2023, approximately $9 million of accrued distributions payable to our Series B preferred unitholders was included in “Other current liabilities” on our Condensed Consolidated Balance Sheet.</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i/>
          <w:color w:val="000000"/>
          <w:sz w:val="20"/>
        </w:rPr>
        <w:t>Common Unit Distributions</w:t>
      </w:r>
      <w:r>
        <w:rPr>
          <w:rFonts w:ascii="Times New Roman;sans-serif" w:hAnsi="Times New Roman;sans-serif"/>
          <w:b w:val="false"/>
          <w:color w:val="000000"/>
          <w:sz w:val="20"/>
        </w:rPr>
        <w:t>. The following table details distributions to our common unitholders paid during or pertaining to the first three months of 2023 (in millions, except per unit data):</w:t>
      </w:r>
    </w:p>
    <w:p>
      <w:pPr>
        <w:pStyle w:val="TextBody"/>
        <w:spacing w:before="0" w:after="0"/>
        <w:ind w:left="0" w:right="0" w:firstLine="720"/>
        <w:rPr/>
      </w:pPr>
      <w:r>
        <w:rPr/>
      </w:r>
    </w:p>
    <w:tbl>
      <w:tblPr>
        <w:tblW w:w="9761" w:type="dxa"/>
        <w:jc w:val="center"/>
        <w:tblInd w:w="0" w:type="dxa"/>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539"/>
        <w:gridCol w:w="1842"/>
        <w:gridCol w:w="393"/>
      </w:tblGrid>
      <w:tr>
        <w:trPr/>
        <w:tc>
          <w:tcPr>
            <w:tcW w:w="750"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 per Common Unit</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7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74"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May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May 1, 2023 for the period from January 1, 2023 through March 31,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noncontrolling interests in our subsidiaries consisted of (i) a 35% interest in Plains Oryx Permian Basin LLC (the “Permian JV”), (ii) a 30% interest in Cactus II Pipeline LLC (“Cactus II”) and (iii) a 33% interest in Red River Pipeline Company LLC (“Red River”).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noncontrolling interests during the periods presented (in millions):</w:t>
      </w:r>
    </w:p>
    <w:p>
      <w:pPr>
        <w:pStyle w:val="TextBody"/>
        <w:spacing w:before="0" w:after="0"/>
        <w:rPr/>
      </w:pPr>
      <w:r>
        <w:rPr/>
      </w:r>
    </w:p>
    <w:tbl>
      <w:tblPr>
        <w:tblW w:w="3002" w:type="dxa"/>
        <w:jc w:val="left"/>
        <w:tblInd w:w="0" w:type="dxa"/>
        <w:tblCellMar>
          <w:top w:w="28" w:type="dxa"/>
          <w:left w:w="28" w:type="dxa"/>
          <w:bottom w:w="28" w:type="dxa"/>
          <w:right w:w="28" w:type="dxa"/>
        </w:tblCellMar>
      </w:tblPr>
      <w:tblGrid>
        <w:gridCol w:w="381"/>
        <w:gridCol w:w="333"/>
        <w:gridCol w:w="336"/>
        <w:gridCol w:w="211"/>
        <w:gridCol w:w="361"/>
        <w:gridCol w:w="109"/>
        <w:gridCol w:w="109"/>
        <w:gridCol w:w="109"/>
        <w:gridCol w:w="109"/>
        <w:gridCol w:w="211"/>
        <w:gridCol w:w="361"/>
        <w:gridCol w:w="109"/>
        <w:gridCol w:w="109"/>
        <w:gridCol w:w="154"/>
      </w:tblGrid>
      <w:tr>
        <w:trPr/>
        <w:tc>
          <w:tcPr>
            <w:tcW w:w="38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Cactus II </w:t>
            </w:r>
            <w:r>
              <w:rPr>
                <w:rFonts w:ascii="Times New Roman;sans-serif" w:hAnsi="Times New Roman;sans-serif"/>
                <w:b w:val="false"/>
                <w:color w:val="000000"/>
                <w:sz w:val="13"/>
              </w:rPr>
              <w:t>(1)</w:t>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7—Derivatives and Risk Management Activities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spacing w:before="0" w:after="0"/>
        <w:ind w:left="0" w:right="0" w:firstLine="720"/>
        <w:rPr/>
      </w:pPr>
      <w:r>
        <w:rPr/>
      </w:r>
    </w:p>
    <w:p>
      <w:pPr>
        <w:pStyle w:val="TextBody"/>
        <w:spacing w:lineRule="auto" w:line="288" w:before="0" w:after="0"/>
        <w:ind w:left="0" w:right="0" w:firstLine="675"/>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March 31, 2023, net derivative positions related to these activities included:</w:t>
      </w:r>
    </w:p>
    <w:p>
      <w:pPr>
        <w:pStyle w:val="TextBody"/>
        <w:spacing w:lineRule="auto" w:line="288" w:before="0" w:after="0"/>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net long position of 4.8 million barrels associated with our crude oil purchases, which was unwound ratably during April 2023 to match monthly average pricing.</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A net short time spread position of 5.3 million barrels, which hedges a portion of our anticipated crude oil lease gathering purchases through December 2024.</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A net crude oil basis spread position of 5.1 million barrels at multiple locations through December 2024. These derivatives allow us to lock in grade and location basis differentials.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A net short position of 14.3 million barrels through June 2024 related to anticipated net sales of crude oil and NGL inventory.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w:t>
      </w:r>
      <w:r>
        <w:rPr>
          <w:rFonts w:ascii="Times New Roman;sans-serif" w:hAnsi="Times New Roman;sans-serif"/>
          <w:b w:val="false"/>
          <w:color w:val="000000"/>
          <w:sz w:val="20"/>
          <w:highlight w:val="white"/>
        </w:rPr>
        <w:t>The following table summarizes our open derivative positions utilized to hedge the price risk associated with anticipated purchases and sales related to our natural gas processing and NGL fractionation activities as of March 31, 2023:</w:t>
      </w:r>
    </w:p>
    <w:p>
      <w:pPr>
        <w:pStyle w:val="TextBody"/>
        <w:spacing w:before="0" w:after="0"/>
        <w:ind w:left="0" w:right="0" w:firstLine="720"/>
        <w:rPr/>
      </w:pPr>
      <w:r>
        <w:rPr/>
      </w:r>
    </w:p>
    <w:tbl>
      <w:tblPr>
        <w:tblW w:w="5931" w:type="dxa"/>
        <w:jc w:val="center"/>
        <w:tblInd w:w="0" w:type="dxa"/>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56.0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 MMbls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MMbls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 MMbls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 Bcf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TWh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spacing w:before="0" w:after="0"/>
        <w:ind w:left="0" w:right="0" w:firstLine="720"/>
        <w:rPr/>
      </w:pPr>
      <w:r>
        <w:rPr/>
      </w:r>
    </w:p>
    <w:tbl>
      <w:tblPr>
        <w:tblW w:w="6309" w:type="dxa"/>
        <w:jc w:val="center"/>
        <w:tblInd w:w="0" w:type="dxa"/>
        <w:tblCellMar>
          <w:top w:w="28" w:type="dxa"/>
          <w:left w:w="28" w:type="dxa"/>
          <w:bottom w:w="28" w:type="dxa"/>
          <w:right w:w="28" w:type="dxa"/>
        </w:tblCellMar>
      </w:tblPr>
      <w:tblGrid>
        <w:gridCol w:w="1404"/>
        <w:gridCol w:w="1237"/>
        <w:gridCol w:w="1243"/>
        <w:gridCol w:w="211"/>
        <w:gridCol w:w="436"/>
        <w:gridCol w:w="109"/>
        <w:gridCol w:w="109"/>
        <w:gridCol w:w="109"/>
        <w:gridCol w:w="109"/>
        <w:gridCol w:w="211"/>
        <w:gridCol w:w="541"/>
        <w:gridCol w:w="109"/>
        <w:gridCol w:w="109"/>
        <w:gridCol w:w="109"/>
        <w:gridCol w:w="109"/>
        <w:gridCol w:w="154"/>
      </w:tblGrid>
      <w:tr>
        <w:trPr/>
        <w:tc>
          <w:tcPr>
            <w:tcW w:w="1404"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spacing w:before="0" w:after="0"/>
        <w:ind w:left="0" w:right="0" w:firstLine="720"/>
        <w:rPr/>
      </w:pPr>
      <w:r>
        <w:rPr/>
      </w:r>
    </w:p>
    <w:tbl>
      <w:tblPr>
        <w:tblW w:w="4540" w:type="dxa"/>
        <w:jc w:val="center"/>
        <w:tblInd w:w="0" w:type="dxa"/>
        <w:tblCellMar>
          <w:top w:w="28" w:type="dxa"/>
          <w:left w:w="28" w:type="dxa"/>
          <w:bottom w:w="28" w:type="dxa"/>
          <w:right w:w="28" w:type="dxa"/>
        </w:tblCellMar>
      </w:tblPr>
      <w:tblGrid>
        <w:gridCol w:w="804"/>
        <w:gridCol w:w="706"/>
        <w:gridCol w:w="710"/>
        <w:gridCol w:w="238"/>
        <w:gridCol w:w="493"/>
        <w:gridCol w:w="123"/>
        <w:gridCol w:w="109"/>
        <w:gridCol w:w="109"/>
        <w:gridCol w:w="109"/>
        <w:gridCol w:w="265"/>
        <w:gridCol w:w="681"/>
        <w:gridCol w:w="193"/>
      </w:tblGrid>
      <w:tr>
        <w:trPr/>
        <w:tc>
          <w:tcPr>
            <w:tcW w:w="8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7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7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broker payable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372"/>
        <w:gridCol w:w="327"/>
        <w:gridCol w:w="328"/>
        <w:gridCol w:w="109"/>
        <w:gridCol w:w="109"/>
        <w:gridCol w:w="109"/>
        <w:gridCol w:w="211"/>
        <w:gridCol w:w="466"/>
        <w:gridCol w:w="109"/>
        <w:gridCol w:w="109"/>
        <w:gridCol w:w="109"/>
        <w:gridCol w:w="109"/>
        <w:gridCol w:w="245"/>
        <w:gridCol w:w="438"/>
        <w:gridCol w:w="128"/>
        <w:gridCol w:w="109"/>
        <w:gridCol w:w="109"/>
        <w:gridCol w:w="109"/>
        <w:gridCol w:w="255"/>
        <w:gridCol w:w="455"/>
        <w:gridCol w:w="133"/>
        <w:gridCol w:w="109"/>
        <w:gridCol w:w="109"/>
        <w:gridCol w:w="109"/>
        <w:gridCol w:w="253"/>
        <w:gridCol w:w="433"/>
        <w:gridCol w:w="132"/>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3"/>
        <w:gridCol w:w="109"/>
        <w:gridCol w:w="109"/>
        <w:gridCol w:w="109"/>
        <w:gridCol w:w="109"/>
        <w:gridCol w:w="250"/>
        <w:gridCol w:w="429"/>
        <w:gridCol w:w="192"/>
      </w:tblGrid>
      <w:tr>
        <w:trPr/>
        <w:tc>
          <w:tcPr>
            <w:tcW w:w="37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the terms of our outstanding interest rate derivatives as of March 31, 2023 (notional amounts in millions):</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827"/>
        <w:gridCol w:w="727"/>
        <w:gridCol w:w="729"/>
        <w:gridCol w:w="109"/>
        <w:gridCol w:w="109"/>
        <w:gridCol w:w="109"/>
        <w:gridCol w:w="651"/>
        <w:gridCol w:w="651"/>
        <w:gridCol w:w="652"/>
        <w:gridCol w:w="109"/>
        <w:gridCol w:w="109"/>
        <w:gridCol w:w="109"/>
        <w:gridCol w:w="211"/>
        <w:gridCol w:w="466"/>
        <w:gridCol w:w="109"/>
        <w:gridCol w:w="109"/>
        <w:gridCol w:w="109"/>
        <w:gridCol w:w="109"/>
        <w:gridCol w:w="465"/>
        <w:gridCol w:w="465"/>
        <w:gridCol w:w="466"/>
        <w:gridCol w:w="109"/>
        <w:gridCol w:w="109"/>
        <w:gridCol w:w="109"/>
        <w:gridCol w:w="255"/>
        <w:gridCol w:w="256"/>
        <w:gridCol w:w="617"/>
        <w:gridCol w:w="109"/>
        <w:gridCol w:w="109"/>
        <w:gridCol w:w="109"/>
        <w:gridCol w:w="395"/>
        <w:gridCol w:w="395"/>
        <w:gridCol w:w="567"/>
      </w:tblGrid>
      <w:tr>
        <w:trPr/>
        <w:tc>
          <w:tcPr>
            <w:tcW w:w="8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22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2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 net loss of $110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2054 as the underlying hedged transactions impact earnings. A portion of these amounts is based on market prices as of March 31, 2023; thus, actual amounts to be reclassified will differ and could vary materially as a result of changes in market conditions.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spacing w:before="0" w:after="0"/>
        <w:ind w:left="0" w:right="0" w:firstLine="720"/>
        <w:rPr/>
      </w:pPr>
      <w:r>
        <w:rPr/>
      </w:r>
    </w:p>
    <w:tbl>
      <w:tblPr>
        <w:tblW w:w="4495" w:type="dxa"/>
        <w:jc w:val="center"/>
        <w:tblInd w:w="0" w:type="dxa"/>
        <w:tblCellMar>
          <w:top w:w="28" w:type="dxa"/>
          <w:left w:w="28" w:type="dxa"/>
          <w:bottom w:w="28" w:type="dxa"/>
          <w:right w:w="28" w:type="dxa"/>
        </w:tblCellMar>
      </w:tblPr>
      <w:tblGrid>
        <w:gridCol w:w="853"/>
        <w:gridCol w:w="749"/>
        <w:gridCol w:w="753"/>
        <w:gridCol w:w="211"/>
        <w:gridCol w:w="331"/>
        <w:gridCol w:w="109"/>
        <w:gridCol w:w="109"/>
        <w:gridCol w:w="109"/>
        <w:gridCol w:w="109"/>
        <w:gridCol w:w="211"/>
        <w:gridCol w:w="361"/>
        <w:gridCol w:w="109"/>
        <w:gridCol w:w="109"/>
        <w:gridCol w:w="109"/>
        <w:gridCol w:w="109"/>
        <w:gridCol w:w="154"/>
      </w:tblGrid>
      <w:tr>
        <w:trPr/>
        <w:tc>
          <w:tcPr>
            <w:tcW w:w="85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 net fair value of our interest rate hedges, which were included in “Other current assets” and “Other long-term assets, net” on our Condensed Consolidated Balance Sheet, totaled $71 million and $44 million, respectively. At December 31, 2022, the net fair value of these hedges totaled $75 million and $45 million, which were included in “Other current assets” and “Other long-term assets, net,” respectively.</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March 31, 2023, we recognized a gain of $58 million and for the three months ended March 31, 2022, we recognized a loss of $44 million. See Note 6 for additional information regarding the Preferred Distribution Rate Reset Option.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spacing w:before="0" w:after="0"/>
        <w:ind w:left="0" w:right="0" w:firstLine="720"/>
        <w:rPr/>
      </w:pPr>
      <w:r>
        <w:rPr/>
      </w:r>
    </w:p>
    <w:tbl>
      <w:tblPr>
        <w:tblW w:w="11487" w:type="dxa"/>
        <w:jc w:val="left"/>
        <w:tblInd w:w="0" w:type="dxa"/>
        <w:tblCellMar>
          <w:top w:w="28" w:type="dxa"/>
          <w:left w:w="28" w:type="dxa"/>
          <w:bottom w:w="28" w:type="dxa"/>
          <w:right w:w="28" w:type="dxa"/>
        </w:tblCellMar>
      </w:tblPr>
      <w:tblGrid>
        <w:gridCol w:w="930"/>
        <w:gridCol w:w="817"/>
        <w:gridCol w:w="819"/>
        <w:gridCol w:w="109"/>
        <w:gridCol w:w="109"/>
        <w:gridCol w:w="109"/>
        <w:gridCol w:w="231"/>
        <w:gridCol w:w="280"/>
        <w:gridCol w:w="120"/>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3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our common unit price, and default probabilities which impacted timing estimates as to when the option would be exercised.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2957"/>
        <w:gridCol w:w="2582"/>
        <w:gridCol w:w="2597"/>
        <w:gridCol w:w="211"/>
        <w:gridCol w:w="529"/>
        <w:gridCol w:w="109"/>
        <w:gridCol w:w="109"/>
        <w:gridCol w:w="109"/>
        <w:gridCol w:w="109"/>
        <w:gridCol w:w="211"/>
        <w:gridCol w:w="424"/>
        <w:gridCol w:w="109"/>
        <w:gridCol w:w="109"/>
        <w:gridCol w:w="109"/>
        <w:gridCol w:w="109"/>
        <w:gridCol w:w="156"/>
      </w:tblGrid>
      <w:tr>
        <w:trPr/>
        <w:tc>
          <w:tcPr>
            <w:tcW w:w="2957" w:type="dxa"/>
            <w:tcBorders/>
            <w:shd w:fill="auto" w:val="clear"/>
            <w:vAlign w:val="center"/>
          </w:tcPr>
          <w:p>
            <w:pPr>
              <w:pStyle w:val="TableContents"/>
              <w:spacing w:before="0" w:after="283"/>
              <w:rPr>
                <w:sz w:val="4"/>
                <w:szCs w:val="4"/>
              </w:rPr>
            </w:pPr>
            <w:r>
              <w:rPr>
                <w:sz w:val="4"/>
                <w:szCs w:val="4"/>
              </w:rPr>
            </w:r>
          </w:p>
        </w:tc>
        <w:tc>
          <w:tcPr>
            <w:tcW w:w="2582" w:type="dxa"/>
            <w:tcBorders/>
            <w:shd w:fill="auto" w:val="clear"/>
            <w:vAlign w:val="center"/>
          </w:tcPr>
          <w:p>
            <w:pPr>
              <w:pStyle w:val="TableContents"/>
              <w:spacing w:before="0" w:after="283"/>
              <w:rPr>
                <w:sz w:val="4"/>
                <w:szCs w:val="4"/>
              </w:rPr>
            </w:pPr>
            <w:r>
              <w:rPr>
                <w:sz w:val="4"/>
                <w:szCs w:val="4"/>
              </w:rPr>
            </w:r>
          </w:p>
        </w:tc>
        <w:tc>
          <w:tcPr>
            <w:tcW w:w="25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81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auto" w:val="clear"/>
            <w:vAlign w:val="center"/>
          </w:tcPr>
          <w:p>
            <w:pPr>
              <w:pStyle w:val="TableContents"/>
              <w:spacing w:before="0" w:after="283"/>
              <w:rPr>
                <w:sz w:val="4"/>
                <w:szCs w:val="4"/>
              </w:rPr>
            </w:pPr>
            <w:r>
              <w:rPr>
                <w:sz w:val="4"/>
                <w:szCs w:val="4"/>
              </w:rPr>
            </w:r>
          </w:p>
        </w:tc>
        <w:tc>
          <w:tcPr>
            <w:tcW w:w="8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8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8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17 to our Consolidated Financial Statements included in Part IV of our 2022 Annual Report on Form 10-K for a complete discussion of related parties, including the determination of our related parties and nature of involvement with such related parties.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$3 million as of March 31, 2023. Interest income/expense on the related party notes totaled $3 million for the three months ended March 31, 2023.</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our outstanding related party note receivable and related party note payable balances were as follows (in millions):</w:t>
      </w:r>
    </w:p>
    <w:p>
      <w:pPr>
        <w:pStyle w:val="TextBody"/>
        <w:spacing w:before="0" w:after="0"/>
        <w:rPr/>
      </w:pPr>
      <w:r>
        <w:rPr/>
      </w:r>
    </w:p>
    <w:tbl>
      <w:tblPr>
        <w:tblW w:w="3831" w:type="dxa"/>
        <w:jc w:val="left"/>
        <w:tblInd w:w="0" w:type="dxa"/>
        <w:tblCellMar>
          <w:top w:w="28" w:type="dxa"/>
          <w:left w:w="28" w:type="dxa"/>
          <w:bottom w:w="28" w:type="dxa"/>
          <w:right w:w="28" w:type="dxa"/>
        </w:tblCellMar>
      </w:tblPr>
      <w:tblGrid>
        <w:gridCol w:w="983"/>
        <w:gridCol w:w="864"/>
        <w:gridCol w:w="867"/>
        <w:gridCol w:w="229"/>
        <w:gridCol w:w="507"/>
        <w:gridCol w:w="118"/>
        <w:gridCol w:w="109"/>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Related party note receivable </w:t>
            </w:r>
            <w:r>
              <w:rPr>
                <w:rFonts w:ascii="Times New Roman;sans-serif" w:hAnsi="Times New Roman;sans-serif"/>
                <w:b w:val="false"/>
                <w:color w:val="000000"/>
                <w:sz w:val="13"/>
              </w:rPr>
              <w:t>(1)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Related party note payable </w:t>
            </w:r>
            <w:r>
              <w:rPr>
                <w:rFonts w:ascii="Times New Roman;sans-serif" w:hAnsi="Times New Roman;sans-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Condensed Consolidated Balance Sheet because there is a legal right to offset and we intend to offset with the counterparty.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to our Condensed Consolidated Statements of Operations from these transactions is included below (in millions): </w:t>
      </w:r>
    </w:p>
    <w:p>
      <w:pPr>
        <w:pStyle w:val="TextBody"/>
        <w:spacing w:before="0" w:after="0"/>
        <w:rPr/>
      </w:pPr>
      <w:r>
        <w:rPr/>
      </w:r>
    </w:p>
    <w:tbl>
      <w:tblPr>
        <w:tblW w:w="6084" w:type="dxa"/>
        <w:jc w:val="center"/>
        <w:tblInd w:w="0" w:type="dxa"/>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361"/>
        <w:gridCol w:w="109"/>
        <w:gridCol w:w="109"/>
        <w:gridCol w:w="109"/>
        <w:gridCol w:w="109"/>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60" w:after="283"/>
        <w:ind w:left="0" w:right="0" w:hanging="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spacing w:before="0" w:after="0"/>
        <w:ind w:left="0" w:right="0" w:firstLine="720"/>
        <w:rPr/>
      </w:pPr>
      <w:r>
        <w:rPr/>
      </w:r>
    </w:p>
    <w:tbl>
      <w:tblPr>
        <w:tblW w:w="8487" w:type="dxa"/>
        <w:jc w:val="center"/>
        <w:tblInd w:w="0" w:type="dxa"/>
        <w:tblCellMar>
          <w:top w:w="28" w:type="dxa"/>
          <w:left w:w="28" w:type="dxa"/>
          <w:bottom w:w="28" w:type="dxa"/>
          <w:right w:w="28" w:type="dxa"/>
        </w:tblCellMar>
      </w:tblPr>
      <w:tblGrid>
        <w:gridCol w:w="2230"/>
        <w:gridCol w:w="1962"/>
        <w:gridCol w:w="1973"/>
        <w:gridCol w:w="265"/>
        <w:gridCol w:w="453"/>
        <w:gridCol w:w="137"/>
        <w:gridCol w:w="109"/>
        <w:gridCol w:w="109"/>
        <w:gridCol w:w="109"/>
        <w:gridCol w:w="331"/>
        <w:gridCol w:w="567"/>
        <w:gridCol w:w="242"/>
      </w:tblGrid>
      <w:tr>
        <w:trPr/>
        <w:tc>
          <w:tcPr>
            <w:tcW w:w="2230"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97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6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amounts related to crude oil purchases and sales, transportation and storage services and amounts owed to us or advanced to us related to investment capital projects of equity method investees where we serve as construction manager. </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spacing w:before="60" w:after="283"/>
        <w:ind w:left="0" w:right="0" w:hanging="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both March 31, 2023 and December 31, 2022, our estimated undiscounted reserve for environmental liabilities (excluding liabilities related to the Line 901 incident, as discussed further below) totaled $55 million, of which $10 million was classified as short-term and $45 million was classified as long-term for each period. Such short-term liabilities are reflected in “Other current liabilities” and long-term liabilities are reflected in “Other long-term liabilities and deferred credits” on our Condensed Consolidated Balance Sheets. At March 31, 2023 and December 31, 2022, we had recorded receivables (excluding receivables related to the Line 901 incident) totaling $6 million and $4 million, respectively,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first proceeding, the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joined this proceeding as a co-defendant with respect to its interest in such acquired pipelines.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March 31,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have initiated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March 31,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we recognized costs, net of amounts probable of recovery from insurance carriers, of $85 million. We did not recognize any such costs during the three months ended March 31, 2023. As of March 31, 2023, we had a remaining undiscounted gross liability of approximately $100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March 31, 2023, our incurred costs for the Line 901 incident have exceeded our insurance coverage limit of $500 million related to our 2015 insurance program applicable to the Line 901 incident by $240 million. Through March 31,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March 31,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pStyle w:val="TextBody"/>
        <w:spacing w:lineRule="auto" w:line="276"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spacing w:before="0" w:after="0"/>
        <w:ind w:left="0" w:right="0" w:firstLine="720"/>
        <w:rPr/>
      </w:pPr>
      <w:r>
        <w:rPr/>
      </w:r>
    </w:p>
    <w:tbl>
      <w:tblPr>
        <w:tblW w:w="9343" w:type="dxa"/>
        <w:jc w:val="center"/>
        <w:tblInd w:w="0" w:type="dxa"/>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466"/>
        <w:gridCol w:w="109"/>
        <w:gridCol w:w="109"/>
        <w:gridCol w:w="109"/>
        <w:gridCol w:w="109"/>
        <w:gridCol w:w="465"/>
        <w:gridCol w:w="1063"/>
        <w:gridCol w:w="242"/>
        <w:gridCol w:w="109"/>
        <w:gridCol w:w="109"/>
        <w:gridCol w:w="109"/>
        <w:gridCol w:w="211"/>
        <w:gridCol w:w="721"/>
        <w:gridCol w:w="109"/>
        <w:gridCol w:w="154"/>
      </w:tblGrid>
      <w:tr>
        <w:trPr/>
        <w:tc>
          <w:tcPr>
            <w:tcW w:w="1293"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spacing w:before="0" w:after="0"/>
        <w:ind w:left="0" w:right="0" w:firstLine="720"/>
        <w:rPr/>
      </w:pPr>
      <w:r>
        <w:rPr/>
      </w:r>
    </w:p>
    <w:tbl>
      <w:tblPr>
        <w:tblW w:w="7570" w:type="dxa"/>
        <w:jc w:val="center"/>
        <w:tblInd w:w="0" w:type="dxa"/>
        <w:tblCellMar>
          <w:top w:w="28" w:type="dxa"/>
          <w:left w:w="28" w:type="dxa"/>
          <w:bottom w:w="28" w:type="dxa"/>
          <w:right w:w="28" w:type="dxa"/>
        </w:tblCellMar>
      </w:tblPr>
      <w:tblGrid>
        <w:gridCol w:w="1880"/>
        <w:gridCol w:w="1648"/>
        <w:gridCol w:w="1662"/>
        <w:gridCol w:w="211"/>
        <w:gridCol w:w="466"/>
        <w:gridCol w:w="109"/>
        <w:gridCol w:w="109"/>
        <w:gridCol w:w="109"/>
        <w:gridCol w:w="109"/>
        <w:gridCol w:w="211"/>
        <w:gridCol w:w="466"/>
        <w:gridCol w:w="109"/>
        <w:gridCol w:w="109"/>
        <w:gridCol w:w="109"/>
        <w:gridCol w:w="109"/>
        <w:gridCol w:w="154"/>
      </w:tblGrid>
      <w:tr>
        <w:trPr/>
        <w:tc>
          <w:tcPr>
            <w:tcW w:w="1880"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1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(9)</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spacing w:lineRule="auto" w:line="288" w:before="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spacing w:lineRule="auto" w:line="288" w:before="0" w:after="12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spacing w:lineRule="auto" w:line="288" w:before="0" w:after="120"/>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spacing w:before="0" w:after="0"/>
        <w:jc w:val="center"/>
        <w:rPr/>
      </w:pPr>
      <w:r>
        <w:rPr/>
      </w:r>
    </w:p>
    <w:p>
      <w:pPr>
        <w:pStyle w:val="TextBody"/>
        <w:spacing w:lineRule="auto" w:line="288" w:before="0" w:after="120"/>
        <w:ind w:left="0" w:right="0" w:hanging="720"/>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spacing w:lineRule="auto" w:line="288" w:before="0" w:after="120"/>
        <w:ind w:left="0" w:right="0" w:hanging="720"/>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settle in cash is not excluded in determining Segment Adjusted EBITDA. See Note 18 to our Consolidated Financial Statements included in Part IV of our 2022 Annual Report on Form 10-K for a discussion regarding our equity-indexed compensation plans.</w:t>
      </w:r>
    </w:p>
    <w:p>
      <w:pPr>
        <w:pStyle w:val="TextBody"/>
        <w:spacing w:lineRule="auto" w:line="288" w:before="0" w:after="120"/>
        <w:ind w:left="0" w:right="0" w:hanging="720"/>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spacing w:lineRule="auto" w:line="288" w:before="0" w:after="120"/>
        <w:ind w:left="0" w:right="0" w:hanging="720"/>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9 for additional information regarding the Line 901 incident.</w:t>
      </w:r>
    </w:p>
    <w:p>
      <w:pPr>
        <w:pStyle w:val="TextBody"/>
        <w:spacing w:lineRule="auto" w:line="288" w:before="0" w:after="120"/>
        <w:ind w:left="0" w:right="0" w:hanging="720"/>
        <w:rPr/>
      </w:pPr>
      <w:r>
        <w:rPr>
          <w:rFonts w:ascii="Times New Roman;sans-serif" w:hAnsi="Times New Roman;sans-serif"/>
          <w:b w:val="false"/>
          <w:color w:val="000000"/>
          <w:sz w:val="13"/>
        </w:rPr>
        <w:t>(9)</w:t>
      </w:r>
      <w:r>
        <w:rPr>
          <w:rFonts w:ascii="Times New Roman;sans-serif" w:hAnsi="Times New Roman;sans-serif"/>
          <w:b w:val="false"/>
          <w:color w:val="000000"/>
          <w:sz w:val="20"/>
        </w:rPr>
        <w:t>Reflects amounts attributable to noncontrolling interests in the Permian JV, Cactus II and Red River.</w:t>
      </w:r>
    </w:p>
    <w:p>
      <w:pPr>
        <w:pStyle w:val="TextBody"/>
        <w:spacing w:before="0" w:after="0"/>
        <w:ind w:left="0" w:right="0" w:hanging="36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Note 11</w:t>
      </w:r>
      <w:r>
        <w:rPr>
          <w:color w:val="000000"/>
        </w:rPr>
        <w:t>—</w:t>
      </w:r>
      <w:r>
        <w:rPr>
          <w:rFonts w:ascii="Times New Roman;sans-serif" w:hAnsi="Times New Roman;sans-serif"/>
          <w:b/>
          <w:color w:val="000000"/>
          <w:sz w:val="20"/>
        </w:rPr>
        <w:t>Divestitures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Keyera Fort Saskatchewan Divestiture.</w:t>
      </w:r>
      <w:r>
        <w:rPr>
          <w:color w:val="000000"/>
        </w:rPr>
        <w:t xml:space="preserve"> </w:t>
      </w:r>
      <w:r>
        <w:rPr>
          <w:rFonts w:ascii="Times New Roman;sans-serif" w:hAnsi="Times New Roman;sans-serif"/>
          <w:b w:val="false"/>
          <w:color w:val="000000"/>
          <w:sz w:val="20"/>
        </w:rPr>
        <w:t xml:space="preserve">In February 2023, we sold our 21% non-operated/undivided joint interest in the Keyera Fort Saskatchewan 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spacing w:lineRule="auto" w:line="288" w:before="0" w:after="0"/>
        <w:rPr>
          <w:color w:val="000000"/>
        </w:rPr>
      </w:pPr>
      <w:r>
        <w:rPr>
          <w:color w:val="000000"/>
        </w:rPr>
        <w:t>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Executive Summary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Results of Operations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Liquidity and Capital Resources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Recent Accounting Pronouncements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Forward-Looking Statements</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and NGL producing basins and transportation corridors and at major market hubs in the United States and Canada. Our assets and the services we provide are primarily focused on crude oil and NGL.</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months of 2023, we recognized net income attributable to PAA of $422 million compared to $187 million during the first three months of 2022. The increase in operating results for the first three months of 2023 over the comparable 2022 period was driven primarily by more favorable margins in our NGL segment, increased earnings from our crude oil pipelines and more favorable crude oil market-based opportunities. In addition, the 2022 comparative period was impacted by an increase in the accrual for estimated costs associated with the Line 901 incident.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net income for the first quarter of 2023 compared to the first quarter 2022 includes more favorable impacts from gains on asset sales and the mark-to-market adjustment of the Preferred Distribution Rate Reset Option, partially offset by less favorable impacts of long-term inventory costing adjustments.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 </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1732"/>
        <w:gridCol w:w="1452"/>
        <w:gridCol w:w="1461"/>
        <w:gridCol w:w="211"/>
        <w:gridCol w:w="721"/>
        <w:gridCol w:w="109"/>
        <w:gridCol w:w="109"/>
        <w:gridCol w:w="109"/>
        <w:gridCol w:w="109"/>
        <w:gridCol w:w="211"/>
        <w:gridCol w:w="721"/>
        <w:gridCol w:w="109"/>
        <w:gridCol w:w="109"/>
        <w:gridCol w:w="109"/>
        <w:gridCol w:w="109"/>
        <w:gridCol w:w="211"/>
        <w:gridCol w:w="681"/>
        <w:gridCol w:w="109"/>
        <w:gridCol w:w="109"/>
        <w:gridCol w:w="109"/>
        <w:gridCol w:w="109"/>
        <w:gridCol w:w="264"/>
        <w:gridCol w:w="266"/>
        <w:gridCol w:w="271"/>
        <w:gridCol w:w="109"/>
        <w:gridCol w:w="109"/>
        <w:gridCol w:w="109"/>
        <w:gridCol w:w="109"/>
        <w:gridCol w:w="109"/>
        <w:gridCol w:w="109"/>
        <w:gridCol w:w="109"/>
        <w:gridCol w:w="109"/>
        <w:gridCol w:w="157"/>
      </w:tblGrid>
      <w:tr>
        <w:trPr/>
        <w:tc>
          <w:tcPr>
            <w:tcW w:w="173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4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64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spacing w:before="60" w:after="283"/>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WTI. The following table presents the range of NYMEX WTI benchmark prices of crude oil (in dollars per barrel):</w:t>
      </w:r>
    </w:p>
    <w:p>
      <w:pPr>
        <w:pStyle w:val="TextBody"/>
        <w:spacing w:before="0" w:after="0"/>
        <w:ind w:left="0" w:right="0" w:firstLine="720"/>
        <w:rPr/>
      </w:pPr>
      <w:r>
        <w:rPr/>
      </w:r>
    </w:p>
    <w:tbl>
      <w:tblPr>
        <w:tblW w:w="6051" w:type="dxa"/>
        <w:jc w:val="center"/>
        <w:tblInd w:w="0" w:type="dxa"/>
        <w:tblCellMar>
          <w:top w:w="28" w:type="dxa"/>
          <w:left w:w="28" w:type="dxa"/>
          <w:bottom w:w="28" w:type="dxa"/>
          <w:right w:w="28" w:type="dxa"/>
        </w:tblCellMar>
      </w:tblPr>
      <w:tblGrid>
        <w:gridCol w:w="1146"/>
        <w:gridCol w:w="1007"/>
        <w:gridCol w:w="1011"/>
        <w:gridCol w:w="211"/>
        <w:gridCol w:w="361"/>
        <w:gridCol w:w="109"/>
        <w:gridCol w:w="109"/>
        <w:gridCol w:w="109"/>
        <w:gridCol w:w="109"/>
        <w:gridCol w:w="211"/>
        <w:gridCol w:w="466"/>
        <w:gridCol w:w="109"/>
        <w:gridCol w:w="109"/>
        <w:gridCol w:w="109"/>
        <w:gridCol w:w="109"/>
        <w:gridCol w:w="222"/>
        <w:gridCol w:w="380"/>
        <w:gridCol w:w="164"/>
      </w:tblGrid>
      <w:tr>
        <w:trPr/>
        <w:tc>
          <w:tcPr>
            <w:tcW w:w="1146"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1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three months ended March 31, 2023 compared to the same period in 2022 primarily due to lower prices in the 2023 period, partially offset by higher volumes in the 2023 period.</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months ended March 31, 2023 compared to the same period in 2022 primarily due to higher volumes and tariff escalations in the 2023 period, as well as the impact of the consolidation of Cactus II resulting from our acquisition of an additional interest in November 2022.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The increase in general and administrative expenses for the three months ended March 31, 2023 compared to the same period in 2022 was primarily due to (i) higher information systems costs due to ongoing systems integration work and (ii) higher employee-related costs, including an increase in equity-indexed compensation expense on equity-classified awards (which is excluded in the calculation of Adjusted EBITDA and Segment Adjusted EBITDA), partially offset by (iii) lower transition </w:t>
      </w:r>
      <w:r>
        <w:rPr>
          <w:rFonts w:ascii="Times New Roman;sans-serif" w:hAnsi="Times New Roman;sans-serif"/>
          <w:b w:val="false"/>
          <w:color w:val="000000"/>
          <w:sz w:val="20"/>
          <w:highlight w:val="white"/>
        </w:rPr>
        <w:t>costs associated with the formation of the Permian JV.</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gains on asset sales and asset impairments during the first quarter of 2023 primarily included a gain of approximately $140 million related to the sale of our Keyera Fort Saskatchewan facility. See Note 11 to our Condensed Consolidated Financial Statements for additional discussion of this transaction.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we recognized a gain of $40 million related to the sale of land and buildings in California.</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and amortization expense for the three months ended March 31, 2023 compared to the same period in 2022 was largely driven by our acquisition of an additional interest in Cactus II, for which our ownership interest is now consolidated. See Note 7 to our Consolidated Financial Statements included in Part IV of our 2022 Annual Report on Form 10-K for additional information.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months ended March 31, 2023 compared to the three months ended March 31, 2022 was primarily due to a lower weighted average debt balance during the 2023 period largely driven by the repayment of $750 million of senior notes in March 2022 and $400 million of senior notes in January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2891"/>
        <w:gridCol w:w="2535"/>
        <w:gridCol w:w="2548"/>
        <w:gridCol w:w="109"/>
        <w:gridCol w:w="109"/>
        <w:gridCol w:w="109"/>
        <w:gridCol w:w="211"/>
        <w:gridCol w:w="361"/>
        <w:gridCol w:w="109"/>
        <w:gridCol w:w="109"/>
        <w:gridCol w:w="109"/>
        <w:gridCol w:w="109"/>
        <w:gridCol w:w="211"/>
        <w:gridCol w:w="428"/>
        <w:gridCol w:w="109"/>
        <w:gridCol w:w="109"/>
        <w:gridCol w:w="109"/>
        <w:gridCol w:w="109"/>
        <w:gridCol w:w="155"/>
      </w:tblGrid>
      <w:tr>
        <w:trPr/>
        <w:tc>
          <w:tcPr>
            <w:tcW w:w="2891" w:type="dxa"/>
            <w:tcBorders/>
            <w:shd w:fill="auto" w:val="clear"/>
            <w:vAlign w:val="center"/>
          </w:tcPr>
          <w:p>
            <w:pPr>
              <w:pStyle w:val="TableContents"/>
              <w:spacing w:before="0" w:after="283"/>
              <w:rPr>
                <w:sz w:val="4"/>
                <w:szCs w:val="4"/>
              </w:rPr>
            </w:pPr>
            <w:r>
              <w:rPr>
                <w:sz w:val="4"/>
                <w:szCs w:val="4"/>
              </w:rPr>
            </w:r>
          </w:p>
        </w:tc>
        <w:tc>
          <w:tcPr>
            <w:tcW w:w="2535" w:type="dxa"/>
            <w:tcBorders/>
            <w:shd w:fill="auto" w:val="clear"/>
            <w:vAlign w:val="center"/>
          </w:tcPr>
          <w:p>
            <w:pPr>
              <w:pStyle w:val="TableContents"/>
              <w:spacing w:before="0" w:after="283"/>
              <w:rPr>
                <w:sz w:val="4"/>
                <w:szCs w:val="4"/>
              </w:rPr>
            </w:pPr>
            <w:r>
              <w:rPr>
                <w:sz w:val="4"/>
                <w:szCs w:val="4"/>
              </w:rPr>
            </w:r>
          </w:p>
        </w:tc>
        <w:tc>
          <w:tcPr>
            <w:tcW w:w="2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7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7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Gain/(loss) on mark-to-market adjustment of Preferred Distribution Rate Reset Option embedded derivative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gain on foreign currency revaluation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7 to our Condensed Consolidated Financial Statements for additional information.</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net unfavorable income tax variance for the three months ended March 31, 2023 compared to the same period in 2022 was primarily a result of activity within our Canadian operations including the tax impact of the Keyera Fort Saskatchewan divestiture.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three months ended March 31, 2023 compared to the same period in 2022 was primarily due to (i) the consolidation of Cactus II in November 2022 and (ii) higher results from the Permian JV in the 2023 period. See Note 7 to our Consolidated Financial Statements included in Part IV of our 2022 Annual Report on Form 10-K for additional information on the Cactus II transaction.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Free Cash Flow and Free Cash Flow after Distributions.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to Net Income (in millions): </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1954"/>
        <w:gridCol w:w="1546"/>
        <w:gridCol w:w="155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6"/>
        <w:gridCol w:w="258"/>
        <w:gridCol w:w="271"/>
        <w:gridCol w:w="109"/>
        <w:gridCol w:w="109"/>
        <w:gridCol w:w="109"/>
        <w:gridCol w:w="109"/>
        <w:gridCol w:w="109"/>
        <w:gridCol w:w="109"/>
        <w:gridCol w:w="109"/>
        <w:gridCol w:w="109"/>
        <w:gridCol w:w="157"/>
      </w:tblGrid>
      <w:tr>
        <w:trPr/>
        <w:tc>
          <w:tcPr>
            <w:tcW w:w="195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5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inventory costing adjustments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Equity-indexed compensation expense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Selected Items Impacting Comparability - Segment Adjusted EBITDA</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Interest expense, net of certain non-cash items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Distributions from unconsolidated entities in excess of/(less than) adjusted equity earnings</w:t>
            </w:r>
            <w:r>
              <w:rPr>
                <w:color w:val="000000"/>
              </w:rPr>
              <w:t xml:space="preserve">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Preferred unit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16"/>
              <w:jc w:val="left"/>
              <w:rPr/>
            </w:pPr>
            <w:r>
              <w:rPr>
                <w:rFonts w:ascii="Times New Roman;sans-serif" w:hAnsi="Times New Roman;sans-serif"/>
                <w:b w:val="false"/>
                <w:color w:val="000000"/>
                <w:sz w:val="20"/>
              </w:rPr>
              <w:t xml:space="preserve">Common unit cash distributions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6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TextBody"/>
        <w:spacing w:lineRule="auto" w:line="288" w:before="60" w:after="12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The Preferred Distribution Rate Reset Option of our Series A preferred units is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spacing w:lineRule="auto" w:line="288" w:before="60" w:after="120"/>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spacing w:lineRule="auto" w:line="288" w:before="0" w:after="120"/>
        <w:ind w:left="0" w:right="0" w:hanging="720"/>
        <w:rPr/>
      </w:pPr>
      <w:r>
        <w:rPr>
          <w:rFonts w:ascii="Times New Roman;sans-serif" w:hAnsi="Times New Roman;sans-serif"/>
          <w:b w:val="false"/>
          <w:color w:val="000000"/>
          <w:sz w:val="13"/>
        </w:rPr>
        <w:t>(5)</w:t>
      </w:r>
      <w:r>
        <w:rPr>
          <w:rFonts w:ascii="Times New Roman;sans-serif" w:hAnsi="Times New Roman;sans-serif"/>
          <w:b w:val="false"/>
          <w:color w:val="000000"/>
          <w:sz w:val="20"/>
        </w:rPr>
        <w:t>Other income/(expense), net on our Condensed Consolidated Statements of Operations, adjusted for selected items impacting comparability (“Adjusted other income/(expense), net”) is included in Adjusted EBITDA and excluded from Segment Adjusted EBITDA.</w:t>
      </w:r>
    </w:p>
    <w:p>
      <w:pPr>
        <w:pStyle w:val="TextBody"/>
        <w:spacing w:lineRule="auto" w:line="288" w:before="0" w:after="120"/>
        <w:ind w:left="0" w:right="0" w:hanging="720"/>
        <w:rPr/>
      </w:pPr>
      <w:r>
        <w:rPr>
          <w:rFonts w:ascii="Times New Roman;sans-serif" w:hAnsi="Times New Roman;sans-serif"/>
          <w:b w:val="false"/>
          <w:color w:val="000000"/>
          <w:sz w:val="13"/>
        </w:rPr>
        <w:t>(6)</w:t>
      </w:r>
      <w:r>
        <w:rPr>
          <w:rFonts w:ascii="Times New Roman;sans-serif" w:hAnsi="Times New Roman;sans-serif"/>
          <w:b w:val="false"/>
          <w:color w:val="000000"/>
          <w:sz w:val="20"/>
        </w:rPr>
        <w:t>Reflects amounts attributable to noncontrolling interests in the Permian JV, Cactus II and Red River.</w:t>
      </w:r>
    </w:p>
    <w:p>
      <w:pPr>
        <w:pStyle w:val="TextBody"/>
        <w:spacing w:lineRule="auto" w:line="288" w:before="0" w:after="120"/>
        <w:ind w:left="0" w:right="0" w:hanging="720"/>
        <w:rPr/>
      </w:pPr>
      <w:r>
        <w:rPr>
          <w:rFonts w:ascii="Times New Roman;sans-serif" w:hAnsi="Times New Roman;sans-serif"/>
          <w:b w:val="false"/>
          <w:color w:val="000000"/>
          <w:sz w:val="13"/>
        </w:rPr>
        <w:t>(7)</w:t>
      </w:r>
      <w:r>
        <w:rPr>
          <w:rFonts w:ascii="Times New Roman;sans-serif" w:hAnsi="Times New Roman;sans-serif"/>
          <w:b w:val="false"/>
          <w:color w:val="000000"/>
          <w:sz w:val="20"/>
        </w:rPr>
        <w:t>Excludes certain non-cash items impacting interest expense such as amortization of debt issuance costs and terminated interest rate swaps. </w:t>
      </w:r>
    </w:p>
    <w:p>
      <w:pPr>
        <w:pStyle w:val="TextBody"/>
        <w:spacing w:lineRule="auto" w:line="288" w:before="0" w:after="120"/>
        <w:ind w:left="0" w:right="0" w:hanging="720"/>
        <w:rPr/>
      </w:pPr>
      <w:r>
        <w:rPr>
          <w:rFonts w:ascii="Times New Roman;sans-serif" w:hAnsi="Times New Roman;sans-serif"/>
          <w:b w:val="false"/>
          <w:color w:val="000000"/>
          <w:sz w:val="13"/>
        </w:rPr>
        <w:t>(8)</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spacing w:lineRule="auto" w:line="288" w:before="0" w:after="120"/>
        <w:ind w:left="0" w:right="0" w:hanging="720"/>
        <w:rPr/>
      </w:pPr>
      <w:r>
        <w:rPr>
          <w:rFonts w:ascii="Times New Roman;sans-serif" w:hAnsi="Times New Roman;sans-serif"/>
          <w:b w:val="false"/>
          <w:color w:val="000000"/>
          <w:sz w:val="13"/>
        </w:rPr>
        <w:t>(9)</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spacing w:lineRule="auto" w:line="288" w:before="0" w:after="120"/>
        <w:ind w:left="0" w:right="0" w:hanging="720"/>
        <w:rPr/>
      </w:pPr>
      <w:r>
        <w:rPr>
          <w:rFonts w:ascii="Times New Roman;sans-serif" w:hAnsi="Times New Roman;sans-serif"/>
          <w:b w:val="false"/>
          <w:color w:val="000000"/>
          <w:sz w:val="13"/>
        </w:rPr>
        <w:t>(10)</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TextBody"/>
        <w:spacing w:lineRule="auto" w:line="288" w:before="0" w:after="120"/>
        <w:ind w:left="0" w:right="0" w:hanging="720"/>
        <w:rPr/>
      </w:pPr>
      <w:r>
        <w:rPr>
          <w:rFonts w:ascii="Times New Roman;sans-serif" w:hAnsi="Times New Roman;sans-serif"/>
          <w:b w:val="false"/>
          <w:color w:val="000000"/>
          <w:sz w:val="13"/>
        </w:rPr>
        <w:t>(11)</w:t>
      </w:r>
      <w:r>
        <w:rPr>
          <w:rFonts w:ascii="Times New Roman;sans-serif" w:hAnsi="Times New Roman;sans-serif"/>
          <w:b w:val="false"/>
          <w:color w:val="000000"/>
          <w:sz w:val="20"/>
        </w:rPr>
        <w:t>Cash distributions paid during the period presented.</w:t>
      </w:r>
    </w:p>
    <w:p>
      <w:pPr>
        <w:pStyle w:val="TextBody"/>
        <w:spacing w:lineRule="auto" w:line="288" w:before="0" w:after="0"/>
        <w:ind w:left="0" w:right="0" w:hanging="720"/>
        <w:rPr/>
      </w:pPr>
      <w:r>
        <w:rPr>
          <w:rFonts w:ascii="Times New Roman;sans-serif" w:hAnsi="Times New Roman;sans-serif"/>
          <w:b w:val="false"/>
          <w:color w:val="000000"/>
          <w:sz w:val="13"/>
        </w:rPr>
        <w:t>(12)</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spacing w:before="60"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20 to our Consolidated Financial Statements included in Part IV of our 2022 Annual Report on Form 10-K for our definition of maintenance capital.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operating results from our Crude Oil segment: </w:t>
      </w:r>
    </w:p>
    <w:p>
      <w:pPr>
        <w:pStyle w:val="TextBody"/>
        <w:spacing w:before="0" w:after="0"/>
        <w:ind w:left="0" w:right="0" w:firstLine="720"/>
        <w:rPr/>
      </w:pPr>
      <w:r>
        <w:rPr/>
      </w:r>
    </w:p>
    <w:tbl>
      <w:tblPr>
        <w:tblW w:w="10539" w:type="dxa"/>
        <w:jc w:val="center"/>
        <w:tblInd w:w="0" w:type="dxa"/>
        <w:tblCellMar>
          <w:top w:w="28" w:type="dxa"/>
          <w:left w:w="28" w:type="dxa"/>
          <w:bottom w:w="28" w:type="dxa"/>
          <w:right w:w="28" w:type="dxa"/>
        </w:tblCellMar>
      </w:tblPr>
      <w:tblGrid>
        <w:gridCol w:w="1600"/>
        <w:gridCol w:w="1405"/>
        <w:gridCol w:w="1413"/>
        <w:gridCol w:w="109"/>
        <w:gridCol w:w="109"/>
        <w:gridCol w:w="109"/>
        <w:gridCol w:w="211"/>
        <w:gridCol w:w="721"/>
        <w:gridCol w:w="109"/>
        <w:gridCol w:w="109"/>
        <w:gridCol w:w="109"/>
        <w:gridCol w:w="109"/>
        <w:gridCol w:w="211"/>
        <w:gridCol w:w="721"/>
        <w:gridCol w:w="109"/>
        <w:gridCol w:w="109"/>
        <w:gridCol w:w="109"/>
        <w:gridCol w:w="109"/>
        <w:gridCol w:w="211"/>
        <w:gridCol w:w="683"/>
        <w:gridCol w:w="109"/>
        <w:gridCol w:w="109"/>
        <w:gridCol w:w="109"/>
        <w:gridCol w:w="109"/>
        <w:gridCol w:w="214"/>
        <w:gridCol w:w="214"/>
        <w:gridCol w:w="271"/>
        <w:gridCol w:w="109"/>
        <w:gridCol w:w="109"/>
        <w:gridCol w:w="109"/>
        <w:gridCol w:w="109"/>
        <w:gridCol w:w="109"/>
        <w:gridCol w:w="109"/>
        <w:gridCol w:w="109"/>
        <w:gridCol w:w="109"/>
        <w:gridCol w:w="157"/>
      </w:tblGrid>
      <w:tr>
        <w:trPr/>
        <w:tc>
          <w:tcPr>
            <w:tcW w:w="1600"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gridSpan w:val="4"/>
            <w:tcBorders/>
            <w:shd w:fill="auto" w:val="clear"/>
          </w:tcPr>
          <w:p>
            <w:pPr>
              <w:pStyle w:val="TableContents"/>
              <w:spacing w:before="0" w:after="283"/>
              <w:rPr>
                <w:sz w:val="4"/>
                <w:szCs w:val="4"/>
              </w:rPr>
            </w:pPr>
            <w:r>
              <w:rPr>
                <w:sz w:val="4"/>
                <w:szCs w:val="4"/>
              </w:rPr>
            </w:r>
          </w:p>
        </w:tc>
      </w:tr>
      <w:tr>
        <w:trPr/>
        <w:tc>
          <w:tcPr>
            <w:tcW w:w="44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ind w:left="0" w:right="0" w:hanging="180"/>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1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278" w:type="dxa"/>
        <w:jc w:val="center"/>
        <w:tblInd w:w="0" w:type="dxa"/>
        <w:tblCellMar>
          <w:top w:w="28" w:type="dxa"/>
          <w:left w:w="28" w:type="dxa"/>
          <w:bottom w:w="28" w:type="dxa"/>
          <w:right w:w="28" w:type="dxa"/>
        </w:tblCellMar>
      </w:tblPr>
      <w:tblGrid>
        <w:gridCol w:w="1307"/>
        <w:gridCol w:w="1149"/>
        <w:gridCol w:w="1159"/>
        <w:gridCol w:w="109"/>
        <w:gridCol w:w="109"/>
        <w:gridCol w:w="109"/>
        <w:gridCol w:w="308"/>
        <w:gridCol w:w="308"/>
        <w:gridCol w:w="178"/>
        <w:gridCol w:w="178"/>
        <w:gridCol w:w="178"/>
        <w:gridCol w:w="178"/>
        <w:gridCol w:w="308"/>
        <w:gridCol w:w="308"/>
        <w:gridCol w:w="178"/>
        <w:gridCol w:w="109"/>
        <w:gridCol w:w="109"/>
        <w:gridCol w:w="109"/>
        <w:gridCol w:w="308"/>
        <w:gridCol w:w="308"/>
        <w:gridCol w:w="241"/>
        <w:gridCol w:w="109"/>
        <w:gridCol w:w="109"/>
        <w:gridCol w:w="109"/>
        <w:gridCol w:w="202"/>
        <w:gridCol w:w="204"/>
        <w:gridCol w:w="271"/>
        <w:gridCol w:w="109"/>
        <w:gridCol w:w="109"/>
        <w:gridCol w:w="109"/>
        <w:gridCol w:w="109"/>
        <w:gridCol w:w="109"/>
        <w:gridCol w:w="109"/>
        <w:gridCol w:w="109"/>
        <w:gridCol w:w="109"/>
        <w:gridCol w:w="154"/>
      </w:tblGrid>
      <w:tr>
        <w:trPr/>
        <w:tc>
          <w:tcPr>
            <w:tcW w:w="1307"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spacing w:lineRule="auto" w:line="288" w:before="0" w:after="12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spacing w:lineRule="auto" w:line="288" w:before="0" w:after="120"/>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 </w:t>
      </w:r>
    </w:p>
    <w:p>
      <w:pPr>
        <w:pStyle w:val="TextBody"/>
        <w:spacing w:lineRule="auto" w:line="288" w:before="0" w:after="120"/>
        <w:ind w:left="0" w:right="0" w:hanging="720"/>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spacing w:lineRule="auto" w:line="288" w:before="0" w:after="0"/>
        <w:ind w:left="0" w:right="0" w:hanging="720"/>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calculated as total volumes for the period divided by the number of months in the period.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Segment Adjusted EBITDA was favorably impacted for the three months ended March 31, 2023 compared to the same period in 2022 by higher volumes on our pipeline systems, particularly on our Permian Basin and Capline assets, tariff escalations and favorable Canadian market-based opportunities. These items were partially offset by the impact of increased operating expenses and minimum volume commitment deficiency payments received in the first quarter of 2022.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months ended March 31, 2023 compared to the same period in 2022.</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Market Opportunities. </w:t>
      </w:r>
      <w:r>
        <w:rPr>
          <w:rFonts w:ascii="Times New Roman;sans-serif" w:hAnsi="Times New Roman;sans-serif"/>
          <w:b w:val="false"/>
          <w:color w:val="000000"/>
          <w:sz w:val="20"/>
        </w:rPr>
        <w:t>Our results for the three months ended March 31, 2023 include the impact of Canadian crude oil market-based opportunities due to more favorable differentials as compared to the three months ended March 31, 2022.</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Pipeline Volumes. </w:t>
      </w:r>
      <w:r>
        <w:rPr>
          <w:rFonts w:ascii="Times New Roman;sans-serif" w:hAnsi="Times New Roman;sans-serif"/>
          <w:b w:val="false"/>
          <w:color w:val="000000"/>
          <w:sz w:val="20"/>
        </w:rPr>
        <w:t xml:space="preserve">Our Permian Basin gathering pipelines were favorably impacted by higher volumes, which were underpinned by increased production and new well connections, and tariff escalations in the 2023 period.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long-haul pipelines were also favorably impacted by higher volumes in the 2023 period, particularly on our Permian Basin and Capline pipelines. The favorable impact of higher volumes on our Permian Basin pipelines, including the benefit from our acquisition of an additional interest in Cactus II in November 2022, was partially offset by the impact of minimum volume commitment deficiency payments received in the first quarter of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majority of our Permian Basin gathering and intra-basin pipelines are owned by the Permian JV, a consolidated entity in which we own a 65% interest, and our Permian Basin long-haul pipelines include Cactus II, in which we own a 70% interest. We deduct the portion of the financial results attributable to noncontrolling interests in the Permian JV and Cactus II in determining Segment Adjusted EBITDA.</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 xml:space="preserve">The decrease in field operating costs for the three months ended March 31, 2023 compared to the same period in 2022 was primarily due to the recognition of additional estimated costs associated with the Line 901 incident in the 2022 period (which impact field operating costs but are excluded from Segment Adjusted EBITDA and thus are reflected as an “Adjustment” in the table above). This decrease was partially offset by (i) increased utilities costs due to a combinations of higher volumes and prices, (ii) incremental consolidated operating costs in connection with our acquisition of an additional interest in Cactus II, (iii) increased employee-related costs primarily resulting from higher average headcount and salaries and (iv) an increase in unrealized mark-to-market losses on power hedges (which impact our field operating costs but are excluded from Segment Adjusted EBITDA and thus are reflected as an “Adjustment” in the table above).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months ended March 31, 2023 compared to the same period in 2022 was primarily due to ongoing station upgrades, truck lease buyouts, integrity projects and tank maintenance, partially offset by lower costs due to the completion of certain projects.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spacing w:before="0" w:after="0"/>
        <w:ind w:left="0" w:right="0" w:firstLine="720"/>
        <w:rPr/>
      </w:pPr>
      <w:r>
        <w:rPr/>
      </w:r>
    </w:p>
    <w:tbl>
      <w:tblPr>
        <w:tblW w:w="9418" w:type="dxa"/>
        <w:jc w:val="center"/>
        <w:tblInd w:w="0" w:type="dxa"/>
        <w:tblCellMar>
          <w:top w:w="28" w:type="dxa"/>
          <w:left w:w="28" w:type="dxa"/>
          <w:bottom w:w="28" w:type="dxa"/>
          <w:right w:w="28" w:type="dxa"/>
        </w:tblCellMar>
      </w:tblPr>
      <w:tblGrid>
        <w:gridCol w:w="1455"/>
        <w:gridCol w:w="1279"/>
        <w:gridCol w:w="1285"/>
        <w:gridCol w:w="109"/>
        <w:gridCol w:w="109"/>
        <w:gridCol w:w="109"/>
        <w:gridCol w:w="211"/>
        <w:gridCol w:w="466"/>
        <w:gridCol w:w="109"/>
        <w:gridCol w:w="109"/>
        <w:gridCol w:w="109"/>
        <w:gridCol w:w="109"/>
        <w:gridCol w:w="211"/>
        <w:gridCol w:w="466"/>
        <w:gridCol w:w="109"/>
        <w:gridCol w:w="109"/>
        <w:gridCol w:w="109"/>
        <w:gridCol w:w="109"/>
        <w:gridCol w:w="211"/>
        <w:gridCol w:w="436"/>
        <w:gridCol w:w="109"/>
        <w:gridCol w:w="109"/>
        <w:gridCol w:w="109"/>
        <w:gridCol w:w="109"/>
        <w:gridCol w:w="247"/>
        <w:gridCol w:w="219"/>
        <w:gridCol w:w="271"/>
        <w:gridCol w:w="109"/>
        <w:gridCol w:w="109"/>
        <w:gridCol w:w="109"/>
        <w:gridCol w:w="109"/>
        <w:gridCol w:w="109"/>
        <w:gridCol w:w="109"/>
        <w:gridCol w:w="109"/>
        <w:gridCol w:w="109"/>
        <w:gridCol w:w="154"/>
      </w:tblGrid>
      <w:tr>
        <w:trPr/>
        <w:tc>
          <w:tcPr>
            <w:tcW w:w="145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Adjustments</w:t>
            </w:r>
            <w:r>
              <w:rPr>
                <w:color w:val="000000"/>
              </w:rPr>
              <w:t xml:space="preserve">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7881" w:type="dxa"/>
        <w:jc w:val="center"/>
        <w:tblInd w:w="0" w:type="dxa"/>
        <w:tblCellMar>
          <w:top w:w="28" w:type="dxa"/>
          <w:left w:w="28" w:type="dxa"/>
          <w:bottom w:w="28" w:type="dxa"/>
          <w:right w:w="28" w:type="dxa"/>
        </w:tblCellMar>
      </w:tblPr>
      <w:tblGrid>
        <w:gridCol w:w="976"/>
        <w:gridCol w:w="860"/>
        <w:gridCol w:w="863"/>
        <w:gridCol w:w="109"/>
        <w:gridCol w:w="109"/>
        <w:gridCol w:w="109"/>
        <w:gridCol w:w="233"/>
        <w:gridCol w:w="233"/>
        <w:gridCol w:w="178"/>
        <w:gridCol w:w="178"/>
        <w:gridCol w:w="178"/>
        <w:gridCol w:w="178"/>
        <w:gridCol w:w="233"/>
        <w:gridCol w:w="233"/>
        <w:gridCol w:w="178"/>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109"/>
        <w:gridCol w:w="109"/>
        <w:gridCol w:w="154"/>
      </w:tblGrid>
      <w:tr>
        <w:trPr/>
        <w:tc>
          <w:tcPr>
            <w:tcW w:w="976"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Propane and butane sales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Indicates that variance as a percentage is not meaningful.</w:t>
      </w:r>
    </w:p>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spacing w:lineRule="auto" w:line="288" w:before="0" w:after="12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spacing w:lineRule="auto" w:line="288" w:before="0" w:after="0"/>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spacing w:before="0" w:after="0"/>
        <w:ind w:left="0" w:right="0" w:hanging="360"/>
        <w:rPr/>
      </w:pPr>
      <w:r>
        <w:rPr/>
      </w:r>
    </w:p>
    <w:p>
      <w:pPr>
        <w:pStyle w:val="TextBody"/>
        <w:spacing w:lineRule="auto" w:line="288" w:before="0" w:after="0"/>
        <w:ind w:left="0" w:right="0" w:hanging="720"/>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increased for the three months ended March 31, 2023 compared to the same period in 2022 primarily due to the favorable impact of higher sales volumes at higher realized margins. These items were partially offset by the impact of increased utilities-related costs, primarily due to higher prices, and asset sales.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 includes the impact of derivative activities and long-term inventory costing adjustments, which are excluded from Segment Adjusted EBITDA and thus are reflected as an “Adjustment” in the table above. Excluding such impacts, net revenues from our NGL sales activities increased for the three months ended March 31, 2023 compared to the same period in 2022 primarily due to (i) higher butane sales volumes as a result of higher production and increased third-party demand, (ii) favorable propane basis differentials, and (iii) higher realized frac spreads. In addition, there were higher processing revenues at our Empress straddle plants resulting from a commercial agreement executed in conjunction with the increase in our Empress ownership in the fourth quarter of 2022. These items were partially offset by the impact of the sale of our Keyera Fort Saskatchewan facility in the first quarter of 2023.</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three months ended March 31, 2023 compared to the same period in 2022 was primarily due to increased utilities-related costs largely as a result of higher prices, as well as our increased ownership in the Empress straddle plants effective in the fourth quarter of 2022 and an increase in unrealized mark-to-market losses on power hedges (which impact our field operating costs but are excluded from Segment Adjusted EBITDA and thus are reflected as an “Adjustment” in the table above). The increase in utilities-related costs was partially offset by the benefit to net revenues of operating cost recoveries realized through commercial agreements.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months ended March 31, 2023 compared to the same period in 2022 was primarily due to equipment repairs and replacement projects at certain of our fractionation facilities.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General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although we had a working capital deficit of $244 million, we had approximately $3.1 billion of liquidity available to meet our ongoing operating, investing and financing needs, subject to continued covenant compliance, as noted below (in millions): </w:t>
      </w:r>
    </w:p>
    <w:p>
      <w:pPr>
        <w:pStyle w:val="TextBody"/>
        <w:spacing w:before="0" w:after="0"/>
        <w:ind w:left="0" w:right="0" w:firstLine="720"/>
        <w:rPr/>
      </w:pPr>
      <w:r>
        <w:rPr/>
      </w:r>
    </w:p>
    <w:tbl>
      <w:tblPr>
        <w:tblW w:w="6719" w:type="dxa"/>
        <w:jc w:val="center"/>
        <w:tblInd w:w="0" w:type="dxa"/>
        <w:tblCellMar>
          <w:top w:w="28" w:type="dxa"/>
          <w:left w:w="28" w:type="dxa"/>
          <w:bottom w:w="28" w:type="dxa"/>
          <w:right w:w="28" w:type="dxa"/>
        </w:tblCellMar>
      </w:tblPr>
      <w:tblGrid>
        <w:gridCol w:w="1959"/>
        <w:gridCol w:w="1725"/>
        <w:gridCol w:w="1730"/>
        <w:gridCol w:w="280"/>
        <w:gridCol w:w="820"/>
        <w:gridCol w:w="205"/>
      </w:tblGrid>
      <w:tr>
        <w:trPr/>
        <w:tc>
          <w:tcPr>
            <w:tcW w:w="195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March 31, 2023</w:t>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availability prior to giving effect to borrowings outstanding under our commercial paper program, which reduce available capacity under our credit facilities.</w:t>
      </w:r>
    </w:p>
    <w:p>
      <w:pPr>
        <w:pStyle w:val="TextBody"/>
        <w:spacing w:lineRule="auto" w:line="288" w:before="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of $78 million and $66 million, respectively.</w:t>
      </w:r>
    </w:p>
    <w:p>
      <w:pPr>
        <w:pStyle w:val="TextBody"/>
        <w:spacing w:lineRule="auto" w:line="288" w:before="0" w:after="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$13 million.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associated with the COVID-19 pandemic and/or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2022 Annual Report on Form 10-K for further discussion regarding risks that may impact our liquidity and capital resources.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Non-GAAP Financial Liquidity Measures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and proceeds from the sale of noncontrolling interests. Free Cash Flow is further reduced by cash distributions paid to our preferred and common unitholders to arrive at Free Cash Flow after Distributions. Also see “Results of Operations–Non-GAAP Financial Measures” above for more information about our non-GAAP measures.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Free Cash Flow and Free Cash Flow after Distributions to Net Cash Provided by Operating Activities (in millions):</w:t>
      </w:r>
    </w:p>
    <w:p>
      <w:pPr>
        <w:pStyle w:val="TextBody"/>
        <w:spacing w:before="0" w:after="0"/>
        <w:rPr/>
      </w:pPr>
      <w:r>
        <w:rPr/>
      </w:r>
    </w:p>
    <w:tbl>
      <w:tblPr>
        <w:tblW w:w="9475" w:type="dxa"/>
        <w:jc w:val="left"/>
        <w:tblInd w:w="0" w:type="dxa"/>
        <w:tblCellMar>
          <w:top w:w="28" w:type="dxa"/>
          <w:left w:w="28" w:type="dxa"/>
          <w:bottom w:w="28" w:type="dxa"/>
          <w:right w:w="28" w:type="dxa"/>
        </w:tblCellMar>
      </w:tblPr>
      <w:tblGrid>
        <w:gridCol w:w="2568"/>
        <w:gridCol w:w="2260"/>
        <w:gridCol w:w="2267"/>
        <w:gridCol w:w="211"/>
        <w:gridCol w:w="466"/>
        <w:gridCol w:w="109"/>
        <w:gridCol w:w="109"/>
        <w:gridCol w:w="109"/>
        <w:gridCol w:w="109"/>
        <w:gridCol w:w="211"/>
        <w:gridCol w:w="466"/>
        <w:gridCol w:w="109"/>
        <w:gridCol w:w="109"/>
        <w:gridCol w:w="109"/>
        <w:gridCol w:w="109"/>
        <w:gridCol w:w="154"/>
      </w:tblGrid>
      <w:tr>
        <w:trPr/>
        <w:tc>
          <w:tcPr>
            <w:tcW w:w="2568"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Free Cash Flow:</w:t>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by/(used in) investing activities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(1)</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(2)</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after Distributions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distributions paid during the period presented. </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Cash distributions paid to our preferred and common unitholders during the period presented. </w:t>
      </w:r>
    </w:p>
    <w:p>
      <w:pPr>
        <w:pStyle w:val="TextBody"/>
        <w:spacing w:before="60" w:after="283"/>
        <w:ind w:left="0" w:right="0" w:hanging="36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three months of 2023 and 2022 was $743 million and $340 million, respectively, and primarily resulted from earnings from our operations. In addition, the 2023 period was favorably impacted by net positive changes in working capital items, largely associated with reducing inventory levels during the period.</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 xml:space="preserve">Capital Expenditures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w:t>
      </w:r>
    </w:p>
    <w:p>
      <w:pPr>
        <w:pStyle w:val="TextBody"/>
        <w:spacing w:before="0" w:after="0"/>
        <w:ind w:left="0" w:right="0" w:firstLine="720"/>
        <w:rPr/>
      </w:pPr>
      <w:r>
        <w:rPr/>
      </w:r>
    </w:p>
    <w:tbl>
      <w:tblPr>
        <w:tblW w:w="4163" w:type="dxa"/>
        <w:jc w:val="center"/>
        <w:tblInd w:w="0" w:type="dxa"/>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12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spacing w:lineRule="auto" w:line="288" w:before="0" w:after="120"/>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contributions to unconsolidated entities, accounted for under the equity method of accounting, related to investment capital projects by such entities.</w:t>
      </w:r>
    </w:p>
    <w:p>
      <w:pPr>
        <w:pStyle w:val="TextBody"/>
        <w:spacing w:lineRule="auto" w:line="288" w:before="0" w:after="120"/>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interest, was approximately $58 million and $45 million, respectively, for the three months ended March 31, 2023, and approximately $94 million and $26 million, respectively, for the three months ended March 31, 2022.</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 xml:space="preserve">2023 Investment and Maintenance Capital. </w:t>
      </w:r>
      <w:r>
        <w:rPr>
          <w:rFonts w:ascii="Times New Roman;sans-serif" w:hAnsi="Times New Roman;sans-serif"/>
          <w:b w:val="false"/>
          <w:color w:val="000000"/>
          <w:sz w:val="20"/>
        </w:rPr>
        <w:t>Total investment capital for the year ending December 31, 2023 is projected to be approximately $420 million ($325 million net to our interest). Approximately half of our projected investment capital expenditures are expected to be invested in the Permian JV assets. Additionally, maintenance capital for 2023 is projected to be $205 million ($195 million net to our interest). We expect to fund our 2023 investment and maintenance capital expenditures primarily with retained cash flow.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three months of 2023 and 2022 from sales of assets (in millions):</w:t>
      </w:r>
    </w:p>
    <w:p>
      <w:pPr>
        <w:pStyle w:val="TextBody"/>
        <w:spacing w:before="0" w:after="0"/>
        <w:ind w:left="0" w:right="0" w:firstLine="720"/>
        <w:rPr/>
      </w:pPr>
      <w:r>
        <w:rPr/>
      </w:r>
    </w:p>
    <w:tbl>
      <w:tblPr>
        <w:tblW w:w="4641" w:type="dxa"/>
        <w:jc w:val="left"/>
        <w:tblInd w:w="0" w:type="dxa"/>
        <w:tblCellMar>
          <w:top w:w="28" w:type="dxa"/>
          <w:left w:w="28" w:type="dxa"/>
          <w:bottom w:w="28" w:type="dxa"/>
          <w:right w:w="28" w:type="dxa"/>
        </w:tblCellMar>
      </w:tblPr>
      <w:tblGrid>
        <w:gridCol w:w="896"/>
        <w:gridCol w:w="787"/>
        <w:gridCol w:w="792"/>
        <w:gridCol w:w="109"/>
        <w:gridCol w:w="109"/>
        <w:gridCol w:w="109"/>
        <w:gridCol w:w="211"/>
        <w:gridCol w:w="466"/>
        <w:gridCol w:w="109"/>
        <w:gridCol w:w="109"/>
        <w:gridCol w:w="109"/>
        <w:gridCol w:w="109"/>
        <w:gridCol w:w="211"/>
        <w:gridCol w:w="361"/>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proceeds, including working capital adjustments, net of transaction costs. The proceeds from divestitures for the three months ended March 31, 2023 are primarily from the sale of our 21% non-operated/undivided joint interest in the Keyera Fort Saskatchewan facility in February 2023. See Note 11 to our Condensed Consolidated Financial Statements for additional discussion of this transaction. </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color w:val="000000"/>
          <w:sz w:val="20"/>
        </w:rPr>
        <w:t>Ongoing Activities Related to Strategic Transactions</w:t>
      </w:r>
      <w:r>
        <w:rPr>
          <w:color w:val="000000"/>
        </w:rPr>
        <w:t xml:space="preser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46685"/>
                <wp:effectExtent l="0" t="0" r="0" b="0"/>
                <wp:wrapNone/>
                <wp:docPr id="47" name="Frame4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2022 Annual Report on Form 10-K.</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our credit facilities or commercial paper program during the three months ended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had net borrowings on our credit facilities and commercial paper program of $382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Repayment of Senior Notes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31, 2023, we redeemed our 2.85%, $400 million senior notes. We utilized a combination of cash on hand and borrowings under our commercial paper program to repay these senior notes. We also intend to utilize a combination of cash flow from operating activities, proceeds from asset sales and borrowings under our commercial paper program to repay our 3.85%, $700 million senior notes due October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repurchased 2.4 million common units under the Common Equity Repurchase Program (the “Program”) during the three months ended March 31, 2022 for a total purchase price of $25 million, including commissions and fees. There were no repurchases under the Program during the three months ended March 31, 2023. The remaining available capacity under the Program as of March 31, 2023 was $198 million.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March 31, 2023.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46685"/>
                <wp:effectExtent l="0" t="0" r="0" b="0"/>
                <wp:wrapNone/>
                <wp:docPr id="48" name="Frame4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Distributions to Our Unitholders</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Series A preferred unitholders.</w:t>
      </w:r>
      <w:r>
        <w:rPr>
          <w:color w:val="000000"/>
        </w:rPr>
        <w:t xml:space="preserve"> </w:t>
      </w:r>
      <w:r>
        <w:rPr>
          <w:rFonts w:ascii="Times New Roman;sans-serif" w:hAnsi="Times New Roman;sans-serif"/>
          <w:b w:val="false"/>
          <w:color w:val="000000"/>
          <w:sz w:val="20"/>
        </w:rPr>
        <w:t>On May 15, 2023, we will pay a quarterly cash distribution of approximately $0.585 per unit to Series A preferred unitholders of record at the close of business on May 1, 2023 for the period from January 1, 2023 through March 31, 2023. Such distribution represents a pro-rated amount following the election of the Preferred Distribution Rate Reset Option in January 2023. See Note 6 to our Condensed Consolidated Financial Statements for additional information.</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Series B preferred unitholders.</w:t>
      </w:r>
      <w:r>
        <w:rPr>
          <w:color w:val="000000"/>
        </w:rPr>
        <w:t xml:space="preserve"> </w:t>
      </w:r>
      <w:r>
        <w:rPr>
          <w:rFonts w:ascii="Times New Roman;sans-serif" w:hAnsi="Times New Roman;sans-serif"/>
          <w:b w:val="false"/>
          <w:color w:val="000000"/>
          <w:sz w:val="20"/>
        </w:rPr>
        <w:t>On May 15, 2023, we will pay a quarterly cash distribution of approximately $22.18 per unit to Series B preferred unitholders of record at the close of business on May 1, 2023 for the period from February 15, 2023 through May 14, 2023.</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i/>
          <w:color w:val="000000"/>
          <w:sz w:val="20"/>
        </w:rPr>
        <w:t>Common Unitholders</w:t>
      </w:r>
      <w:r>
        <w:rPr>
          <w:rFonts w:ascii="Times New Roman;sans-serif" w:hAnsi="Times New Roman;sans-serif"/>
          <w:b w:val="false"/>
          <w:color w:val="000000"/>
          <w:sz w:val="20"/>
        </w:rPr>
        <w:t>. On May 15, 2023, we will pay a quarterly cash distribution of $0.2675 per common unit ($1.07 per unit on an annualized basis) to common unitholders of record at the close of business on May 1, 2023 for the period from January 1, 2023 through March 31, 2023, which is unchanged from the distribution per unit paid in February of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6 to our Condensed Consolidated Financial Statements for details of distributions paid during or pertaining to the first three months of 2023, including distributions to our preferred unitholders. </w:t>
      </w:r>
    </w:p>
    <w:p>
      <w:pPr>
        <w:pStyle w:val="TextBody"/>
        <w:spacing w:before="0" w:after="0"/>
        <w:ind w:left="0" w:right="0" w:hanging="360"/>
        <w:rPr/>
      </w:pPr>
      <w:r>
        <w:rPr/>
      </w:r>
    </w:p>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represent amounts paid on interests in consolidated entities that are not owned by us. As of March 31, 2023,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three months ended March 31, 2023.</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12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best estimate of the amount and timing of these payments as of March 31, 2023 (in millions):</w:t>
      </w:r>
    </w:p>
    <w:p>
      <w:pPr>
        <w:pStyle w:val="TextBody"/>
        <w:spacing w:before="0" w:after="0"/>
        <w:ind w:left="0" w:right="0" w:firstLine="720"/>
        <w:rPr/>
      </w:pPr>
      <w:r>
        <w:rPr/>
      </w:r>
    </w:p>
    <w:tbl>
      <w:tblPr>
        <w:tblW w:w="10600" w:type="dxa"/>
        <w:jc w:val="center"/>
        <w:tblInd w:w="0" w:type="dxa"/>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60"/>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March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46685"/>
                <wp:effectExtent l="0" t="0" r="0" b="0"/>
                <wp:wrapNone/>
                <wp:docPr id="49" name="Frame4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to 70 days and are terminated upon completion of each transaction. Additionally, we issue letters of credit to support insurance programs, derivative transactions, including hedging-related margin obligations, and construction activities. At March 31, 2023 and December 31, 2022, we had outstanding letters of credit of approximately $144 million and $102 million, respectively.</w:t>
      </w:r>
    </w:p>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spacing w:before="0" w:after="0"/>
        <w:rPr/>
      </w:pPr>
      <w:r>
        <w:rPr/>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fluctuations in refinery capacity in areas supplied by our mainlines and other factors affecting demand for various grades of crude oil and NGL and resulting changes in pricing conditions or transportation throughput requirements;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the impact of current and future laws, rulings, governmental regulations, executive orders, trade policies, accounting standards and statements, and related interpretations, including legislation, executive orders or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46685"/>
                <wp:effectExtent l="0" t="0" r="0" b="0"/>
                <wp:wrapNone/>
                <wp:docPr id="50"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effectiveness of our risk management activities;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shortages or cost increases of supplies, materials or labor;</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maintenance of our credit rating and ability to receive open credit from our suppliers and trade counterparties;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availability of, and our ability to consummate, divestitures, joint ventures, acquisitions or other strategic opportunities;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significant under-utilization of our assets and facilities;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increased costs, or lack of availability, of insurance;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risks related to the development and operation of our assets;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5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w:t>
      </w:r>
      <w:r>
        <w:rPr>
          <w:rFonts w:ascii="Times New Roman;sans-serif" w:hAnsi="Times New Roman;sans-serif"/>
          <w:b w:val="false"/>
          <w:i/>
          <w:color w:val="000000"/>
          <w:sz w:val="20"/>
          <w:u w:val="single"/>
        </w:rPr>
        <w:t>Crude oil</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spacing w:before="0" w:after="0"/>
        <w:rPr/>
      </w:pPr>
      <w:r>
        <w:rPr/>
      </w:r>
    </w:p>
    <w:p>
      <w:pPr>
        <w:pStyle w:val="TextBody"/>
        <w:spacing w:lineRule="auto" w:line="288" w:before="0" w:after="0"/>
        <w:rPr/>
      </w:pPr>
      <w:r>
        <w:rPr>
          <w:color w:val="000000"/>
        </w:rPr>
        <w:t>•</w:t>
      </w:r>
      <w:r>
        <w:rPr>
          <w:rFonts w:ascii="Times New Roman;sans-serif" w:hAnsi="Times New Roman;sans-serif"/>
          <w:b w:val="false"/>
          <w:i/>
          <w:color w:val="000000"/>
          <w:sz w:val="20"/>
          <w:u w:val="single"/>
        </w:rPr>
        <w:t>Natural gas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w:t>
      </w:r>
      <w:r>
        <w:rPr>
          <w:rFonts w:ascii="Times New Roman;sans-serif" w:hAnsi="Times New Roman;sans-serif"/>
          <w:b w:val="false"/>
          <w:i/>
          <w:color w:val="000000"/>
          <w:sz w:val="20"/>
          <w:u w:val="single"/>
        </w:rPr>
        <w:t>NGL and other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March 31, 2023 that would be expected from a 10% price increase or decrease is shown in the table below (in millions):</w:t>
      </w:r>
    </w:p>
    <w:p>
      <w:pPr>
        <w:pStyle w:val="TextBody"/>
        <w:spacing w:before="0" w:after="0"/>
        <w:rPr/>
      </w:pPr>
      <w:r>
        <w:rPr/>
      </w:r>
    </w:p>
    <w:tbl>
      <w:tblPr>
        <w:tblW w:w="5247" w:type="dxa"/>
        <w:jc w:val="center"/>
        <w:tblInd w:w="0" w:type="dxa"/>
        <w:tblCellMar>
          <w:top w:w="28" w:type="dxa"/>
          <w:left w:w="28" w:type="dxa"/>
          <w:bottom w:w="28" w:type="dxa"/>
          <w:right w:w="28" w:type="dxa"/>
        </w:tblCellMar>
      </w:tblPr>
      <w:tblGrid>
        <w:gridCol w:w="495"/>
        <w:gridCol w:w="433"/>
        <w:gridCol w:w="437"/>
        <w:gridCol w:w="274"/>
        <w:gridCol w:w="469"/>
        <w:gridCol w:w="143"/>
        <w:gridCol w:w="109"/>
        <w:gridCol w:w="109"/>
        <w:gridCol w:w="109"/>
        <w:gridCol w:w="341"/>
        <w:gridCol w:w="608"/>
        <w:gridCol w:w="177"/>
        <w:gridCol w:w="109"/>
        <w:gridCol w:w="109"/>
        <w:gridCol w:w="109"/>
        <w:gridCol w:w="346"/>
        <w:gridCol w:w="617"/>
        <w:gridCol w:w="253"/>
      </w:tblGrid>
      <w:tr>
        <w:trPr/>
        <w:tc>
          <w:tcPr>
            <w:tcW w:w="495"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5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46685"/>
                <wp:effectExtent l="0" t="0" r="0" b="0"/>
                <wp:wrapNone/>
                <wp:docPr id="52" name="Frame5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March 31, 2023. The average interest rate on variable rate debt that was outstanding during the three months ended March 31, 2023 was 5.1%, based upon rates in effect during such period. The fair value of our interest rate derivatives was a net asset of $115 million as of March 31, 2023. A 10% increase in the forward LIBOR curve as of March 31, 2023 would have resulted in an increase of $18 million to the fair value of our interest rate derivatives. A 10% decrease in the forward LIBOR curve as of March 31, 2023 would have resulted in a decrease of $18 million to the fair value of our interest rate derivatives. See Note 7 to our Condensed Consolidated Financial Statements for a discussion of our interest rate risk hedging activities.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March 31, 2023, the end of the period covered by this report, and, based on such evaluation, our Chief Executive Officer and Chief Financial Officer have concluded that our DCP is effective.</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first quarter of 2023 that have materially affected, or are reasonably likely to materially affect, our internal control over financial reporting.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46685"/>
                <wp:effectExtent l="0" t="0" r="0" b="0"/>
                <wp:wrapNone/>
                <wp:docPr id="53" name="Frame5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spacing w:lineRule="auto" w:line="288" w:before="0" w:after="0"/>
        <w:ind w:left="0" w:right="0" w:firstLine="72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ind w:left="0" w:right="0" w:hanging="36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46685"/>
                <wp:effectExtent l="0" t="0" r="0" b="0"/>
                <wp:wrapNone/>
                <wp:docPr id="54" name="Frame5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EXHIBITS </w:t>
      </w:r>
    </w:p>
    <w:p>
      <w:pPr>
        <w:pStyle w:val="TextBody"/>
        <w:spacing w:lineRule="auto" w:line="288" w:before="0" w:after="0"/>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10539" w:type="dxa"/>
        <w:jc w:val="left"/>
        <w:tblInd w:w="0" w:type="dxa"/>
        <w:tblCellMar>
          <w:top w:w="28" w:type="dxa"/>
          <w:left w:w="28" w:type="dxa"/>
          <w:bottom w:w="28" w:type="dxa"/>
          <w:right w:w="28" w:type="dxa"/>
        </w:tblCellMar>
      </w:tblPr>
      <w:tblGrid>
        <w:gridCol w:w="295"/>
        <w:gridCol w:w="259"/>
        <w:gridCol w:w="260"/>
        <w:gridCol w:w="115"/>
        <w:gridCol w:w="115"/>
        <w:gridCol w:w="116"/>
        <w:gridCol w:w="2905"/>
        <w:gridCol w:w="2670"/>
        <w:gridCol w:w="3804"/>
      </w:tblGrid>
      <w:tr>
        <w:trPr/>
        <w:tc>
          <w:tcPr>
            <w:tcW w:w="29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3804" w:type="dxa"/>
            <w:tcBorders/>
            <w:shd w:fill="auto" w:val="cle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fldChar w:fldCharType="begin"/>
            </w:r>
            <w:r>
              <w:rPr>
                <w:rStyle w:val="InternetLink"/>
                <w:sz w:val="20"/>
                <w:u w:val="single"/>
                <w:b w:val="false"/>
                <w:rFonts w:ascii="Times New Roman;sans-serif" w:hAnsi="Times New Roman;sans-serif"/>
              </w:rPr>
              <w:instrText> HYPERLINK "http://www.sec.gov/Archives/edgar/data/1070423/000110465917061889/a17-22685_5ex3d1.htm" \l "Exhibit3_1_122228"</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ans-serif" w:hAnsi="Times New Roman;sans-serif"/>
              </w:rPr>
              <w:fldChar w:fldCharType="end"/>
            </w:r>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3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46685"/>
                <wp:effectExtent l="0" t="0" r="0" b="0"/>
                <wp:wrapNone/>
                <wp:docPr id="55" name="Frame5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539" w:type="dxa"/>
        <w:jc w:val="left"/>
        <w:tblInd w:w="0" w:type="dxa"/>
        <w:tblCellMar>
          <w:top w:w="28" w:type="dxa"/>
          <w:left w:w="28" w:type="dxa"/>
          <w:bottom w:w="28" w:type="dxa"/>
          <w:right w:w="28" w:type="dxa"/>
        </w:tblCellMar>
      </w:tblPr>
      <w:tblGrid>
        <w:gridCol w:w="174"/>
        <w:gridCol w:w="153"/>
        <w:gridCol w:w="154"/>
        <w:gridCol w:w="115"/>
        <w:gridCol w:w="115"/>
        <w:gridCol w:w="116"/>
        <w:gridCol w:w="2901"/>
        <w:gridCol w:w="2817"/>
        <w:gridCol w:w="3994"/>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901" w:type="dxa"/>
            <w:tcBorders/>
            <w:shd w:fill="auto" w:val="clear"/>
            <w:vAlign w:val="center"/>
          </w:tcPr>
          <w:p>
            <w:pPr>
              <w:pStyle w:val="TableContents"/>
              <w:spacing w:before="0" w:after="283"/>
              <w:rPr>
                <w:sz w:val="4"/>
                <w:szCs w:val="4"/>
              </w:rPr>
            </w:pPr>
            <w:r>
              <w:rPr>
                <w:sz w:val="4"/>
                <w:szCs w:val="4"/>
              </w:rPr>
            </w:r>
          </w:p>
        </w:tc>
        <w:tc>
          <w:tcPr>
            <w:tcW w:w="2817" w:type="dxa"/>
            <w:tcBorders/>
            <w:shd w:fill="auto" w:val="clear"/>
            <w:vAlign w:val="center"/>
          </w:tcPr>
          <w:p>
            <w:pPr>
              <w:pStyle w:val="TableContents"/>
              <w:spacing w:before="0" w:after="283"/>
              <w:rPr>
                <w:sz w:val="4"/>
                <w:szCs w:val="4"/>
              </w:rPr>
            </w:pPr>
            <w:r>
              <w:rPr>
                <w:sz w:val="4"/>
                <w:szCs w:val="4"/>
              </w:rPr>
            </w:r>
          </w:p>
        </w:tc>
        <w:tc>
          <w:tcPr>
            <w:tcW w:w="3994"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ans-serif" w:hAnsi="Times New Roman;sans-serif"/>
                <w:b w:val="false"/>
                <w:color w:val="000000"/>
                <w:sz w:val="20"/>
              </w:rPr>
              <w:t>.</w:t>
            </w:r>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46685"/>
                <wp:effectExtent l="0" t="0" r="0" b="0"/>
                <wp:wrapNone/>
                <wp:docPr id="56" name="Frame5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539" w:type="dxa"/>
        <w:jc w:val="left"/>
        <w:tblInd w:w="0" w:type="dxa"/>
        <w:tblCellMar>
          <w:top w:w="28" w:type="dxa"/>
          <w:left w:w="28" w:type="dxa"/>
          <w:bottom w:w="28" w:type="dxa"/>
          <w:right w:w="28" w:type="dxa"/>
        </w:tblCellMar>
      </w:tblPr>
      <w:tblGrid>
        <w:gridCol w:w="252"/>
        <w:gridCol w:w="204"/>
        <w:gridCol w:w="209"/>
        <w:gridCol w:w="115"/>
        <w:gridCol w:w="115"/>
        <w:gridCol w:w="116"/>
        <w:gridCol w:w="2802"/>
        <w:gridCol w:w="2783"/>
        <w:gridCol w:w="3943"/>
      </w:tblGrid>
      <w:tr>
        <w:trPr/>
        <w:tc>
          <w:tcPr>
            <w:tcW w:w="25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3943" w:type="dxa"/>
            <w:tcBorders/>
            <w:shd w:fill="auto" w:val="cle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Times New Roman;sans-serif" w:hAnsi="Times New Roman;sans-serif"/>
                <w:b w:val="false"/>
                <w:color w:val="000000"/>
                <w:sz w:val="20"/>
              </w:rPr>
              <w: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Description of Our Securities (incorporated by reference to Exhibit 4.18 to our Annual Report on Form 10-K for the year ended December 31, 2022).</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aaq12023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aaq12023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aaq12023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paaq12023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720"/>
        <w:rPr/>
      </w:pPr>
      <w:r>
        <w:rPr>
          <w:color w:val="000000"/>
        </w:rPr>
        <w:t>†    </w:t>
      </w:r>
      <w:r>
        <w:rPr>
          <w:rFonts w:ascii="Times New Roman;sans-serif" w:hAnsi="Times New Roman;sans-serif"/>
          <w:b w:val="false"/>
          <w:color w:val="000000"/>
          <w:sz w:val="20"/>
        </w:rPr>
        <w:t>Filed herewith.</w:t>
      </w:r>
    </w:p>
    <w:p>
      <w:pPr>
        <w:pStyle w:val="TextBody"/>
        <w:spacing w:lineRule="auto" w:line="288" w:before="0" w:after="120"/>
        <w:ind w:left="0" w:right="0" w:hanging="720"/>
        <w:rPr/>
      </w:pPr>
      <w:r>
        <w:rPr>
          <w:color w:val="000000"/>
        </w:rPr>
        <w:t>††    </w:t>
      </w:r>
      <w:r>
        <w:rPr>
          <w:rFonts w:ascii="Times New Roman;sans-serif" w:hAnsi="Times New Roman;sans-serif"/>
          <w:b w:val="false"/>
          <w:color w:val="000000"/>
          <w:sz w:val="20"/>
        </w:rPr>
        <w:t>Furnished herewith.</w:t>
      </w:r>
    </w:p>
    <w:p>
      <w:pPr>
        <w:pStyle w:val="TextBody"/>
        <w:spacing w:before="0" w:after="1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46685"/>
                <wp:effectExtent l="0" t="0" r="0" b="0"/>
                <wp:wrapNone/>
                <wp:docPr id="57" name="Frame5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b8092966dc8a450abc9fbd078add567e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409"/>
        <w:gridCol w:w="361"/>
        <w:gridCol w:w="363"/>
        <w:gridCol w:w="583"/>
        <w:gridCol w:w="583"/>
        <w:gridCol w:w="583"/>
        <w:gridCol w:w="2239"/>
        <w:gridCol w:w="2238"/>
        <w:gridCol w:w="3180"/>
      </w:tblGrid>
      <w:tr>
        <w:trPr/>
        <w:tc>
          <w:tcPr>
            <w:tcW w:w="4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3180" w:type="dxa"/>
            <w:tcBorders/>
            <w:shd w:fill="auto" w:val="clear"/>
            <w:vAlign w:val="center"/>
          </w:tcPr>
          <w:p>
            <w:pPr>
              <w:pStyle w:val="TableContents"/>
              <w:spacing w:before="0" w:after="283"/>
              <w:rPr>
                <w:sz w:val="4"/>
                <w:szCs w:val="4"/>
              </w:rPr>
            </w:pPr>
            <w:r>
              <w:rPr>
                <w:sz w:val="4"/>
                <w:szCs w:val="4"/>
              </w:rPr>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1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940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0"/>
        <w:jc w:val="center"/>
        <w:rPr/>
      </w:pPr>
      <w:r>
        <w:rPr/>
      </w:r>
    </w:p>
    <w:p>
      <w:pPr>
        <w:pStyle w:val="TextBody"/>
        <w:spacing w:before="0" w:after="0"/>
        <w:ind w:left="0" w:right="0" w:hanging="72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46685"/>
                <wp:effectExtent l="0" t="0" r="0" b="0"/>
                <wp:wrapNone/>
                <wp:docPr id="58" name="Frame5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2085" w:type="dxa"/>
        <w:jc w:val="left"/>
        <w:tblInd w:w="0" w:type="dxa"/>
        <w:tblCellMar>
          <w:top w:w="28" w:type="dxa"/>
          <w:left w:w="28" w:type="dxa"/>
          <w:bottom w:w="28" w:type="dxa"/>
          <w:right w:w="28" w:type="dxa"/>
        </w:tblCellMar>
      </w:tblPr>
      <w:tblGrid>
        <w:gridCol w:w="667"/>
        <w:gridCol w:w="585"/>
        <w:gridCol w:w="833"/>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9" name="Frame5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2024" w:type="dxa"/>
        <w:jc w:val="left"/>
        <w:tblInd w:w="0" w:type="dxa"/>
        <w:tblCellMar>
          <w:top w:w="28" w:type="dxa"/>
          <w:left w:w="28" w:type="dxa"/>
          <w:bottom w:w="28" w:type="dxa"/>
          <w:right w:w="28" w:type="dxa"/>
        </w:tblCellMar>
      </w:tblPr>
      <w:tblGrid>
        <w:gridCol w:w="647"/>
        <w:gridCol w:w="568"/>
        <w:gridCol w:w="809"/>
      </w:tblGrid>
      <w:tr>
        <w:trPr/>
        <w:tc>
          <w:tcPr>
            <w:tcW w:w="6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60" name="Frame6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March 31, 2023 and filed with the Securities and Exchange Commission on the date hereof (the “Report”) by the Company fully complies with the requirements of Section 13(a) or 15(d) of the Securities Exchange Act of 1934, as amended;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1889" w:type="dxa"/>
        <w:jc w:val="left"/>
        <w:tblInd w:w="0" w:type="dxa"/>
        <w:tblCellMar>
          <w:top w:w="28" w:type="dxa"/>
          <w:left w:w="28" w:type="dxa"/>
          <w:bottom w:w="28" w:type="dxa"/>
          <w:right w:w="28" w:type="dxa"/>
        </w:tblCellMar>
      </w:tblPr>
      <w:tblGrid>
        <w:gridCol w:w="604"/>
        <w:gridCol w:w="530"/>
        <w:gridCol w:w="755"/>
      </w:tblGrid>
      <w:tr>
        <w:trPr/>
        <w:tc>
          <w:tcPr>
            <w:tcW w:w="6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r>
    </w:tbl>
    <w:p>
      <w:pPr>
        <w:pStyle w:val="TextBody"/>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61" name="Frame6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March 31, 2023 and filed with the Securities and Exchange Commission on the date hereof (the “Report”) by the Company fully complies with the requirements of Section 13(a) or 15(d) of the Securities Exchange Act of 1934, as amended;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1695" w:type="dxa"/>
        <w:jc w:val="left"/>
        <w:tblInd w:w="0" w:type="dxa"/>
        <w:tblCellMar>
          <w:top w:w="28" w:type="dxa"/>
          <w:left w:w="28" w:type="dxa"/>
          <w:bottom w:w="28" w:type="dxa"/>
          <w:right w:w="28" w:type="dxa"/>
        </w:tblCellMar>
      </w:tblPr>
      <w:tblGrid>
        <w:gridCol w:w="542"/>
        <w:gridCol w:w="476"/>
        <w:gridCol w:w="677"/>
      </w:tblGrid>
      <w:tr>
        <w:trPr/>
        <w:tc>
          <w:tcPr>
            <w:tcW w:w="54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r>
    </w:tbl>
    <w:p>
      <w:pPr>
        <w:pStyle w:val="TextBody"/>
        <w:jc w:val="right"/>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62" name="Frame6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0423/000104746904016502/a2135501zex-3_2.htm" TargetMode="External"/><Relationship Id="rId3" Type="http://schemas.openxmlformats.org/officeDocument/2006/relationships/hyperlink" Target="http://www.sec.gov/Archives/edgar/data/1070423/000110465911010359/a11-2319_1ex3d9.htm" TargetMode="External"/><Relationship Id="rId4" Type="http://schemas.openxmlformats.org/officeDocument/2006/relationships/hyperlink" Target="http://www.sec.gov/Archives/edgar/data/1070423/000110465911010359/a11-2319_1ex3d10.htm" TargetMode="External"/><Relationship Id="rId5" Type="http://schemas.openxmlformats.org/officeDocument/2006/relationships/hyperlink" Target="http://www.sec.gov/Archives/edgar/data/1070423/000110465914014322/a13-25941_1ex3d7.htm" TargetMode="External"/><Relationship Id="rId6" Type="http://schemas.openxmlformats.org/officeDocument/2006/relationships/hyperlink" Target="http://www.sec.gov/Archives/edgar/data/1070423/000110465914014322/a13-25941_1ex3d8.htm" TargetMode="External"/><Relationship Id="rId7" Type="http://schemas.openxmlformats.org/officeDocument/2006/relationships/hyperlink" Target="http://www.sec.gov/Archives/edgar/data/1070423/000107042320000004/paa201910-kexhibit37.htm" TargetMode="External"/><Relationship Id="rId8" Type="http://schemas.openxmlformats.org/officeDocument/2006/relationships/hyperlink" Target="http://www.sec.gov/Archives/edgar/data/1070423/000104746904016502/a2135501zex-3_3.htm" TargetMode="External"/><Relationship Id="rId9" Type="http://schemas.openxmlformats.org/officeDocument/2006/relationships/hyperlink" Target="http://www.sec.gov/Archives/edgar/data/1070423/000110465914014322/a13-25941_1ex3d10.htm" TargetMode="External"/><Relationship Id="rId10" Type="http://schemas.openxmlformats.org/officeDocument/2006/relationships/hyperlink" Target="http://www.sec.gov/Archives/edgar/data/1070423/000110465916158355/a16-21841_1ex3d3.htm" TargetMode="External"/><Relationship Id="rId11" Type="http://schemas.openxmlformats.org/officeDocument/2006/relationships/hyperlink" Target="http://www.sec.gov/Archives/edgar/data/1070423/000110465916158355/a16-21841_1ex3d4.htm" TargetMode="External"/><Relationship Id="rId12" Type="http://schemas.openxmlformats.org/officeDocument/2006/relationships/hyperlink" Target="http://www.sec.gov/Archives/edgar/data/1070423/000110465918060011/a18-36196_1ex3d1.htm" TargetMode="External"/><Relationship Id="rId13" Type="http://schemas.openxmlformats.org/officeDocument/2006/relationships/hyperlink" Target="http://www.sec.gov/Archives/edgar/data/1070423/000110465919032810/a19-10856_1ex3d1.htm" TargetMode="External"/><Relationship Id="rId14" Type="http://schemas.openxmlformats.org/officeDocument/2006/relationships/hyperlink" Target="http://www.sec.gov/Archives/edgar/data/1070423/000095012907001096/h43224exv3w10.htm" TargetMode="External"/><Relationship Id="rId15" Type="http://schemas.openxmlformats.org/officeDocument/2006/relationships/hyperlink" Target="http://www.sec.gov/Archives/edgar/data/1070423/000095012907001096/h43224exv3w11.htm" TargetMode="External"/><Relationship Id="rId16" Type="http://schemas.openxmlformats.org/officeDocument/2006/relationships/hyperlink" Target="http://www.sec.gov/Archives/edgar/data/1070423/000095012908000071/h52770exv3w3.htm" TargetMode="External"/><Relationship Id="rId17" Type="http://schemas.openxmlformats.org/officeDocument/2006/relationships/hyperlink" Target="http://www.sec.gov/Archives/edgar/data/1581990/000104746913007875/a2216069zex-3_1.htm" TargetMode="External"/><Relationship Id="rId18" Type="http://schemas.openxmlformats.org/officeDocument/2006/relationships/hyperlink" Target="http://www.sec.gov/Archives/edgar/data/1581990/000110465916158356/a16-21845_1ex3d2.htm" TargetMode="External"/><Relationship Id="rId19" Type="http://schemas.openxmlformats.org/officeDocument/2006/relationships/hyperlink" Target="http://www.sec.gov/Archives/edgar/data/1581990/000158199020000012/exhibit31.htm" TargetMode="External"/><Relationship Id="rId20" Type="http://schemas.openxmlformats.org/officeDocument/2006/relationships/hyperlink" Target="http://www.sec.gov/Archives/edgar/data/1581990/000104746913007875/a2216069zex-3_3.htm" TargetMode="External"/><Relationship Id="rId21" Type="http://schemas.openxmlformats.org/officeDocument/2006/relationships/hyperlink" Target="http://www.sec.gov/Archives/edgar/data/1070423/000107042322000006/paa202110-kexhibite69.htm" TargetMode="External"/><Relationship Id="rId22" Type="http://schemas.openxmlformats.org/officeDocument/2006/relationships/hyperlink" Target="http://www.sec.gov/Archives/edgar/data/1070423/000089924302002834/dex41.txt" TargetMode="External"/><Relationship Id="rId23" Type="http://schemas.openxmlformats.org/officeDocument/2006/relationships/hyperlink" Target="http://www.sec.gov/Archives/edgar/data/1070423/000110465906034368/a06-11663_1ex4d1.htm" TargetMode="External"/><Relationship Id="rId24" Type="http://schemas.openxmlformats.org/officeDocument/2006/relationships/hyperlink" Target="http://www.sec.gov/Archives/edgar/data/1070423/000095012906009235/h40667exv4w2.htm" TargetMode="External"/><Relationship Id="rId25" Type="http://schemas.openxmlformats.org/officeDocument/2006/relationships/hyperlink" Target="http://www.sec.gov/Archives/edgar/data/1070423/000119312512132295/d321017dex43.htm" TargetMode="External"/><Relationship Id="rId26" Type="http://schemas.openxmlformats.org/officeDocument/2006/relationships/hyperlink" Target="http://www.sec.gov/Archives/edgar/data/1070423/000119312512499932/d453762dex43.htm" TargetMode="External"/><Relationship Id="rId27" Type="http://schemas.openxmlformats.org/officeDocument/2006/relationships/hyperlink" Target="http://www.sec.gov/Archives/edgar/data/1070423/000119312513336066/d581734dex41.htm" TargetMode="External"/><Relationship Id="rId28" Type="http://schemas.openxmlformats.org/officeDocument/2006/relationships/hyperlink" Target="http://www.sec.gov/Archives/edgar/data/1070423/000119312514164183/d713938dex41.htm" TargetMode="External"/><Relationship Id="rId29" Type="http://schemas.openxmlformats.org/officeDocument/2006/relationships/hyperlink" Target="http://www.sec.gov/Archives/edgar/data/1070423/000119312514338289/d787160dex41.htm" TargetMode="External"/><Relationship Id="rId30" Type="http://schemas.openxmlformats.org/officeDocument/2006/relationships/hyperlink" Target="http://www.sec.gov/Archives/edgar/data/1070423/000119312514440007/d833885dex43.htm" TargetMode="External"/><Relationship Id="rId31" Type="http://schemas.openxmlformats.org/officeDocument/2006/relationships/hyperlink" Target="http://www.sec.gov/Archives/edgar/data/1070423/000119312515302829/d45393dex41.htm" TargetMode="External"/><Relationship Id="rId32" Type="http://schemas.openxmlformats.org/officeDocument/2006/relationships/hyperlink" Target="http://www.sec.gov/Archives/edgar/data/1070423/000110465916159593/a16-22232_1ex4d1.htm" TargetMode="External"/><Relationship Id="rId33" Type="http://schemas.openxmlformats.org/officeDocument/2006/relationships/hyperlink" Target="http://www.sec.gov/Archives/edgar/data/1070423/000141057819001281/tv529555_ex4-1.htm" TargetMode="External"/><Relationship Id="rId34" Type="http://schemas.openxmlformats.org/officeDocument/2006/relationships/hyperlink" Target="http://www.sec.gov/Archives/edgar/data/1070423/000110465920072270/tm2022235d1_ex4-1.htm" TargetMode="External"/><Relationship Id="rId35" Type="http://schemas.openxmlformats.org/officeDocument/2006/relationships/hyperlink" Target="http://www.sec.gov/Archives/edgar/data/1070423/000095012309050401/h68193exv4w1.htm" TargetMode="External"/><Relationship Id="rId36" Type="http://schemas.openxmlformats.org/officeDocument/2006/relationships/hyperlink" Target="http://www.sec.gov/Archives/edgar/data/1070423/000110465916093299/a16-3362_1ex4d1.htm" TargetMode="External"/><Relationship Id="rId37" Type="http://schemas.openxmlformats.org/officeDocument/2006/relationships/hyperlink" Target="http://www.sec.gov/Archives/edgar/data/1070423/000110465916158355/a16-21841_1ex10d4.htm" TargetMode="External"/><Relationship Id="rId38" Type="http://schemas.openxmlformats.org/officeDocument/2006/relationships/hyperlink" Target="https://www.sec.gov/Archives/edgar/data/1070423/000107042323000006/paa202210-kexhibit418.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28522</Words>
  <CharactersWithSpaces>185561</CharactersWithSpaces>
  <Paragraphs>3524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