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7220" w:space="720"/>
            <w:col w:w="324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2"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84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1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14"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29, 2022, there were 697,939,946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29"/>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2022 and December 31,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 xml:space="preserve">Condensed Consolidated Statements of Comprehensive </w:t>
              </w:r>
            </w:hyperlink>
            <w:r>
              <w:rPr>
                <w:rFonts w:ascii="Arial" w:cs="Arial" w:eastAsia="Arial" w:hAnsi="Arial"/>
                <w:sz w:val="18"/>
                <w:szCs w:val="18"/>
                <w:color w:val="0000FF"/>
                <w:w w:val="94"/>
              </w:rPr>
              <w:t xml:space="preserve">Income/(Loss): </w:t>
            </w:r>
            <w:hyperlink w:anchor="page4">
              <w:r>
                <w:rPr>
                  <w:rFonts w:ascii="Arial" w:cs="Arial" w:eastAsia="Arial" w:hAnsi="Arial"/>
                  <w:sz w:val="18"/>
                  <w:szCs w:val="18"/>
                  <w:color w:val="0000FF"/>
                  <w:w w:val="94"/>
                </w:rPr>
                <w:t>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Accumulated Other Comprehensive Income/(Loss): For the three and six months ended</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8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June 30, 2022 and 2021</w:t>
              </w:r>
            </w:hyperlink>
          </w:p>
        </w:tc>
        <w:tc>
          <w:tcPr>
            <w:tcW w:w="4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380" w:type="dxa"/>
            <w:vAlign w:val="bottom"/>
            <w:gridSpan w:val="2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six months ended June 30, 2022 and 2021</w:t>
              </w:r>
            </w:hyperlink>
          </w:p>
        </w:tc>
        <w:tc>
          <w:tcPr>
            <w:tcW w:w="2680" w:type="dxa"/>
            <w:vAlign w:val="bottom"/>
            <w:gridSpan w:val="6"/>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Changes in Partners’ Capital: 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300" w:type="dxa"/>
            <w:vAlign w:val="bottom"/>
            <w:tcBorders>
              <w:top w:val="single" w:sz="8" w:color="0000FF"/>
            </w:tcBorders>
            <w:gridSpan w:val="2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76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2.</w:t>
              </w:r>
            </w:hyperlink>
          </w:p>
        </w:tc>
        <w:tc>
          <w:tcPr>
            <w:tcW w:w="3260" w:type="dxa"/>
            <w:vAlign w:val="bottom"/>
            <w:gridSpan w:val="12"/>
          </w:tcPr>
          <w:p>
            <w:pPr>
              <w:ind w:left="20"/>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3260" w:type="dxa"/>
            <w:vAlign w:val="bottom"/>
            <w:tcBorders>
              <w:top w:val="single" w:sz="8" w:color="0000FF"/>
            </w:tcBorders>
            <w:gridSpan w:val="12"/>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4.</w:t>
              </w:r>
            </w:hyperlink>
          </w:p>
        </w:tc>
        <w:tc>
          <w:tcPr>
            <w:tcW w:w="9720" w:type="dxa"/>
            <w:vAlign w:val="bottom"/>
            <w:gridSpan w:val="26"/>
          </w:tcPr>
          <w:p>
            <w:pPr>
              <w:ind w:left="20"/>
              <w:spacing w:after="0"/>
              <w:rPr>
                <w:rFonts w:ascii="Arial" w:cs="Arial" w:eastAsia="Arial" w:hAnsi="Arial"/>
                <w:sz w:val="18"/>
                <w:szCs w:val="18"/>
                <w:color w:val="0000FF"/>
              </w:rPr>
            </w:pPr>
            <w:hyperlink w:anchor="page15">
              <w:r>
                <w:rPr>
                  <w:rFonts w:ascii="Arial" w:cs="Arial" w:eastAsia="Arial" w:hAnsi="Arial"/>
                  <w:sz w:val="18"/>
                  <w:szCs w:val="18"/>
                  <w:color w:val="0000FF"/>
                </w:rPr>
                <w:t>Net Income/(Loss) Per Common Unit</w:t>
              </w:r>
            </w:hyperlink>
          </w:p>
        </w:tc>
        <w:tc>
          <w:tcPr>
            <w:tcW w:w="100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5.</w:t>
              </w:r>
            </w:hyperlink>
          </w:p>
        </w:tc>
        <w:tc>
          <w:tcPr>
            <w:tcW w:w="3220" w:type="dxa"/>
            <w:vAlign w:val="bottom"/>
            <w:tcBorders>
              <w:bottom w:val="single" w:sz="8" w:color="0000FF"/>
            </w:tcBorders>
            <w:gridSpan w:val="11"/>
          </w:tcPr>
          <w:p>
            <w:pPr>
              <w:ind w:left="20"/>
              <w:spacing w:after="0"/>
              <w:rPr>
                <w:rFonts w:ascii="Arial" w:cs="Arial" w:eastAsia="Arial" w:hAnsi="Arial"/>
                <w:sz w:val="18"/>
                <w:szCs w:val="18"/>
                <w:color w:val="0000FF"/>
                <w:w w:val="94"/>
              </w:rPr>
            </w:pPr>
            <w:hyperlink w:anchor="page16">
              <w:r>
                <w:rPr>
                  <w:rFonts w:ascii="Arial" w:cs="Arial" w:eastAsia="Arial" w:hAnsi="Arial"/>
                  <w:sz w:val="18"/>
                  <w:szCs w:val="18"/>
                  <w:color w:val="0000FF"/>
                  <w:w w:val="94"/>
                </w:rPr>
                <w:t>Inventory, Linefill and Long-term Inventory</w:t>
              </w:r>
            </w:hyperlink>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Debt</w:t>
              </w:r>
            </w:hyperlink>
          </w:p>
        </w:tc>
        <w:tc>
          <w:tcPr>
            <w:tcW w:w="934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7.</w:t>
              </w:r>
            </w:hyperlink>
          </w:p>
        </w:tc>
        <w:tc>
          <w:tcPr>
            <w:tcW w:w="2580" w:type="dxa"/>
            <w:vAlign w:val="bottom"/>
            <w:tcBorders>
              <w:bottom w:val="single" w:sz="8" w:color="0000FF"/>
            </w:tcBorders>
            <w:gridSpan w:val="9"/>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Partners’ Capital and Distributions</w:t>
              </w:r>
            </w:hyperlink>
          </w:p>
        </w:tc>
        <w:tc>
          <w:tcPr>
            <w:tcW w:w="714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Derivatives and Risk Management Activities</w:t>
              </w:r>
            </w:hyperlink>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9.</w:t>
              </w:r>
            </w:hyperlink>
          </w:p>
        </w:tc>
        <w:tc>
          <w:tcPr>
            <w:tcW w:w="9720" w:type="dxa"/>
            <w:vAlign w:val="bottom"/>
            <w:gridSpan w:val="26"/>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9"/>
          </w:tcPr>
          <w:p>
            <w:pPr>
              <w:ind w:left="2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10. Commitments and Contingencies</w:t>
              </w:r>
            </w:hyperlink>
          </w:p>
        </w:tc>
        <w:tc>
          <w:tcPr>
            <w:tcW w:w="720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7"/>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11. Segment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6"/>
          </w:tcPr>
          <w:p>
            <w:pPr>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2"/>
          </w:tcPr>
          <w:p>
            <w:pPr>
              <w:spacing w:after="0"/>
              <w:rPr>
                <w:rFonts w:ascii="Arial" w:cs="Arial" w:eastAsia="Arial" w:hAnsi="Arial"/>
                <w:sz w:val="18"/>
                <w:szCs w:val="18"/>
                <w:color w:val="0000FF"/>
                <w:w w:val="97"/>
              </w:rPr>
            </w:pPr>
            <w:hyperlink w:anchor="page55">
              <w:r>
                <w:rPr>
                  <w:rFonts w:ascii="Arial" w:cs="Arial" w:eastAsia="Arial" w:hAnsi="Arial"/>
                  <w:sz w:val="18"/>
                  <w:szCs w:val="18"/>
                  <w:color w:val="0000FF"/>
                  <w:w w:val="97"/>
                </w:rPr>
                <w:t>Item 3. QUANTITATIVE AND QUALITATIVE DISCLOSURES ABOUT MARKET RISK</w:t>
              </w:r>
            </w:hyperlink>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0000FF"/>
            </w:tcBorders>
            <w:gridSpan w:val="13"/>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Item 4. CONTROLS AND PROCEDURES</w:t>
              </w:r>
            </w:hyperlink>
          </w:p>
        </w:tc>
        <w:tc>
          <w:tcPr>
            <w:tcW w:w="698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29"/>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Item 1A. RISK FACTORS</w:t>
              </w:r>
            </w:hyperlink>
          </w:p>
        </w:tc>
        <w:tc>
          <w:tcPr>
            <w:tcW w:w="820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3. DEFAULTS UPON SENIOR SECURITIES</w:t>
              </w:r>
            </w:hyperlink>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6. EXHIBITS</w:t>
              </w:r>
            </w:hyperlink>
          </w:p>
        </w:tc>
        <w:tc>
          <w:tcPr>
            <w:tcW w:w="776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SIGNATURES</w:t>
              </w:r>
            </w:hyperlink>
          </w:p>
        </w:tc>
        <w:tc>
          <w:tcPr>
            <w:tcW w:w="882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1"/>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6,137</w:t>
            </w:r>
          </w:p>
        </w:tc>
      </w:tr>
      <w:tr>
        <w:trPr>
          <w:trHeight w:val="128"/>
        </w:trPr>
        <w:tc>
          <w:tcPr>
            <w:tcW w:w="8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19,257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14,903</w:t>
            </w:r>
          </w:p>
        </w:tc>
      </w:tr>
      <w:tr>
        <w:trPr>
          <w:trHeight w:val="128"/>
        </w:trPr>
        <w:tc>
          <w:tcPr>
            <w:tcW w:w="8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34"/>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48"/>
        </w:trPr>
        <w:tc>
          <w:tcPr>
            <w:tcW w:w="8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5,421</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4,810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w:t>
            </w:r>
          </w:p>
        </w:tc>
      </w:tr>
      <w:tr>
        <w:trPr>
          <w:trHeight w:val="128"/>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8,329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9,567</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unitholders (697,939,946 and 704,991,540 units outstanding,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7,680</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partners’ capital excluding noncontrolling interests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9,972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16,007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29,388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18,313</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18,023</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w w:val="92"/>
              </w:rPr>
              <w:t>Interest expense (net of capitalized interest of $1, $5, $2 and $10,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42"/>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42"/>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w w:val="99"/>
              </w:rPr>
              <w:t>Net income/(loss) allocated to common unitholders — 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1"/>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183"/>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93"/>
              </w:rPr>
              <w:t>(52)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(48)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0"/>
              </w:rPr>
              <w:t>(3)</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period activity</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period activity</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374</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Deferred income tax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 on sales of linefill</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(Gain)/loss on foreign currency revaluation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Preferred Distribution Rate Reset Option (Note 8)</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Equity earnings in unconsolidated entities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on earnings from unconsolidated entities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Other</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0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w:t>
            </w:r>
          </w:p>
        </w:tc>
      </w:tr>
      <w:tr>
        <w:trPr>
          <w:trHeight w:val="88"/>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in connection with acquisitions, net of cash acquired</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paid for purchases of linefill</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received from sales of linefill</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used in investing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r>
      <w:tr>
        <w:trPr>
          <w:trHeight w:val="88"/>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borrowings/(repayments) under commercial paper program (Note 6)</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repayments under senior secured hedged inventory facility (Note 6)</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of senior notes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Repurchase of common units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7)</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Series B preferred unitholders (Note 7)</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common unitholders (Note 7)</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noncontrolling interests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used in financing activities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(1,196)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w:t>
            </w:r>
          </w:p>
        </w:tc>
      </w:tr>
      <w:tr>
        <w:trPr>
          <w:trHeight w:val="88"/>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Effect of translation adjustment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08"/>
        </w:trPr>
        <w:tc>
          <w:tcPr>
            <w:tcW w:w="8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 and restricted cash</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0"/>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Income taxes, net of amounts refunded</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Limited Partners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units (Note 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Repurchase of common units (Note 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56"/>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89"/>
              </w:rPr>
              <w:t>Series B</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w w:val="97"/>
              </w:rPr>
              <w:t>Repurchase of common units (Note 7)</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11 for further discussion of our operating segments.</w:t>
      </w:r>
    </w:p>
    <w:p>
      <w:pPr>
        <w:spacing w:after="0" w:line="19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June 30, 2022, AAP also owned a limited partner interest in us through its ownership of approximately 241.5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2022, owned an approximate 81% limited partner interest in AAP. PAA GP Holdings LLC (“PAGP GP”) is the general partner of PAGP.</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and six months ended June 30,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below.</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Information</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Except as discussed below and in our 2021 Annual Report on Form 10-K, there have been no new accounting pronouncements that have become effective or have been issued during the six months ended June 30, 2022 that are of significance or potential significance to us.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Crude Oil segment revenues from contracts with customers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Sales</w:t>
            </w:r>
          </w:p>
        </w:tc>
        <w:tc>
          <w:tcPr>
            <w:tcW w:w="9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Terminalling, Storage and Other</w:t>
            </w: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Crude Oil segment revenues from contracts with customers</w:t>
            </w: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7"/>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Borders>
              <w:bottom w:val="single" w:sz="8" w:color="CCEEFF"/>
            </w:tcBorders>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080" w:type="dxa"/>
            <w:vAlign w:val="bottom"/>
          </w:tcPr>
          <w:p>
            <w:pPr>
              <w:ind w:left="60"/>
              <w:spacing w:after="0"/>
              <w:rPr>
                <w:sz w:val="20"/>
                <w:szCs w:val="20"/>
                <w:color w:val="auto"/>
              </w:rPr>
            </w:pPr>
            <w:r>
              <w:rPr>
                <w:rFonts w:ascii="Arial" w:cs="Arial" w:eastAsia="Arial" w:hAnsi="Arial"/>
                <w:sz w:val="18"/>
                <w:szCs w:val="18"/>
                <w:color w:val="auto"/>
              </w:rPr>
              <w:t>Sales</w:t>
            </w:r>
          </w:p>
        </w:tc>
        <w:tc>
          <w:tcPr>
            <w:tcW w:w="9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Transportation</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Terminalling, Storage and Other</w:t>
            </w: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30,348</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30,323</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60" w:hanging="652"/>
        <w:spacing w:after="0" w:line="227"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33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8"/>
              </w:rPr>
              <w:t>5,279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4,031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center"/>
              <w:ind w:left="496"/>
              <w:spacing w:after="0"/>
              <w:rPr>
                <w:sz w:val="20"/>
                <w:szCs w:val="20"/>
                <w:color w:val="auto"/>
              </w:rPr>
            </w:pPr>
            <w:r>
              <w:rPr>
                <w:rFonts w:ascii="Arial" w:cs="Arial" w:eastAsia="Arial" w:hAnsi="Arial"/>
                <w:sz w:val="18"/>
                <w:szCs w:val="18"/>
                <w:color w:val="auto"/>
                <w:w w:val="88"/>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5,126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4"/>
              </w:rPr>
              <w:t>(7,805)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4"/>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88"/>
              </w:rPr>
              <w:t>5,581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4,705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calculate basic and diluted net income/(loss) per common unit by dividing net income/(loss) attributable to PAA (after deducting amounts allocated to the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2021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the three and six months ended June 30, 2022 and 2021 as the effect was antidilutive for both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period were reduced by a hypothetical common unit repurchase based on the remaining unamortized fair value, as prescribed by the treasury stock method in guidance issued by the FASB. For the three and six months ended June 30, 2022 and the six months ended June 30, 2021, approximately 0.8 million, 0.7 million, and 0.4 million, respectively, equity-indexed compensation plan awards, on a weighted-average basis, were dilutive, but did not change the presentation of diluted net income per common unit for the periods presented. For the three months ended June 30, 2021, approximately 0.7 million equity-indexed compensation awards, on a weighted-average basis, were excluded from the computation of diluted net loss per common unit as the effect was antidilutive.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4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388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15"/>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gridSpan w:val="2"/>
          </w:tcPr>
          <w:p>
            <w:pPr>
              <w:ind w:left="18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Basic and diluted weighted average common units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57"/>
        </w:trPr>
        <w:tc>
          <w:tcPr>
            <w:tcW w:w="38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Basic and diluted net income/(loss) per common unit</w:t>
            </w: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0.22</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1"/>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1" w:lineRule="exact"/>
        <w:rPr>
          <w:sz w:val="20"/>
          <w:szCs w:val="20"/>
          <w:color w:val="auto"/>
        </w:rPr>
      </w:pPr>
    </w:p>
    <w:p>
      <w:pPr>
        <w:ind w:left="660" w:right="200" w:hanging="652"/>
        <w:spacing w:after="0" w:line="238"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0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54"/>
              <w:spacing w:after="0" w:line="189" w:lineRule="exact"/>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101.33</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3"/>
          </w:tcPr>
          <w:p>
            <w:pPr>
              <w:ind w:left="62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right w:val="single" w:sz="8" w:color="auto"/>
            </w:tcBorders>
            <w:gridSpan w:val="2"/>
          </w:tcPr>
          <w:p>
            <w:pPr>
              <w:ind w:left="38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15,239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57.29</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43.84</w:t>
            </w:r>
          </w:p>
        </w:tc>
        <w:tc>
          <w:tcPr>
            <w:tcW w:w="14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4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4" w:lineRule="exact"/>
        <w:rPr>
          <w:sz w:val="20"/>
          <w:szCs w:val="20"/>
          <w:color w:val="auto"/>
        </w:rPr>
      </w:pPr>
    </w:p>
    <w:p>
      <w:pPr>
        <w:ind w:left="8860"/>
        <w:spacing w:after="0"/>
        <w:tabs>
          <w:tab w:leader="none" w:pos="101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8960"/>
        <w:spacing w:after="0"/>
        <w:tabs>
          <w:tab w:leader="none" w:pos="103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20"/>
          </w:cols>
          <w:pgMar w:left="320" w:top="125" w:right="35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2.1%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ind w:left="160"/>
        <w:spacing w:after="0" w:line="228" w:lineRule="auto"/>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2.85% senior notes due January 2023</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short-term debt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40" w:right="800"/>
        <w:spacing w:after="0" w:line="289" w:lineRule="auto"/>
        <w:rPr>
          <w:sz w:val="20"/>
          <w:szCs w:val="20"/>
          <w:color w:val="auto"/>
        </w:rPr>
      </w:pPr>
      <w:r>
        <w:rPr>
          <w:rFonts w:ascii="Arial" w:cs="Arial" w:eastAsia="Arial" w:hAnsi="Arial"/>
          <w:sz w:val="18"/>
          <w:szCs w:val="18"/>
          <w:color w:val="auto"/>
        </w:rPr>
        <w:t>Senior notes, net of unamortized discounts and debt issuance costs of $50 and $54, respectively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0"/>
        <w:spacing w:after="0"/>
        <w:tabs>
          <w:tab w:leader="none" w:pos="980" w:val="left"/>
          <w:tab w:leader="none" w:pos="144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tab/>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750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400—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4"/>
        </w:trPr>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674"/>
        </w:trPr>
        <w:tc>
          <w:tcPr>
            <w:tcW w:w="1340" w:type="dxa"/>
            <w:vAlign w:val="bottom"/>
          </w:tcPr>
          <w:p>
            <w:pPr>
              <w:jc w:val="right"/>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8,329</w:t>
            </w:r>
          </w:p>
        </w:tc>
      </w:tr>
    </w:tbl>
    <w:p>
      <w:pPr>
        <w:ind w:left="2520" w:hanging="1437"/>
        <w:spacing w:after="0"/>
        <w:tabs>
          <w:tab w:leader="none" w:pos="2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69</w:t>
      </w:r>
    </w:p>
    <w:p>
      <w:pPr>
        <w:spacing w:after="0" w:line="3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7,986</w:t>
      </w:r>
      <w:r>
        <w:rPr>
          <w:rFonts w:ascii="Arial" w:cs="Arial" w:eastAsia="Arial" w:hAnsi="Arial"/>
          <w:sz w:val="15"/>
          <w:szCs w:val="15"/>
          <w:color w:val="auto"/>
        </w:rPr>
        <w:t>8,398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14605</wp:posOffset>
            </wp:positionV>
            <wp:extent cx="848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17659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840" w:val="left"/>
          <w:tab w:leader="none" w:pos="144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8,616</w:t>
        <w:tab/>
        <w:t>$</w:t>
      </w:r>
      <w:r>
        <w:rPr>
          <w:sz w:val="20"/>
          <w:szCs w:val="20"/>
          <w:color w:val="auto"/>
        </w:rPr>
        <w:tab/>
      </w:r>
      <w:r>
        <w:rPr>
          <w:rFonts w:ascii="Arial" w:cs="Arial" w:eastAsia="Arial" w:hAnsi="Arial"/>
          <w:sz w:val="15"/>
          <w:szCs w:val="15"/>
          <w:color w:val="auto"/>
        </w:rPr>
        <w:t>9,220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176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7720" w:space="720"/>
            <w:col w:w="27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0" w:right="40" w:hanging="11"/>
        <w:spacing w:after="0" w:line="263" w:lineRule="auto"/>
        <w:rPr>
          <w:sz w:val="20"/>
          <w:szCs w:val="20"/>
          <w:color w:val="auto"/>
        </w:rPr>
      </w:pPr>
      <w:r>
        <w:rPr>
          <w:rFonts w:ascii="Arial" w:cs="Arial" w:eastAsia="Arial" w:hAnsi="Arial"/>
          <w:sz w:val="18"/>
          <w:szCs w:val="18"/>
          <w:color w:val="auto"/>
        </w:rPr>
        <w:t>We classified these commercial paper notes as short-term as of June 30, 2022, as these notes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redeemed on March 1, 2022.</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Our fixed-rate senior notes had a face value of approximately $8.4 billion and $9.1 billion as of June 30, 2022 and December 31, 2021, respectively. We estimated the aggregate fair value of these notes as of June 30, 2022 and December 31, 2021 to be approximately $7.7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notes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Total borrowings under our credit facilities and commercial paper program for the six months ended June 30, 2022 and 2021 were approximately $16.4 billion and $26.1 billion, respectively. Total repayments under our credit facilities and commercial paper program were approximately $16.3 billion and $26.4 billion for the six months ended June 30,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 2022, we redeemed our 3.65%, $750 million senior notes due June 2022.</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2022 and December 31, 2021, we had outstanding letters of credit of $34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activity for our preferred and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527685</wp:posOffset>
            </wp:positionV>
            <wp:extent cx="70980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Outstanding at December 31, 2021</w:t>
      </w:r>
    </w:p>
    <w:p>
      <w:pPr>
        <w:spacing w:after="0" w:line="23" w:lineRule="exact"/>
        <w:rPr>
          <w:sz w:val="20"/>
          <w:szCs w:val="20"/>
          <w:color w:val="auto"/>
        </w:rPr>
      </w:pPr>
    </w:p>
    <w:p>
      <w:pPr>
        <w:ind w:left="380" w:right="20" w:hanging="161"/>
        <w:spacing w:after="0" w:line="234" w:lineRule="auto"/>
        <w:rPr>
          <w:sz w:val="20"/>
          <w:szCs w:val="20"/>
          <w:color w:val="auto"/>
        </w:rPr>
      </w:pPr>
      <w:r>
        <w:rPr>
          <w:rFonts w:ascii="Arial" w:cs="Arial" w:eastAsia="Arial" w:hAnsi="Arial"/>
          <w:sz w:val="18"/>
          <w:szCs w:val="18"/>
          <w:color w:val="auto"/>
        </w:rPr>
        <w:t>Repurchase and cancellation of common units under the Common Equity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09803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ind w:left="60" w:right="1180" w:firstLine="162"/>
        <w:spacing w:after="0" w:line="289" w:lineRule="auto"/>
        <w:rPr>
          <w:sz w:val="20"/>
          <w:szCs w:val="20"/>
          <w:color w:val="auto"/>
        </w:rPr>
      </w:pPr>
      <w:r>
        <w:rPr>
          <w:rFonts w:ascii="Arial" w:cs="Arial" w:eastAsia="Arial" w:hAnsi="Arial"/>
          <w:sz w:val="18"/>
          <w:szCs w:val="18"/>
          <w:color w:val="auto"/>
        </w:rPr>
        <w:t>Issuances of common units under equity-indexed compensation plans Outstanding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09803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left="380" w:right="280" w:hanging="161"/>
        <w:spacing w:after="0" w:line="234" w:lineRule="auto"/>
        <w:rPr>
          <w:sz w:val="20"/>
          <w:szCs w:val="20"/>
          <w:color w:val="auto"/>
        </w:rPr>
      </w:pPr>
      <w:r>
        <w:rPr>
          <w:rFonts w:ascii="Arial" w:cs="Arial" w:eastAsia="Arial" w:hAnsi="Arial"/>
          <w:sz w:val="18"/>
          <w:szCs w:val="18"/>
          <w:color w:val="auto"/>
        </w:rPr>
        <w:t>Repurchase and cancellation of common units under Common Equity Repurchase Program</w:t>
      </w:r>
    </w:p>
    <w:p>
      <w:pPr>
        <w:spacing w:after="0" w:line="1" w:lineRule="exact"/>
        <w:rPr>
          <w:sz w:val="20"/>
          <w:szCs w:val="20"/>
          <w:color w:val="auto"/>
        </w:rPr>
      </w:pPr>
    </w:p>
    <w:p>
      <w:pPr>
        <w:ind w:left="60" w:right="1220" w:firstLine="121"/>
        <w:spacing w:after="0" w:line="339" w:lineRule="auto"/>
        <w:rPr>
          <w:sz w:val="20"/>
          <w:szCs w:val="20"/>
          <w:color w:val="auto"/>
        </w:rPr>
      </w:pPr>
      <w:r>
        <w:rPr>
          <w:rFonts w:ascii="Arial" w:cs="Arial" w:eastAsia="Arial" w:hAnsi="Arial"/>
          <w:sz w:val="18"/>
          <w:szCs w:val="18"/>
          <w:color w:val="auto"/>
        </w:rPr>
        <w:t>Issuances of common units under equity-indexed compensation plans Outstanding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-224790</wp:posOffset>
            </wp:positionV>
            <wp:extent cx="70980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511810</wp:posOffset>
            </wp:positionV>
            <wp:extent cx="709803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Outstanding at December 31, 2020</w:t>
      </w:r>
    </w:p>
    <w:p>
      <w:pPr>
        <w:spacing w:after="0" w:line="23" w:lineRule="exact"/>
        <w:rPr>
          <w:sz w:val="20"/>
          <w:szCs w:val="20"/>
          <w:color w:val="auto"/>
        </w:rPr>
      </w:pPr>
    </w:p>
    <w:p>
      <w:pPr>
        <w:ind w:left="400" w:hanging="161"/>
        <w:spacing w:after="0" w:line="234" w:lineRule="auto"/>
        <w:rPr>
          <w:sz w:val="20"/>
          <w:szCs w:val="20"/>
          <w:color w:val="auto"/>
        </w:rPr>
      </w:pPr>
      <w:r>
        <w:rPr>
          <w:rFonts w:ascii="Arial" w:cs="Arial" w:eastAsia="Arial" w:hAnsi="Arial"/>
          <w:sz w:val="18"/>
          <w:szCs w:val="18"/>
          <w:color w:val="auto"/>
        </w:rPr>
        <w:t>Repurchase and cancellation of common units under the Common Equity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709803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ind w:left="80" w:right="1200" w:firstLine="122"/>
        <w:spacing w:after="0" w:line="289" w:lineRule="auto"/>
        <w:rPr>
          <w:sz w:val="20"/>
          <w:szCs w:val="20"/>
          <w:color w:val="auto"/>
        </w:rPr>
      </w:pPr>
      <w:r>
        <w:rPr>
          <w:rFonts w:ascii="Arial" w:cs="Arial" w:eastAsia="Arial" w:hAnsi="Arial"/>
          <w:sz w:val="18"/>
          <w:szCs w:val="18"/>
          <w:color w:val="auto"/>
        </w:rPr>
        <w:t>Issuances of common units under equity-indexed compensation plans Outstanding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709803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left="400" w:right="260" w:hanging="161"/>
        <w:spacing w:after="0" w:line="234" w:lineRule="auto"/>
        <w:rPr>
          <w:sz w:val="20"/>
          <w:szCs w:val="20"/>
          <w:color w:val="auto"/>
        </w:rPr>
      </w:pPr>
      <w:r>
        <w:rPr>
          <w:rFonts w:ascii="Arial" w:cs="Arial" w:eastAsia="Arial" w:hAnsi="Arial"/>
          <w:sz w:val="18"/>
          <w:szCs w:val="18"/>
          <w:color w:val="auto"/>
        </w:rPr>
        <w:t>Repurchase and cancellation of common units under Common Equity Repurchase Program</w:t>
      </w:r>
    </w:p>
    <w:p>
      <w:pPr>
        <w:spacing w:after="0" w:line="1" w:lineRule="exact"/>
        <w:rPr>
          <w:sz w:val="20"/>
          <w:szCs w:val="20"/>
          <w:color w:val="auto"/>
        </w:rPr>
      </w:pPr>
    </w:p>
    <w:p>
      <w:pPr>
        <w:ind w:left="80" w:right="1200" w:firstLine="122"/>
        <w:spacing w:after="0" w:line="339" w:lineRule="auto"/>
        <w:rPr>
          <w:sz w:val="20"/>
          <w:szCs w:val="20"/>
          <w:color w:val="auto"/>
        </w:rPr>
      </w:pPr>
      <w:r>
        <w:rPr>
          <w:rFonts w:ascii="Arial" w:cs="Arial" w:eastAsia="Arial" w:hAnsi="Arial"/>
          <w:sz w:val="18"/>
          <w:szCs w:val="18"/>
          <w:color w:val="auto"/>
        </w:rPr>
        <w:t>Issuances of common units under equity-indexed compensation plans Outstanding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-224790</wp:posOffset>
            </wp:positionV>
            <wp:extent cx="70980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Limited Partners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Series A</w:t>
            </w:r>
          </w:p>
        </w:tc>
        <w:tc>
          <w:tcPr>
            <w:tcW w:w="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17"/>
              <w:spacing w:after="0"/>
              <w:rPr>
                <w:sz w:val="20"/>
                <w:szCs w:val="20"/>
                <w:color w:val="auto"/>
              </w:rPr>
            </w:pPr>
            <w:r>
              <w:rPr>
                <w:rFonts w:ascii="Arial" w:cs="Arial" w:eastAsia="Arial" w:hAnsi="Arial"/>
                <w:sz w:val="14"/>
                <w:szCs w:val="14"/>
                <w:b w:val="1"/>
                <w:bCs w:val="1"/>
                <w:color w:val="auto"/>
              </w:rPr>
              <w:t>Common Units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704,991,540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(2,375,299)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702,668,178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(4,876,062)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147,830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697,939,946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5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722,380,416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722,055,847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(4,940,592)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256,321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717,371,576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7" w:lineRule="exact"/>
        <w:rPr>
          <w:sz w:val="20"/>
          <w:szCs w:val="20"/>
          <w:color w:val="auto"/>
        </w:rPr>
      </w:pPr>
    </w:p>
    <w:p>
      <w:pPr>
        <w:sectPr>
          <w:pgSz w:w="11900" w:h="16838" w:orient="portrait"/>
          <w:cols w:equalWidth="0" w:num="2">
            <w:col w:w="6400" w:space="20"/>
            <w:col w:w="4820"/>
          </w:cols>
          <w:pgMar w:left="320" w:top="125" w:right="339" w:bottom="1440" w:gutter="0" w:footer="0" w:header="0"/>
          <w:type w:val="continuous"/>
        </w:sectPr>
      </w:pPr>
    </w:p>
    <w:p>
      <w:pPr>
        <w:spacing w:after="0" w:line="3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repurchased 7.3 million and 5.3 million common units under our Common Equity Repurchase Program (the “Program”) through open market purchases that settled during the six months ended June 30, 2022 and 2021, respectively, for a total purchase price of $74 million and $53 million, respectively, including commissions and fees. The repurchased common units were canceled immediately upon acquisition, as were the PAGP Class C shares held by us associated with the repurchased common units. At June 30, 2022, the remaining available capacity under the Program was $198 million. See Note 12 to our Consolidated Financial Statements included in Part IV of our 2021 Annual Report on Form 10-K for additional information regarding the Program.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2022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6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May 13, 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14,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175"/>
        </w:trPr>
        <w:tc>
          <w:tcPr>
            <w:tcW w:w="388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34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29, 2022 for the period from April 1, 2022 through June 30, 2022. At June 30, 2022, such amount was accrued as distributions payable in “Other current liabilities” on our Condensed Consolidated Balance Sheet.</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paid to our Series B preferred unitholders (in millions, except per unit data):</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16, 2022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32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June 30, 2022, approximately $6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2022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Cash Distribution per</w:t>
            </w:r>
          </w:p>
        </w:tc>
      </w:tr>
      <w:tr>
        <w:trPr>
          <w:trHeight w:val="201"/>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20" w:type="dxa"/>
            <w:vAlign w:val="bottom"/>
          </w:tcPr>
          <w:p>
            <w:pPr>
              <w:spacing w:after="0"/>
              <w:rPr>
                <w:sz w:val="17"/>
                <w:szCs w:val="17"/>
                <w:color w:val="auto"/>
              </w:rPr>
            </w:pPr>
          </w:p>
        </w:tc>
        <w:tc>
          <w:tcPr>
            <w:tcW w:w="1460" w:type="dxa"/>
            <w:vAlign w:val="bottom"/>
          </w:tcPr>
          <w:p>
            <w:pPr>
              <w:jc w:val="right"/>
              <w:ind w:right="277"/>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29"/>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May 13, 2022</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40" w:type="dxa"/>
            <w:vAlign w:val="bottom"/>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680" w:type="dxa"/>
            <w:vAlign w:val="bottom"/>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14, 2022</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0.1800</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2022 for the period from April 1, 2022 through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June 30, 2022, noncontrolling interests in our subsidiaries consisted of (i) a 35% interest in Plains Oyrx Permian Basin LLC (the “Permian JV”) and (ii) a 33% interest in Red River Pipeline Company LLC (“Red River LLC”).</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six months ended June 30, 2022, we paid distributions of $112 million and $9 million to noncontrolling interests in the Permian JV and Red River LLC,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80" w:firstLine="607"/>
        <w:spacing w:after="0" w:line="311" w:lineRule="auto"/>
        <w:rPr>
          <w:sz w:val="20"/>
          <w:szCs w:val="20"/>
          <w:color w:val="auto"/>
        </w:rPr>
      </w:pPr>
      <w:r>
        <w:rPr>
          <w:rFonts w:ascii="Arial" w:cs="Arial" w:eastAsia="Arial" w:hAnsi="Arial"/>
          <w:sz w:val="16"/>
          <w:szCs w:val="16"/>
          <w:color w:val="auto"/>
        </w:rPr>
        <w:t>At June 30,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2022, net derivative positions related to these activities included:</w:t>
      </w:r>
    </w:p>
    <w:p>
      <w:pPr>
        <w:spacing w:after="0" w:line="146" w:lineRule="exact"/>
        <w:rPr>
          <w:sz w:val="20"/>
          <w:szCs w:val="20"/>
          <w:color w:val="auto"/>
        </w:rPr>
      </w:pPr>
    </w:p>
    <w:p>
      <w:pPr>
        <w:ind w:left="980" w:right="40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long position of 9.3 million barrels associated with our crude oil purchases, which was unwound ratably during July 2022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September 2023.</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crude oil basis spread position of 2.1 million barrels at multiple locations through December 2024.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net short position of 12.7 million barrels through December 2023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81.5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(16.0)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(3.3)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Condensate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(1.1)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10.9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0.6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58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173</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2022 (notional amounts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40" w:type="dxa"/>
            <w:vAlign w:val="bottom"/>
            <w:gridSpan w:val="2"/>
            <w:vMerge w:val="continue"/>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Derivatives Employed</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6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June 30, 2022, there was a net loss of $134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June 30, 2022;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9"/>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32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June 30, 2022, the net fair value of our interest rate hedges, which were included in “Other current assets” and “Other long-term assets, net” on our Condensed Consolidated Balance Sheet, totaled $57 million and $79 million, respectively. At December 31, 2021, the net fair value of these hedges totaled $65 million and was included in “Other long-term assets, net.”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June 30, 2022 and 2021, we recognized a loss of $103 million and a gain of $77 million, respectively. For the six months ended June 30, 2022 and 2021, we recognized a net loss of $147 million and a net gain of $9 million, respectively. The fair value of the Preferred Distribution Rate Reset Option, which was included in “Other long-term liabilities and deferred credits” on our Condensed Consolidated Balance Sheets, totaled $147 million and less than $1 million at June 30, 2022 and December 31, 2021, respectively. See Note 12 to our Consolidated Financial Statements included in Part IV of our 2021 Annual Report on Form 10-K for additional information regarding our Series A preferred units and the Preferred Distribution Rate Reset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2022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color w:val="auto"/>
                <w:w w:val="93"/>
              </w:rPr>
              <w:t>(76)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color w:val="auto"/>
                <w:w w:val="90"/>
              </w:rPr>
              <w:t>(103)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660" w:type="dxa"/>
            <w:vAlign w:val="bottom"/>
          </w:tcPr>
          <w:p>
            <w:pPr>
              <w:jc w:val="center"/>
              <w:ind w:left="23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center"/>
              <w:ind w:left="114"/>
              <w:spacing w:after="0"/>
              <w:rPr>
                <w:sz w:val="20"/>
                <w:szCs w:val="20"/>
                <w:color w:val="auto"/>
              </w:rPr>
            </w:pPr>
            <w:r>
              <w:rPr>
                <w:rFonts w:ascii="Arial" w:cs="Arial" w:eastAsia="Arial" w:hAnsi="Arial"/>
                <w:sz w:val="18"/>
                <w:szCs w:val="18"/>
                <w:color w:val="auto"/>
                <w:w w:val="86"/>
              </w:rPr>
              <w:t>136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Preferred Distribution Rate Reset Option and Other</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0"/>
              </w:rPr>
              <w:t>(147)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gridSpan w:val="3"/>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0"/>
              </w:rPr>
              <w:t>(114)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0"/>
        </w:trPr>
        <w:tc>
          <w:tcPr>
            <w:tcW w:w="3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10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8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5" w:lineRule="exact"/>
        <w:rPr>
          <w:sz w:val="20"/>
          <w:szCs w:val="20"/>
          <w:color w:val="auto"/>
        </w:rPr>
      </w:pPr>
    </w:p>
    <w:p>
      <w:pPr>
        <w:jc w:val="both"/>
        <w:ind w:left="660" w:right="360"/>
        <w:spacing w:after="0" w:line="301"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line="176" w:lineRule="exact"/>
              <w:rPr>
                <w:sz w:val="20"/>
                <w:szCs w:val="20"/>
                <w:color w:val="auto"/>
              </w:rPr>
            </w:pPr>
            <w:r>
              <w:rPr>
                <w:rFonts w:ascii="Arial" w:cs="Arial" w:eastAsia="Arial" w:hAnsi="Arial"/>
                <w:sz w:val="18"/>
                <w:szCs w:val="18"/>
                <w:color w:val="auto"/>
                <w:w w:val="96"/>
              </w:rPr>
              <w:t>Change in unrealized gains/(losses) included in earnings relating to Level 3</w:t>
            </w:r>
          </w:p>
        </w:tc>
        <w:tc>
          <w:tcPr>
            <w:tcW w:w="820" w:type="dxa"/>
            <w:vAlign w:val="bottom"/>
            <w:vMerge w:val="restart"/>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three and six months ended June 30,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5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76"/>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208"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At June 30, 2022, our estimated undiscounted reserve for environmental liabilities (excluding liabilities related to the Line 901 incident, as discussed further below) totaled $58 million, of which $10 million was classified as short-term and $48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June 30, 2022 and December 31, 2021, we had recorded receivables (excluding receivables related to the Line 901 incident) totaling $11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9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is subject to final approval of the trial court.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20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after various other unitholder derivative lawsuits were either dismissed or consolidated, one proceeding remains pending in Delaware Chancery Court. Generally, the plaintiffs in the remaining derivative lawsuit claim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and intend to follow up with a notice by mail to all current PAA unitholders. The key terms of the Derivative Settlement include a payment of Plaintiff’s attorneys’ fees by our insurers in the amount of approximately $2.0 million and the agreement of Plains to comply with various covenants regarding the implementation or continuation of certain Board oversight practices with respect to pipeline integrity.</w:t>
      </w:r>
    </w:p>
    <w:p>
      <w:pPr>
        <w:spacing w:after="0" w:line="20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June 30, 2022, we estimate that the aggregate total costs we have incurred or will incur with respect to the Line 901 incident will be approximately $725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of June 30, 2022, we had a remaining undiscounted gross liability of approximately $330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June 30, 2022, we had collected, subject to customary reservations, approximately $260 million out of the $500 million of release costs that we believe are probable of recovery from insurance carriers, net of deductibles. Therefore, as of June 30,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in the lawsuit.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earlier periods presented herein have been recast to reflect this modification. See Note 20 to our Consolidated Financial Statements included in Part IV of our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2021 Annual Report on Form 10-K for additional information regarding the modifications to our segment reporting and for a full discussion of our basis for segmentation and performance measures.</w:t>
      </w:r>
    </w:p>
    <w:p>
      <w:pPr>
        <w:spacing w:after="0" w:line="21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17,706</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1,027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4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5"/>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(163)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(242)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7"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62" w:lineRule="exact"/>
        <w:rPr>
          <w:sz w:val="20"/>
          <w:szCs w:val="20"/>
          <w:color w:val="auto"/>
        </w:rPr>
      </w:pPr>
    </w:p>
    <w:p>
      <w:pPr>
        <w:ind w:left="20" w:right="500" w:hanging="11"/>
        <w:spacing w:after="0" w:line="308" w:lineRule="auto"/>
        <w:rPr>
          <w:sz w:val="20"/>
          <w:szCs w:val="20"/>
          <w:color w:val="auto"/>
        </w:rPr>
      </w:pPr>
      <w:r>
        <w:rPr>
          <w:rFonts w:ascii="Arial" w:cs="Arial" w:eastAsia="Arial" w:hAnsi="Arial"/>
          <w:sz w:val="17"/>
          <w:szCs w:val="17"/>
          <w:color w:val="auto"/>
        </w:rPr>
        <w:t>Includes expenses associated with the Permian JV transaction announced in July 2021. See Note 7 to our Consolidated Financial Statements included in Part IV of our 2021 Annual Report on Form 10-K for further discussion of the joint venture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200" w:space="44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Our assets and the services we provide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Changes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first six months of 2022, we recognized net income attributable to PAA of $390 million compared to net income attributable to PAA of $202 million recognized during the first six months of 2021. Results from our operations increased for the first six months of 2022 over the comparable 2021 period driven primarily by more favorable margins in our NGL segment and increased earnings from higher volumes on our crude oil pipelines. However, these items were partially offset by the impact from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191"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Results for the first six months of 2022 included a net gain on asset sales of $46 million, compared to a net loss on asset sales and asset impairments of $370 million included in results for the first six months of 2021. The 2022 period was also impacted by a loss on the mark-to-market adjustment of the Preferred Distribution Rate Reset Option and higher income tax expense.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common unit</w:t>
            </w: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Basic and diluted weighted average common</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outstanding</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 and Purchases</w:t>
      </w:r>
    </w:p>
    <w:p>
      <w:pPr>
        <w:spacing w:after="0" w:line="25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7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5"/>
                <w:szCs w:val="15"/>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Average</w:t>
            </w: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w:t>
            </w: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June 30, 2021</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32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Product sales revenues and purchases increased for the three and six months ended June 30, 2022, compared to the same periods in 2021 primarily due to higher prices and volumes in the 2022 periods.</w:t>
      </w:r>
    </w:p>
    <w:p>
      <w:pPr>
        <w:spacing w:after="0" w:line="19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Revenues from services increased for the three and six months ended June 30, 2022, compared to the same periods in 2021 primarily due to higher prices and volumes in the 2022 periods, partially offset by the impact of the sale of our natural gas storage facilities in the third quarter of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increase in general and administrative expenses for the three and six months ended June 30, 2022 compared to the same periods in 2021 was primarily due to (i) employee-related costs, including an increase in equity-indexed compensation expense on equity-classified awards (which is excluded in the calculation of Adjusted EBITDA and Segment Adjusted EBITDA) due to changes in plan assumptions, (ii) higher office rent due to an operating cost abatement in the prior year and (iii) reduced wage subsidies received by our Canadian subsidiary in the current periods. For the six months ended June 30, 2022, the increase was also attributed to costs associated with the formation of the Permian JV, a portion of which are transition related.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net loss on asset sales and asset impairments for 2021 primarily consisted of (i) an approximate $475 million non-cash impairment charge related to the write-down of our Pine Prairie and Southern Pines natural gas storage facilities upon classification as held for sale during the second quarter (these assets were sold in August 2021) and (ii) a gain of $106 million recognized in the second quarter related to the asset exchange agreement (the “Asset Exchange”) involving the sale of one of our crude oil pipelines in Canada in exchange for additional interests in certain Empress natural gas processing plants.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The increase in depreciation and amortization expense for the three and six months ended June 30, 2022 compared to the same periods in 2021 was driven by depreciation expense on the assets contributed by Oryx Midstream Holdings LLC (“Oryx Midstream”) upon formation of the Permian JV.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7"/>
        </w:trPr>
        <w:tc>
          <w:tcPr>
            <w:tcW w:w="59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Gain/(loss) related to mark-to-market adjustment of Preferred Distribution Rate</w:t>
            </w: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(103)</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Reset Option </w:t>
            </w:r>
            <w:r>
              <w:rPr>
                <w:rFonts w:ascii="Arial" w:cs="Arial" w:eastAsia="Arial" w:hAnsi="Arial"/>
                <w:sz w:val="23"/>
                <w:szCs w:val="23"/>
                <w:color w:val="auto"/>
                <w:vertAlign w:val="superscript"/>
              </w:rPr>
              <w:t>(1)</w:t>
            </w:r>
          </w:p>
        </w:tc>
        <w:tc>
          <w:tcPr>
            <w:tcW w:w="8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net unfavorable income tax variance for the three and six months ended June 30, 2022 compared to the same periods in 2021 was primarily a result of increased income in our Canadian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increase in amounts attributable to noncontrolling interests for the three and six months ended June 30, 2022 compared to the same periods in 2021 was primarily due to the formation of the Permian JV in October 2021. See Note 7 to our Consolidated Financial Statements included in Part IV of our 2021 Annual Report on Form 10-K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 Liquidity and Capital Resources—Liquidity Measures” for additional information regarding Free Cash Flow and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Adjusted EBITDA attributable to PAA and Implied DCF from Net Income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5"/>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54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w w:val="97"/>
              </w:rPr>
              <w:t>(Gains)/losses from derivative activities and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320"/>
              <w:spacing w:after="0"/>
              <w:rPr>
                <w:sz w:val="20"/>
                <w:szCs w:val="20"/>
                <w:color w:val="auto"/>
              </w:rPr>
            </w:pPr>
            <w:r>
              <w:rPr>
                <w:rFonts w:ascii="Arial" w:cs="Arial" w:eastAsia="Arial" w:hAnsi="Arial"/>
                <w:sz w:val="18"/>
                <w:szCs w:val="18"/>
                <w:color w:val="auto"/>
              </w:rPr>
              <w:t>inventory valuation adjustments</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32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320"/>
              <w:spacing w:after="0"/>
              <w:rPr>
                <w:sz w:val="20"/>
                <w:szCs w:val="20"/>
                <w:color w:val="auto"/>
              </w:rPr>
            </w:pPr>
            <w:r>
              <w:rPr>
                <w:rFonts w:ascii="Arial" w:cs="Arial" w:eastAsia="Arial" w:hAnsi="Arial"/>
                <w:sz w:val="18"/>
                <w:szCs w:val="18"/>
                <w:color w:val="auto"/>
              </w:rPr>
              <w:t>revaluation</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Line 901 incident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12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40" w:type="dxa"/>
            <w:vAlign w:val="bottom"/>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56"/>
        </w:trPr>
        <w:tc>
          <w:tcPr>
            <w:tcW w:w="3540" w:type="dxa"/>
            <w:vAlign w:val="bottom"/>
          </w:tcPr>
          <w:p>
            <w:pPr>
              <w:ind w:left="120"/>
              <w:spacing w:after="0" w:line="156" w:lineRule="exact"/>
              <w:rPr>
                <w:sz w:val="20"/>
                <w:szCs w:val="20"/>
                <w:color w:val="auto"/>
              </w:rPr>
            </w:pPr>
            <w:r>
              <w:rPr>
                <w:rFonts w:ascii="Arial" w:cs="Arial" w:eastAsia="Arial" w:hAnsi="Arial"/>
                <w:sz w:val="18"/>
                <w:szCs w:val="18"/>
                <w:color w:val="auto"/>
              </w:rPr>
              <w:t>Adjusted EBITDA attributable to</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35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6"/>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rPr>
              <w:t>Interest expense, net of certain non-cash</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54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items </w:t>
            </w:r>
            <w:r>
              <w:rPr>
                <w:rFonts w:ascii="Arial" w:cs="Arial" w:eastAsia="Arial" w:hAnsi="Arial"/>
                <w:sz w:val="23"/>
                <w:szCs w:val="23"/>
                <w:color w:val="auto"/>
                <w:vertAlign w:val="superscript"/>
              </w:rPr>
              <w:t>(7)</w:t>
            </w: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w w:val="95"/>
              </w:rPr>
              <w:t>Investment capital of noncontrolling interests</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62"/>
        </w:trPr>
        <w:tc>
          <w:tcPr>
            <w:tcW w:w="3540" w:type="dxa"/>
            <w:vAlign w:val="bottom"/>
          </w:tcPr>
          <w:p>
            <w:pPr>
              <w:ind w:left="32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income tax expense</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w w:val="97"/>
              </w:rPr>
              <w:t>Distributions from unconsolidated entities in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320"/>
              <w:spacing w:after="0" w:line="176" w:lineRule="exact"/>
              <w:rPr>
                <w:sz w:val="20"/>
                <w:szCs w:val="20"/>
                <w:color w:val="auto"/>
              </w:rPr>
            </w:pPr>
            <w:r>
              <w:rPr>
                <w:rFonts w:ascii="Arial" w:cs="Arial" w:eastAsia="Arial" w:hAnsi="Arial"/>
                <w:sz w:val="18"/>
                <w:szCs w:val="18"/>
                <w:color w:val="auto"/>
              </w:rPr>
              <w:t>excess of/(less than) adjusted equity</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(10)</w:t>
            </w: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w w:val="99"/>
              </w:rPr>
              <w:t xml:space="preserve">Distributions to noncontrolling interests </w:t>
            </w:r>
            <w:r>
              <w:rPr>
                <w:rFonts w:ascii="Arial" w:cs="Arial" w:eastAsia="Arial" w:hAnsi="Arial"/>
                <w:sz w:val="23"/>
                <w:szCs w:val="23"/>
                <w:color w:val="auto"/>
                <w:w w:val="99"/>
                <w:vertAlign w:val="superscript"/>
              </w:rPr>
              <w:t>(11)</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(11)</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3540" w:type="dxa"/>
            <w:vAlign w:val="bottom"/>
          </w:tcPr>
          <w:p>
            <w:pPr>
              <w:ind w:left="20"/>
              <w:spacing w:after="0" w:line="156" w:lineRule="exact"/>
              <w:rPr>
                <w:sz w:val="20"/>
                <w:szCs w:val="20"/>
                <w:color w:val="auto"/>
              </w:rPr>
            </w:pPr>
            <w:r>
              <w:rPr>
                <w:rFonts w:ascii="Arial" w:cs="Arial" w:eastAsia="Arial" w:hAnsi="Arial"/>
                <w:sz w:val="18"/>
                <w:szCs w:val="18"/>
                <w:color w:val="auto"/>
              </w:rPr>
              <w:t>Implied DCF Available to Common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373</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Unitholders</w:t>
            </w:r>
          </w:p>
        </w:tc>
        <w:tc>
          <w:tcPr>
            <w:tcW w:w="16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(11)</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62" w:lineRule="exact"/>
        <w:rPr>
          <w:sz w:val="20"/>
          <w:szCs w:val="20"/>
          <w:color w:val="auto"/>
        </w:rPr>
      </w:pPr>
    </w:p>
    <w:p>
      <w:pPr>
        <w:ind w:right="40" w:hanging="11"/>
        <w:spacing w:after="0" w:line="259" w:lineRule="auto"/>
        <w:rPr>
          <w:sz w:val="20"/>
          <w:szCs w:val="20"/>
          <w:color w:val="auto"/>
        </w:rPr>
      </w:pPr>
      <w:r>
        <w:rPr>
          <w:rFonts w:ascii="Arial" w:cs="Arial" w:eastAsia="Arial" w:hAnsi="Arial"/>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righ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ind w:right="48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51"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40" w:hanging="632"/>
        <w:spacing w:after="0"/>
        <w:tabs>
          <w:tab w:leader="none" w:pos="64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Investment capital expenditures attributable to noncontrolling interests that reduce Implied DCF available to PAA common unitholders.</w:t>
      </w:r>
    </w:p>
    <w:p>
      <w:pPr>
        <w:spacing w:after="0" w:line="93" w:lineRule="exact"/>
        <w:rPr>
          <w:rFonts w:ascii="Arial" w:cs="Arial" w:eastAsia="Arial" w:hAnsi="Arial"/>
          <w:sz w:val="21"/>
          <w:szCs w:val="21"/>
          <w:color w:val="auto"/>
          <w:vertAlign w:val="superscript"/>
        </w:rPr>
      </w:pPr>
    </w:p>
    <w:p>
      <w:pPr>
        <w:ind w:left="660" w:right="860" w:hanging="652"/>
        <w:spacing w:after="0" w:line="234" w:lineRule="auto"/>
        <w:tabs>
          <w:tab w:leader="none" w:pos="652"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320" w:hanging="652"/>
        <w:spacing w:after="0" w:line="227" w:lineRule="auto"/>
        <w:tabs>
          <w:tab w:leader="none" w:pos="652"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debt repayment, future distributions, common unit repurchases, capital expenditures and other partnership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PAA. See Note 20 to our Consolidated Financial Statements included in Part IV of our 2021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460" w:type="dxa"/>
            <w:vAlign w:val="bottom"/>
            <w:gridSpan w:val="2"/>
          </w:tcPr>
          <w:p>
            <w:pPr>
              <w:ind w:left="30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(Gains)/losses from derivative activities and</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Adjusted EBITDA attributable to</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3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Volumes</w:t>
            </w: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Tariff activities volumes </w:t>
            </w:r>
            <w:r>
              <w:rPr>
                <w:rFonts w:ascii="Arial" w:cs="Arial" w:eastAsia="Arial" w:hAnsi="Arial"/>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Crude oil pipelines tariff volumes (by</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300"/>
              <w:spacing w:after="0"/>
              <w:rPr>
                <w:sz w:val="20"/>
                <w:szCs w:val="20"/>
                <w:color w:val="auto"/>
              </w:rPr>
            </w:pPr>
            <w:r>
              <w:rPr>
                <w:rFonts w:ascii="Arial" w:cs="Arial" w:eastAsia="Arial" w:hAnsi="Arial"/>
                <w:sz w:val="18"/>
                <w:szCs w:val="18"/>
                <w:color w:val="auto"/>
              </w:rPr>
              <w:t>region):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56"/>
        </w:trPr>
        <w:tc>
          <w:tcPr>
            <w:tcW w:w="344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Crude oil pipelines tariff activities total</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7,417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300"/>
              <w:spacing w:after="0"/>
              <w:rPr>
                <w:sz w:val="20"/>
                <w:szCs w:val="20"/>
                <w:color w:val="auto"/>
              </w:rPr>
            </w:pPr>
            <w:r>
              <w:rPr>
                <w:rFonts w:ascii="Arial" w:cs="Arial" w:eastAsia="Arial" w:hAnsi="Arial"/>
                <w:sz w:val="18"/>
                <w:szCs w:val="18"/>
                <w:color w:val="auto"/>
              </w:rPr>
              <w:t>volumes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6"/>
              </w:rPr>
              <w:t xml:space="preserve">Commercial crude oil storage capacity </w:t>
            </w:r>
            <w:r>
              <w:rPr>
                <w:rFonts w:ascii="Arial" w:cs="Arial" w:eastAsia="Arial" w:hAnsi="Arial"/>
                <w:sz w:val="23"/>
                <w:szCs w:val="23"/>
                <w:color w:val="auto"/>
                <w:w w:val="96"/>
                <w:vertAlign w:val="superscript"/>
              </w:rPr>
              <w:t>(5) (6)</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81"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220" w:hanging="652"/>
        <w:spacing w:after="0" w:line="249" w:lineRule="auto"/>
        <w:tabs>
          <w:tab w:leader="none" w:pos="64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ectPr>
          <w:pgSz w:w="11900" w:h="16838" w:orient="portrait"/>
          <w:cols w:equalWidth="0" w:num="1">
            <w:col w:w="11240"/>
          </w:cols>
          <w:pgMar w:left="320" w:top="125"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period divided by the number of months in the period.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Crude Oil Segment Adjusted EBITDA decreased for the three and six months ended June 30, 2022 compared to the same periods in 2021 primarily due to (i) the sale of our natural gas storage facilities in August of 2021 (which were reported in our Crude Oil Segment) and (ii) the monetization of contango hedges that benefited the 2021 periods. The six-month comparative period was further impacted by gains related to hedged power costs resulting from Winter Storm Uri recognized in the first quarter of 2021. These items were partially offset by increased earnings in the first half of 2022 from higher volumes on our pipelines and higher loss allowance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three and six months ended June 30, 2022 compared to the same periods in 2021.</w:t>
      </w:r>
    </w:p>
    <w:p>
      <w:pPr>
        <w:spacing w:after="0" w:line="170" w:lineRule="exact"/>
        <w:rPr>
          <w:sz w:val="20"/>
          <w:szCs w:val="20"/>
          <w:color w:val="auto"/>
        </w:rPr>
      </w:pPr>
    </w:p>
    <w:p>
      <w:pPr>
        <w:ind w:left="980" w:right="160" w:hanging="324"/>
        <w:spacing w:after="0" w:line="259"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Assets. </w:t>
      </w:r>
      <w:r>
        <w:rPr>
          <w:rFonts w:ascii="Arial" w:cs="Arial" w:eastAsia="Arial" w:hAnsi="Arial"/>
          <w:sz w:val="18"/>
          <w:szCs w:val="18"/>
          <w:color w:val="auto"/>
        </w:rPr>
        <w:t>We sold our natural gas storage facilities in August 2021, which was a significant driver of the decrease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results for 2022 compared to 2021. Net revenues from our natural gas storage facilities were approximately $26 million for the three months ended June 30, 2021 and $68 million for the six months ended June 30, 2021, which included the benefit of favorable margins from hub activities related to Winter Storm Uri, as mentioned below.</w:t>
      </w:r>
    </w:p>
    <w:p>
      <w:pPr>
        <w:spacing w:after="0" w:line="213" w:lineRule="exact"/>
        <w:rPr>
          <w:rFonts w:ascii="Arial" w:cs="Arial" w:eastAsia="Arial" w:hAnsi="Arial"/>
          <w:sz w:val="18"/>
          <w:szCs w:val="18"/>
          <w:i w:val="1"/>
          <w:iCs w:val="1"/>
          <w:color w:val="auto"/>
        </w:rPr>
      </w:pPr>
    </w:p>
    <w:p>
      <w:pPr>
        <w:ind w:left="980" w:right="80" w:hanging="324"/>
        <w:spacing w:after="0" w:line="263"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Market Opportunities. </w:t>
      </w:r>
      <w:r>
        <w:rPr>
          <w:rFonts w:ascii="Arial" w:cs="Arial" w:eastAsia="Arial" w:hAnsi="Arial"/>
          <w:sz w:val="18"/>
          <w:szCs w:val="18"/>
          <w:color w:val="auto"/>
        </w:rPr>
        <w:t>During the first half of 2021, we benefited from the monetization of contango hedges and favorable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differentials, which was a significant driver of the unfavorable variance in our results year-over-year. This unfavorable variance was partially offset by the sale of excess linefill in a higher crude oil price environment during 2022.</w:t>
      </w:r>
    </w:p>
    <w:p>
      <w:pPr>
        <w:spacing w:after="0" w:line="210"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Tariff Activities. </w:t>
      </w:r>
      <w:r>
        <w:rPr>
          <w:rFonts w:ascii="Arial" w:cs="Arial" w:eastAsia="Arial" w:hAnsi="Arial"/>
          <w:sz w:val="18"/>
          <w:szCs w:val="18"/>
          <w:color w:val="auto"/>
        </w:rPr>
        <w:t>In October of 2021, we closed on the transaction with Oryx Midstream to merge our respective Permian Basin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exception of our long-haul pipeline systems and certain of our intra-basin assets, into the Permian JV. The additional volumes from the pipelines contributed by Oryx Midstream upon formation of the Permian JV were the most significant driver of our volume growth year-over-year. We deduct the portion of the financial results attributable to Oryx Midstream’s 35% interest in the Permian JV in determining Segment Adjusted EBITDA, which partially offset the favorable impact of the volume growth when comparing Segment Adjusted EBITDA for the first half of 2022 compared to 2021.</w:t>
      </w:r>
    </w:p>
    <w:p>
      <w:pPr>
        <w:spacing w:after="0" w:line="219" w:lineRule="exact"/>
        <w:rPr>
          <w:rFonts w:ascii="Arial" w:cs="Arial" w:eastAsia="Arial" w:hAnsi="Arial"/>
          <w:sz w:val="18"/>
          <w:szCs w:val="18"/>
          <w:i w:val="1"/>
          <w:iCs w:val="1"/>
          <w:color w:val="auto"/>
        </w:rPr>
      </w:pPr>
    </w:p>
    <w:p>
      <w:pPr>
        <w:ind w:left="980" w:right="40" w:hanging="324"/>
        <w:spacing w:after="0" w:line="263"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Projects. </w:t>
      </w:r>
      <w:r>
        <w:rPr>
          <w:rFonts w:ascii="Arial" w:cs="Arial" w:eastAsia="Arial" w:hAnsi="Arial"/>
          <w:sz w:val="18"/>
          <w:szCs w:val="18"/>
          <w:color w:val="auto"/>
        </w:rPr>
        <w:t>The Capline pipeline reversal project and phase two of the Wink to Webster pipeline project have been completed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service in the first quarter of 2022, which favorably impacted equity earnings in unconsolidated entities and our tariff volumes for the first half of 2022.</w:t>
      </w:r>
    </w:p>
    <w:p>
      <w:pPr>
        <w:spacing w:after="0" w:line="210" w:lineRule="exact"/>
        <w:rPr>
          <w:rFonts w:ascii="Arial" w:cs="Arial" w:eastAsia="Arial" w:hAnsi="Arial"/>
          <w:sz w:val="18"/>
          <w:szCs w:val="18"/>
          <w:i w:val="1"/>
          <w:iCs w:val="1"/>
          <w:color w:val="auto"/>
        </w:rPr>
      </w:pPr>
    </w:p>
    <w:p>
      <w:pPr>
        <w:ind w:left="980" w:right="6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variance in equity earnings in unconsolidated entities for the three and six months ended June 30, 2022 compared to the same periods in 2021 was also driven by the unfavorable impact to the prior periods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14" w:lineRule="exact"/>
        <w:rPr>
          <w:rFonts w:ascii="Arial" w:cs="Arial" w:eastAsia="Arial" w:hAnsi="Arial"/>
          <w:sz w:val="18"/>
          <w:szCs w:val="18"/>
          <w:i w:val="1"/>
          <w:iCs w:val="1"/>
          <w:color w:val="auto"/>
        </w:rPr>
      </w:pPr>
    </w:p>
    <w:p>
      <w:pPr>
        <w:ind w:left="980" w:right="100" w:hanging="324"/>
        <w:spacing w:after="0" w:line="277"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Loss Allowance Revenue. </w:t>
      </w:r>
      <w:r>
        <w:rPr>
          <w:rFonts w:ascii="Arial" w:cs="Arial" w:eastAsia="Arial" w:hAnsi="Arial"/>
          <w:sz w:val="18"/>
          <w:szCs w:val="18"/>
          <w:color w:val="auto"/>
        </w:rPr>
        <w:t>Pipeline loss allowance revenues increased for the three and six months ended June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2021 primarily due to higher prices and volumes during the 2022 periods.</w:t>
      </w:r>
    </w:p>
    <w:p>
      <w:pPr>
        <w:spacing w:after="0" w:line="197" w:lineRule="exact"/>
        <w:rPr>
          <w:rFonts w:ascii="Arial" w:cs="Arial" w:eastAsia="Arial" w:hAnsi="Arial"/>
          <w:sz w:val="18"/>
          <w:szCs w:val="18"/>
          <w:i w:val="1"/>
          <w:iCs w:val="1"/>
          <w:color w:val="auto"/>
        </w:rPr>
      </w:pPr>
    </w:p>
    <w:p>
      <w:pPr>
        <w:ind w:left="980" w:hanging="324"/>
        <w:spacing w:after="0" w:line="286" w:lineRule="auto"/>
        <w:tabs>
          <w:tab w:leader="none" w:pos="975"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192" w:lineRule="exact"/>
        <w:rPr>
          <w:rFonts w:ascii="Arial" w:cs="Arial" w:eastAsia="Arial" w:hAnsi="Arial"/>
          <w:sz w:val="17"/>
          <w:szCs w:val="17"/>
          <w:i w:val="1"/>
          <w:iCs w:val="1"/>
          <w:color w:val="auto"/>
        </w:rPr>
      </w:pPr>
    </w:p>
    <w:p>
      <w:pPr>
        <w:ind w:left="980" w:right="100" w:hanging="324"/>
        <w:spacing w:after="0" w:line="289" w:lineRule="auto"/>
        <w:tabs>
          <w:tab w:leader="none" w:pos="975"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For the six months ended June 30, 2022 and 2021, Segment Adjusted EBITDA includes approximately $98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$82 million, respectively, associated with deficiencies under minimum volume commitments under contracts that have make-up rights. Although the payments have been received associated with the volume deficiencies, the revenues are not recognized until future periods when either the shortfall is made up or when the shipper’s make-up rights expire or it is determined that their ability to utilize the make-up right is remote. During the six months ended June 30, 2022 and 2021, we recognized approximately $83 million and $108 million, respectively, associated with deficiencies under minimum volume commitments that were previously deferred. The amount presented as an “Adjustment” in the table above reflects the net adjustment for revenues deferred during the period and the reversal of previously deferred revenues that were recognized during the period. The net impact to Segment Adjusted EBITDA associated with deficiencies under minimum volume commitments was not significant for the three month comparative periods.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91"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for the three and six months ended June 30, 2022 compared to the same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in 2021 was primarily due to (i) incremental operating costs from the Permian JV, which were partially offset by the divestiture of our natural gas storage facilities, (ii) increased utilities as a result of higher volumes, (iii) increased trucking costs resulting from higher third-party trucked volumes and diesel fuel prices and (iv) a change in our estimate of remediation costs. For the six months ended June 30, 2022, the increase compared to 2021 was also attributable to additional estimated costs associated with the Line 901 incident (which impact field operating costs but are excluded from Segment Adjusted EBITDA and thus are reflected as an “Adjustment” in the table above) and the impact of gains related to hedged power costs resulting from Winter Storm Uri recognized in the first quarter of 2021.</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w:t>
      </w:r>
      <w:r>
        <w:rPr>
          <w:rFonts w:ascii="Arial" w:cs="Arial" w:eastAsia="Arial" w:hAnsi="Arial"/>
          <w:sz w:val="18"/>
          <w:szCs w:val="18"/>
          <w:i w:val="1"/>
          <w:iCs w:val="1"/>
          <w:color w:val="auto"/>
        </w:rPr>
        <w:t xml:space="preserve"> “—Consolidated Results” </w:t>
      </w:r>
      <w:r>
        <w:rPr>
          <w:rFonts w:ascii="Arial" w:cs="Arial" w:eastAsia="Arial" w:hAnsi="Arial"/>
          <w:sz w:val="18"/>
          <w:szCs w:val="18"/>
          <w:color w:val="auto"/>
        </w:rPr>
        <w:t>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decrease in maintenance capital spending for the six months ended June 30, 2022 compared to the same period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completion of certain projects.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17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w w:val="95"/>
              </w:rPr>
              <w:t>(229)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3560" w:type="dxa"/>
            <w:vAlign w:val="bottom"/>
            <w:gridSpan w:val="4"/>
          </w:tcPr>
          <w:p>
            <w:pPr>
              <w:ind w:left="80"/>
              <w:spacing w:after="0" w:line="176" w:lineRule="exact"/>
              <w:rPr>
                <w:sz w:val="20"/>
                <w:szCs w:val="20"/>
                <w:color w:val="auto"/>
              </w:rPr>
            </w:pPr>
            <w:r>
              <w:rPr>
                <w:rFonts w:ascii="Arial" w:cs="Arial" w:eastAsia="Arial" w:hAnsi="Arial"/>
                <w:sz w:val="18"/>
                <w:szCs w:val="18"/>
                <w:color w:val="auto"/>
                <w:w w:val="93"/>
              </w:rPr>
              <w:t>Segment general and administrative expenses</w:t>
            </w:r>
          </w:p>
        </w:tc>
        <w:tc>
          <w:tcPr>
            <w:tcW w:w="120" w:type="dxa"/>
            <w:vAlign w:val="bottom"/>
          </w:tcPr>
          <w:p>
            <w:pPr>
              <w:spacing w:after="0"/>
              <w:rPr>
                <w:sz w:val="15"/>
                <w:szCs w:val="15"/>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2"/>
        </w:trPr>
        <w:tc>
          <w:tcPr>
            <w:tcW w:w="3360" w:type="dxa"/>
            <w:vAlign w:val="bottom"/>
          </w:tcPr>
          <w:p>
            <w:pPr>
              <w:ind w:left="24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(Gains)/losses from derivative activities and</w:t>
            </w:r>
          </w:p>
        </w:tc>
        <w:tc>
          <w:tcPr>
            <w:tcW w:w="12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4"/>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471 %</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29 %</w:t>
            </w: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467"/>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0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9"/>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Volumes</w:t>
            </w:r>
          </w:p>
        </w:tc>
        <w:tc>
          <w:tcPr>
            <w:tcW w:w="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20"/>
              <w:spacing w:after="0" w:line="230" w:lineRule="exact"/>
              <w:rPr>
                <w:sz w:val="20"/>
                <w:szCs w:val="20"/>
                <w:color w:val="auto"/>
              </w:rPr>
            </w:pPr>
            <w:r>
              <w:rPr>
                <w:rFonts w:ascii="Arial" w:cs="Arial" w:eastAsia="Arial" w:hAnsi="Arial"/>
                <w:sz w:val="14"/>
                <w:szCs w:val="14"/>
                <w:b w:val="1"/>
                <w:bCs w:val="1"/>
                <w:color w:val="auto"/>
              </w:rPr>
              <w:t>(in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120" w:type="dxa"/>
            <w:vAlign w:val="bottom"/>
          </w:tcPr>
          <w:p>
            <w:pPr>
              <w:spacing w:after="0"/>
              <w:rPr>
                <w:sz w:val="19"/>
                <w:szCs w:val="19"/>
                <w:color w:val="auto"/>
              </w:rPr>
            </w:pPr>
          </w:p>
        </w:tc>
        <w:tc>
          <w:tcPr>
            <w:tcW w:w="6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ind w:left="20" w:right="360" w:hanging="11"/>
        <w:spacing w:after="0" w:line="277" w:lineRule="auto"/>
        <w:rPr>
          <w:sz w:val="20"/>
          <w:szCs w:val="20"/>
          <w:color w:val="auto"/>
        </w:rPr>
      </w:pPr>
      <w:r>
        <w:rPr>
          <w:rFonts w:ascii="Arial" w:cs="Arial" w:eastAsia="Arial" w:hAnsi="Arial"/>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NGL Segment Adjusted EBITDA increased for the three and six months ended June 30, 2022 compared to the same periods in 2021 primarily due to the favorable impact of higher realized fractionation spreads between the price of natural gas and the extracted NGL (“frac spreads”) and higher NGL sales prices.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activities increased for the three and six months ended June 30, 2022 compared to the same periods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primarily due to higher realized frac spreads and higher NGL sales prices, partially offset by lower NGL sales volumes due to a reduction in lower margin hub activity. Additionally, net revenues for the 2022 periods compared to 2021 include the benefit of our increased ownership in the Empress straddle plants effective June 2021 and higher product gains at certain of our NGL storage and fractionation facilities.</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2022 compared to the same periods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primarily due to increased power-related costs associated with (i) our increased ownership in the Empress straddle plants, (ii) higher prices in the 2022 periods, and (iii) a reduction in unrealized mark-to-market gains in the second quarter of 2022 (which impact our field operating costs but are excluded from Segment Adjusted EBITDA and thus are reflected as an “Adjustment” in the table above).</w:t>
      </w:r>
    </w:p>
    <w:p>
      <w:pPr>
        <w:spacing w:after="0" w:line="19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three and six months ended June 30,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2021 was primarily due to timing of scheduled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0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40" w:firstLine="8"/>
        <w:spacing w:after="0" w:line="253"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As of June 30, 2022, although we had a working capital deficit of $213 million, we had approximately $2.8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-149860</wp:posOffset>
            </wp:positionV>
            <wp:extent cx="710628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643"/>
        <w:spacing w:after="0"/>
        <w:rPr>
          <w:sz w:val="20"/>
          <w:szCs w:val="20"/>
          <w:color w:val="auto"/>
        </w:rPr>
      </w:pPr>
      <w:r>
        <w:rPr>
          <w:rFonts w:ascii="Arial" w:cs="Arial" w:eastAsia="Arial" w:hAnsi="Arial"/>
          <w:sz w:val="14"/>
          <w:szCs w:val="14"/>
          <w:b w:val="1"/>
          <w:bCs w:val="1"/>
          <w:color w:val="auto"/>
        </w:rPr>
        <w:t>As of</w:t>
      </w:r>
    </w:p>
    <w:p>
      <w:pPr>
        <w:ind w:left="403"/>
        <w:spacing w:after="0"/>
        <w:rPr>
          <w:sz w:val="20"/>
          <w:szCs w:val="20"/>
          <w:color w:val="auto"/>
        </w:rPr>
      </w:pPr>
      <w:r>
        <w:rPr>
          <w:rFonts w:ascii="Arial" w:cs="Arial" w:eastAsia="Arial" w:hAnsi="Arial"/>
          <w:sz w:val="14"/>
          <w:szCs w:val="14"/>
          <w:b w:val="1"/>
          <w:bCs w:val="1"/>
          <w:color w:val="auto"/>
        </w:rPr>
        <w:t>June 30, 2022</w:t>
      </w:r>
    </w:p>
    <w:p>
      <w:pPr>
        <w:spacing w:after="0" w:line="34" w:lineRule="exact"/>
        <w:rPr>
          <w:sz w:val="20"/>
          <w:szCs w:val="20"/>
          <w:color w:val="auto"/>
        </w:rPr>
      </w:pPr>
    </w:p>
    <w:p>
      <w:pPr>
        <w:ind w:left="1163" w:hanging="1163"/>
        <w:spacing w:after="0"/>
        <w:tabs>
          <w:tab w:leader="none" w:pos="1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1,321</w:t>
      </w:r>
    </w:p>
    <w:p>
      <w:pPr>
        <w:spacing w:after="0" w:line="23" w:lineRule="exact"/>
        <w:rPr>
          <w:rFonts w:ascii="Arial" w:cs="Arial" w:eastAsia="Arial" w:hAnsi="Arial"/>
          <w:sz w:val="18"/>
          <w:szCs w:val="18"/>
          <w:color w:val="auto"/>
        </w:rPr>
      </w:pPr>
    </w:p>
    <w:p>
      <w:pPr>
        <w:ind w:left="1163"/>
        <w:spacing w:after="0"/>
        <w:rPr>
          <w:rFonts w:ascii="Arial" w:cs="Arial" w:eastAsia="Arial" w:hAnsi="Arial"/>
          <w:sz w:val="18"/>
          <w:szCs w:val="18"/>
          <w:color w:val="auto"/>
        </w:rPr>
      </w:pPr>
      <w:r>
        <w:rPr>
          <w:rFonts w:ascii="Arial" w:cs="Arial" w:eastAsia="Arial" w:hAnsi="Arial"/>
          <w:sz w:val="18"/>
          <w:szCs w:val="18"/>
          <w:color w:val="auto"/>
        </w:rPr>
        <w:t>1,345</w:t>
      </w:r>
    </w:p>
    <w:p>
      <w:pPr>
        <w:spacing w:after="0" w:line="22" w:lineRule="exact"/>
        <w:rPr>
          <w:rFonts w:ascii="Arial" w:cs="Arial" w:eastAsia="Arial" w:hAnsi="Arial"/>
          <w:sz w:val="18"/>
          <w:szCs w:val="18"/>
          <w:color w:val="auto"/>
        </w:rPr>
      </w:pPr>
    </w:p>
    <w:p>
      <w:pPr>
        <w:ind w:left="1223"/>
        <w:spacing w:after="0"/>
        <w:rPr>
          <w:rFonts w:ascii="Arial" w:cs="Arial" w:eastAsia="Arial" w:hAnsi="Arial"/>
          <w:sz w:val="18"/>
          <w:szCs w:val="18"/>
          <w:color w:val="auto"/>
        </w:rPr>
      </w:pPr>
      <w:r>
        <w:rPr>
          <w:rFonts w:ascii="Arial" w:cs="Arial" w:eastAsia="Arial" w:hAnsi="Arial"/>
          <w:sz w:val="17"/>
          <w:szCs w:val="17"/>
          <w:color w:val="auto"/>
        </w:rPr>
        <w:t>(115)</w:t>
      </w:r>
    </w:p>
    <w:p>
      <w:pPr>
        <w:spacing w:after="0" w:line="33" w:lineRule="exact"/>
        <w:rPr>
          <w:sz w:val="20"/>
          <w:szCs w:val="20"/>
          <w:color w:val="auto"/>
        </w:rPr>
      </w:pPr>
    </w:p>
    <w:p>
      <w:pPr>
        <w:sectPr>
          <w:pgSz w:w="11900" w:h="16838" w:orient="portrait"/>
          <w:cols w:equalWidth="0" w:num="2">
            <w:col w:w="8857" w:space="720"/>
            <w:col w:w="1643"/>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30"/>
        </w:trPr>
        <w:tc>
          <w:tcPr>
            <w:tcW w:w="40" w:type="dxa"/>
            <w:vAlign w:val="bottom"/>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121" w:lineRule="exact"/>
        <w:rPr>
          <w:sz w:val="20"/>
          <w:szCs w:val="20"/>
          <w:color w:val="auto"/>
        </w:rPr>
      </w:pPr>
    </w:p>
    <w:p>
      <w:pPr>
        <w:ind w:left="660" w:right="340" w:hanging="652"/>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40" w:hanging="652"/>
        <w:spacing w:after="0" w:line="227"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$29 million and $5 million, respectively.</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June 30, 2022.</w:t>
      </w: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2021 Annual Report on Form 10-K for further discussion regarding risks that may impact our 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175"/>
        </w:trPr>
        <w:tc>
          <w:tcPr>
            <w:tcW w:w="5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Adjustments to reconcile net cash provided by operating activities to free cash</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flow:</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800" w:type="dxa"/>
            <w:vAlign w:val="bottom"/>
            <w:tcBorders>
              <w:top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58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18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2022 and 2021 was $1.132 billion and $1.026 billion, respectively, and primarily resulted from earnings from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jc w:val="both"/>
        <w:ind w:left="660" w:right="260" w:hanging="652"/>
        <w:spacing w:after="0" w:line="234"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94" w:lineRule="exact"/>
        <w:rPr>
          <w:rFonts w:ascii="Arial" w:cs="Arial" w:eastAsia="Arial" w:hAnsi="Arial"/>
          <w:sz w:val="23"/>
          <w:szCs w:val="23"/>
          <w:color w:val="auto"/>
          <w:vertAlign w:val="superscript"/>
        </w:rPr>
      </w:pPr>
    </w:p>
    <w:p>
      <w:pPr>
        <w:ind w:left="660" w:right="240" w:hanging="652"/>
        <w:spacing w:after="0" w:line="227"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33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2022 Investment and Maintenance Capital. </w:t>
      </w:r>
      <w:r>
        <w:rPr>
          <w:rFonts w:ascii="Arial" w:cs="Arial" w:eastAsia="Arial" w:hAnsi="Arial"/>
          <w:sz w:val="17"/>
          <w:szCs w:val="17"/>
          <w:color w:val="auto"/>
        </w:rPr>
        <w:t>Total investment capital for the year ended December 31, 2022 is projected to be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six months of 2022 and 2021 from sales of assets (in millions):</w:t>
      </w:r>
    </w:p>
    <w:p>
      <w:pPr>
        <w:spacing w:after="0" w:line="21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w:t>
        <w:tab/>
        <w: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5"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on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and acquisitions involve risks that may adversely affect our business” included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June 30, 2022, we had net borrowings under our credit facilities and commercial paper program of approximately $115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six months ended June 30, 2021, we had net repayments on our credit facilities and commercial paper program of $326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March 1, 2022, we redeemed our 3.65%, $750 million senior notes due June 2022. We utilized cash on hand and borrowings under our commercial paper program to repay these senior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repurchased 7.3 million and 5.3 million common units under the Program through open market purchases that settled during the six months ended June 30, 2022 and 2021, respectively, for a total purchase price of $74 million and $53 million, respectively, including commissions and fees. At June 30, 2022, the remaining available capacity under the Program was $198 million.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June 30, 2022.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2021 Annual Report on Form 10-K for additional discussion.</w:t>
      </w:r>
    </w:p>
    <w:p>
      <w:pPr>
        <w:spacing w:after="0" w:line="20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August 12, 2022, we will pay a quarterly cash distribution of $0.2175 per common unit ($0.87 per unit on an annualized basis) to unitholders of record at the close of business on July 29, 2022 for the period from April 1, 2022 through June 30, 2022, which is unchanged from the distribution per unit paid in May of 2022.</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Note 7 to our Condensed Consolidated Financial Statements for details of distributions paid during or pertaining to the first six months of 2022, including distributions to our preferred unitholders.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Distributions to noncontrolling interests represent amounts paid on interests in consolidated entities that are not owned by us. As of June 30, 2022, noncontrolling interests in our subsidiaries consisted of (i) a 35% interest in the Permian JV and (ii) a 33% interest in Red River LLC. See Note 7 to our Condensed Consolidated Financial Statements for details of distributions paid to noncontrolling interests during the six months ended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2022 (in millions):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Remainder of</w:t>
            </w:r>
          </w:p>
        </w:tc>
        <w:tc>
          <w:tcPr>
            <w:tcW w:w="8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2027 and</w:t>
            </w:r>
          </w:p>
        </w:tc>
        <w:tc>
          <w:tcPr>
            <w:tcW w:w="220" w:type="dxa"/>
            <w:vAlign w:val="bottom"/>
          </w:tcPr>
          <w:p>
            <w:pPr>
              <w:spacing w:after="0"/>
              <w:rPr>
                <w:sz w:val="14"/>
                <w:szCs w:val="14"/>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15,162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26,076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24,981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23,556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67,795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179,724</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49" w:lineRule="auto"/>
        <w:tabs>
          <w:tab w:leader="none" w:pos="648"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June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June 30, 2022 and December 31, 2021, we had outstanding letters of credit of approximately $34 million and $98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jc w:val="both"/>
        <w:ind w:left="980" w:right="400" w:hanging="324"/>
        <w:spacing w:after="0" w:line="301"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60" w:hanging="324"/>
        <w:spacing w:after="0" w:line="293"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color w:val="auto"/>
        </w:rPr>
      </w:pPr>
    </w:p>
    <w:p>
      <w:pPr>
        <w:ind w:left="980" w:right="40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40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9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3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color w:val="auto"/>
        </w:rPr>
      </w:pPr>
    </w:p>
    <w:p>
      <w:pPr>
        <w:ind w:left="1300" w:right="240"/>
        <w:spacing w:after="0" w:line="275" w:lineRule="auto"/>
        <w:rPr>
          <w:rFonts w:ascii="Arial" w:cs="Arial" w:eastAsia="Arial" w:hAnsi="Arial"/>
          <w:sz w:val="18"/>
          <w:szCs w:val="18"/>
          <w:color w:val="auto"/>
        </w:rPr>
      </w:pPr>
      <w:r>
        <w:rPr>
          <w:rFonts w:ascii="Arial" w:cs="Arial" w:eastAsia="Arial" w:hAnsi="Arial"/>
          <w:sz w:val="17"/>
          <w:szCs w:val="17"/>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2022 that would be expected from a 10% price increase or decrease is shown in the table below (in millions):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2022, approximately $115 million, was subject to interest rate re-sets that generally range from one day to approximately one week. The average interest rate on variable rate debt that was outstanding during the three months ended June 30, 2022 was 1.2%, based upon rates in effect during such period. The fair value of our interest rate derivatives was a net asset of $136 million as of June 30, 2022. A 10% increase in the forward LIBOR curve as of June 30, 2022 would have resulted in an increase of $22 million to the fair value of our interest rate derivatives. A 10% decrease in the forward LIBOR curve as of June 30, 2022 would have resulted in a decrease of $22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$147 million as of June 30, 2022. A 10% increase or decrease in the fair value would have an impact of $15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2022,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second quarter of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Common Units</w:t>
            </w:r>
          </w:p>
        </w:tc>
        <w:tc>
          <w:tcPr>
            <w:tcW w:w="140" w:type="dxa"/>
            <w:vAlign w:val="bottom"/>
          </w:tcPr>
          <w:p>
            <w:pPr>
              <w:spacing w:after="0"/>
              <w:rPr>
                <w:sz w:val="14"/>
                <w:szCs w:val="14"/>
                <w:color w:val="auto"/>
              </w:rPr>
            </w:pPr>
          </w:p>
        </w:tc>
        <w:tc>
          <w:tcPr>
            <w:tcW w:w="200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Common Units</w:t>
            </w:r>
          </w:p>
        </w:tc>
        <w:tc>
          <w:tcPr>
            <w:tcW w:w="1580" w:type="dxa"/>
            <w:vAlign w:val="bottom"/>
            <w:gridSpan w:val="3"/>
            <w:vMerge w:val="continue"/>
          </w:tcPr>
          <w:p>
            <w:pPr>
              <w:spacing w:after="0"/>
              <w:rPr>
                <w:sz w:val="11"/>
                <w:szCs w:val="11"/>
                <w:color w:val="auto"/>
              </w:rPr>
            </w:pP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140" w:type="dxa"/>
            <w:vAlign w:val="bottom"/>
            <w:gridSpan w:val="2"/>
          </w:tcPr>
          <w:p>
            <w:pPr>
              <w:jc w:val="right"/>
              <w:ind w:right="16"/>
              <w:spacing w:after="0" w:line="135" w:lineRule="exact"/>
              <w:rPr>
                <w:sz w:val="20"/>
                <w:szCs w:val="20"/>
                <w:color w:val="auto"/>
              </w:rPr>
            </w:pPr>
            <w:r>
              <w:rPr>
                <w:rFonts w:ascii="Arial" w:cs="Arial" w:eastAsia="Arial" w:hAnsi="Arial"/>
                <w:sz w:val="14"/>
                <w:szCs w:val="14"/>
                <w:b w:val="1"/>
                <w:bCs w:val="1"/>
                <w:color w:val="auto"/>
                <w:w w:val="97"/>
              </w:rPr>
              <w:t>Common Units that May Yet Be</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6"/>
                <w:szCs w:val="16"/>
                <w:color w:val="auto"/>
              </w:rPr>
            </w:pPr>
          </w:p>
        </w:tc>
        <w:tc>
          <w:tcPr>
            <w:tcW w:w="142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Common Unit </w:t>
            </w:r>
            <w:r>
              <w:rPr>
                <w:rFonts w:ascii="Arial" w:cs="Arial" w:eastAsia="Arial" w:hAnsi="Arial"/>
                <w:sz w:val="18"/>
                <w:szCs w:val="18"/>
                <w:b w:val="1"/>
                <w:bCs w:val="1"/>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Announced Program</w:t>
            </w:r>
          </w:p>
        </w:tc>
        <w:tc>
          <w:tcPr>
            <w:tcW w:w="2140" w:type="dxa"/>
            <w:vAlign w:val="bottom"/>
            <w:gridSpan w:val="2"/>
          </w:tcPr>
          <w:p>
            <w:pPr>
              <w:jc w:val="right"/>
              <w:spacing w:after="0" w:line="189" w:lineRule="exact"/>
              <w:rPr>
                <w:sz w:val="20"/>
                <w:szCs w:val="20"/>
                <w:color w:val="auto"/>
              </w:rPr>
            </w:pPr>
            <w:r>
              <w:rPr>
                <w:rFonts w:ascii="Arial" w:cs="Arial" w:eastAsia="Arial" w:hAnsi="Arial"/>
                <w:sz w:val="14"/>
                <w:szCs w:val="14"/>
                <w:b w:val="1"/>
                <w:bCs w:val="1"/>
                <w:color w:val="auto"/>
                <w:w w:val="93"/>
              </w:rPr>
              <w:t xml:space="preserve">Purchased under the Program </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 2022 - May 31, 2022</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175,536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175,536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245,023,264</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June 1, 2022 - June 30, 2022</w:t>
            </w: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4,700,526</w:t>
            </w: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2100" w:type="dxa"/>
            <w:vAlign w:val="bottom"/>
          </w:tcPr>
          <w:p>
            <w:pPr>
              <w:jc w:val="right"/>
              <w:ind w:right="1"/>
              <w:spacing w:after="0"/>
              <w:rPr>
                <w:sz w:val="20"/>
                <w:szCs w:val="20"/>
                <w:color w:val="auto"/>
              </w:rPr>
            </w:pPr>
            <w:r>
              <w:rPr>
                <w:rFonts w:ascii="Arial" w:cs="Arial" w:eastAsia="Arial" w:hAnsi="Arial"/>
                <w:sz w:val="18"/>
                <w:szCs w:val="18"/>
                <w:color w:val="auto"/>
              </w:rPr>
              <w:t>4,700,526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197,534,999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Average price paid per common unit includes costs associated with the repurchases.</w:t>
      </w:r>
    </w:p>
    <w:p>
      <w:pPr>
        <w:spacing w:after="0" w:line="117"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191"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100">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380" w:right="6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09">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12">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40" w:right="80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3.15       —  </w:t>
      </w:r>
      <w:hyperlink r:id="rId114">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18">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18">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right="4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 xml:space="preserve">— </w:t>
      </w:r>
      <w:hyperlink r:id="rId119">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19">
        <w:r>
          <w:rPr>
            <w:rFonts w:ascii="Arial" w:cs="Arial" w:eastAsia="Arial" w:hAnsi="Arial"/>
            <w:sz w:val="17"/>
            <w:szCs w:val="17"/>
            <w:u w:val="single" w:color="auto"/>
            <w:color w:val="0000FF"/>
          </w:rPr>
          <w:t>Holdings, L.P. (incorporated by reference to Exhibit 3.1 to PAGP’s Current Report on Form 8-K filed April 9, 2020).</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Form S-1 (333-190227) filed July 29, 2013).</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hyperlink r:id="rId121">
        <w:r>
          <w:rPr>
            <w:rFonts w:ascii="Arial" w:cs="Arial" w:eastAsia="Arial" w:hAnsi="Arial"/>
            <w:sz w:val="16"/>
            <w:szCs w:val="16"/>
            <w:u w:val="single" w:color="auto"/>
            <w:color w:val="0000FF"/>
          </w:rPr>
          <w:t>Fourth Amended and Restated Limited Liability Company Agreement of PAA GP Holdings LLC dated effective as of August 19,</w:t>
        </w:r>
      </w:hyperlink>
    </w:p>
    <w:p>
      <w:pPr>
        <w:ind w:left="1760"/>
        <w:spacing w:after="0"/>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2020 (incorporated by reference to Exhibit 3.21 to our Annual Report on Form 10-K for the year ended December 31, 2021).</w:t>
        </w:r>
      </w:hyperlink>
    </w:p>
    <w:p>
      <w:pPr>
        <w:spacing w:after="0" w:line="126" w:lineRule="exact"/>
        <w:rPr>
          <w:sz w:val="20"/>
          <w:szCs w:val="20"/>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4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60" w:hanging="1263"/>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Exhibit 4.1 to our Current Report on Form 8-K filed September 11, 2014).</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60" w:type="dxa"/>
            <w:vAlign w:val="bottom"/>
            <w:gridSpan w:val="24"/>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32">
              <w:r>
                <w:rPr>
                  <w:rFonts w:ascii="Arial" w:cs="Arial" w:eastAsia="Arial" w:hAnsi="Arial"/>
                  <w:sz w:val="18"/>
                  <w:szCs w:val="18"/>
                  <w:color w:val="0000FF"/>
                  <w:w w:val="98"/>
                </w:rPr>
                <w:t>Twenty-Eighth Supplemental Indenture (4.90% Senior Notes due 2045) dated December 9, 2014, by and among Plains All</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4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American Pipeline, L.P., PAA Finance Corp. and U.S. Bank National Association, as trustee (incorporated by reference to</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Exhibit 4.3 to our Current Report on Form 8-K filed December 11, 2014).</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60" w:type="dxa"/>
            <w:vAlign w:val="bottom"/>
            <w:gridSpan w:val="24"/>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3">
              <w:r>
                <w:rPr>
                  <w:rFonts w:ascii="Arial" w:cs="Arial" w:eastAsia="Arial" w:hAnsi="Arial"/>
                  <w:sz w:val="18"/>
                  <w:szCs w:val="18"/>
                  <w:color w:val="0000FF"/>
                  <w:w w:val="93"/>
                </w:rPr>
                <w:t>Twenty-Ninth Supplemental Indenture (4.65% Senior Notes due 2025) dated August 24, 2015, by and among Plains All American</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Current Report on Form 8-K filed August 26, 2015).</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6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4">
              <w:r>
                <w:rPr>
                  <w:rFonts w:ascii="Arial" w:cs="Arial" w:eastAsia="Arial" w:hAnsi="Arial"/>
                  <w:sz w:val="18"/>
                  <w:szCs w:val="18"/>
                  <w:color w:val="0000FF"/>
                  <w:w w:val="94"/>
                </w:rPr>
                <w:t>Thirtieth Supplemental Indenture (4.50% Senior Notes due 2026) dated November 22, 2016,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3"/>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60" w:type="dxa"/>
            <w:vAlign w:val="bottom"/>
            <w:gridSpan w:val="24"/>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35">
              <w:r>
                <w:rPr>
                  <w:rFonts w:ascii="Arial" w:cs="Arial" w:eastAsia="Arial" w:hAnsi="Arial"/>
                  <w:sz w:val="18"/>
                  <w:szCs w:val="18"/>
                  <w:color w:val="0000FF"/>
                  <w:w w:val="99"/>
                </w:rPr>
                <w:t>Thirty-First Supplemental Indenture (3.55% Senior Notes due 2029) dated September 16, 2019, by and among Plains All</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3"/>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American Pipeline, L.P., PAA Finance Corp. and U.S. Bank National Association, as trustee (incorporated by reference to Exhibit</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our Current Report on Form 8-K filed September 17, 2019).</w:t>
              </w:r>
            </w:hyperlink>
          </w:p>
        </w:tc>
        <w:tc>
          <w:tcPr>
            <w:tcW w:w="4560" w:type="dxa"/>
            <w:vAlign w:val="bottom"/>
            <w:tcBorders>
              <w:top w:val="single" w:sz="8" w:color="0000FF"/>
            </w:tcBorders>
            <w:gridSpan w:val="1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60" w:type="dxa"/>
            <w:vAlign w:val="bottom"/>
            <w:gridSpan w:val="24"/>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6">
              <w:r>
                <w:rPr>
                  <w:rFonts w:ascii="Arial" w:cs="Arial" w:eastAsia="Arial" w:hAnsi="Arial"/>
                  <w:sz w:val="18"/>
                  <w:szCs w:val="18"/>
                  <w:color w:val="0000FF"/>
                  <w:w w:val="94"/>
                </w:rPr>
                <w:t>Thirty-Second Supplemental Indenture (3.80% Senior Notes due 2030) dated June 11, 2020,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3"/>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Current Report on Form 8-K filed June 11, 2020).</w:t>
              </w:r>
            </w:hyperlink>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60" w:type="dxa"/>
            <w:vAlign w:val="bottom"/>
            <w:gridSpan w:val="24"/>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37">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6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Storage LLC (incorporated by reference to Exhibit 4.1 to our Registration Statement on Form S-3, File No. 333-162477).</w:t>
              </w:r>
            </w:hyperlink>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6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8">
              <w:r>
                <w:rPr>
                  <w:rFonts w:ascii="Arial" w:cs="Arial" w:eastAsia="Arial" w:hAnsi="Arial"/>
                  <w:sz w:val="18"/>
                  <w:szCs w:val="18"/>
                  <w:color w:val="0000FF"/>
                  <w:w w:val="92"/>
                </w:rPr>
                <w:t>Registration Rights Agreement dated as of January 28, 2016 among Plains All American Pipeline, L.P. and the Purchasers named</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8"/>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60" w:type="dxa"/>
            <w:vAlign w:val="bottom"/>
            <w:gridSpan w:val="24"/>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9">
              <w:r>
                <w:rPr>
                  <w:rFonts w:ascii="Arial" w:cs="Arial" w:eastAsia="Arial" w:hAnsi="Arial"/>
                  <w:sz w:val="18"/>
                  <w:szCs w:val="18"/>
                  <w:color w:val="0000FF"/>
                  <w:w w:val="92"/>
                </w:rPr>
                <w:t>Registration Rights Agreement by and among Plains All American Pipeline, L.P. and the Holders defined therein, dated November</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15, 2016 (incorporated by reference to Exhibit 10.4 to our Current Report on Form 8-K filed November 21, 2016).</w:t>
              </w:r>
            </w:hyperlink>
          </w:p>
        </w:tc>
        <w:tc>
          <w:tcPr>
            <w:tcW w:w="11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60" w:type="dxa"/>
            <w:vAlign w:val="bottom"/>
            <w:gridSpan w:val="24"/>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40">
              <w:r>
                <w:rPr>
                  <w:rFonts w:ascii="Arial" w:cs="Arial" w:eastAsia="Arial" w:hAnsi="Arial"/>
                  <w:sz w:val="18"/>
                  <w:szCs w:val="18"/>
                  <w:color w:val="0000FF"/>
                  <w:w w:val="95"/>
                </w:rPr>
                <w:t>Description of Our Securities (incorporated by reference to Exhibit 4.19 to our Annual Report on Form 10-K for the year ended</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December 31, 2021).</w:t>
              </w:r>
            </w:hyperlink>
          </w:p>
        </w:tc>
        <w:tc>
          <w:tcPr>
            <w:tcW w:w="7700" w:type="dxa"/>
            <w:vAlign w:val="bottom"/>
            <w:tcBorders>
              <w:top w:val="single" w:sz="8" w:color="0000FF"/>
            </w:tcBorders>
            <w:gridSpan w:val="16"/>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60" w:type="dxa"/>
            <w:vAlign w:val="bottom"/>
            <w:gridSpan w:val="24"/>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41">
              <w:r>
                <w:rPr>
                  <w:rFonts w:ascii="Arial" w:cs="Arial" w:eastAsia="Arial" w:hAnsi="Arial"/>
                  <w:sz w:val="18"/>
                  <w:szCs w:val="18"/>
                  <w:color w:val="0000FF"/>
                  <w:w w:val="96"/>
                </w:rPr>
                <w:t>Form of Amended and Restated Special Retention LTIP Grant Letter Dated February 24, 2022 (incorporated by reference to</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Exhibit 10.1 to our Quarterly Report on Form 10-Q for the quarter ended March 31, 2022).</w:t>
              </w:r>
            </w:hyperlink>
          </w:p>
        </w:tc>
        <w:tc>
          <w:tcPr>
            <w:tcW w:w="2400" w:type="dxa"/>
            <w:vAlign w:val="bottom"/>
            <w:tcBorders>
              <w:top w:val="single" w:sz="8" w:color="0000FF"/>
            </w:tcBorders>
            <w:gridSpan w:val="7"/>
          </w:tcPr>
          <w:p>
            <w:pPr>
              <w:spacing w:after="0"/>
              <w:rPr>
                <w:sz w:val="13"/>
                <w:szCs w:val="13"/>
                <w:color w:val="auto"/>
              </w:rPr>
            </w:pPr>
          </w:p>
        </w:tc>
        <w:tc>
          <w:tcPr>
            <w:tcW w:w="540" w:type="dxa"/>
            <w:vAlign w:val="bottom"/>
            <w:gridSpan w:val="8"/>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1006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5">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tcBorders>
              <w:left w:val="single" w:sz="8" w:color="0000FF"/>
            </w:tcBorders>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1006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6">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1006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FF"/>
                </w:rPr>
                <w:t>Certification of Principal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tcBorders>
              <w:left w:val="single" w:sz="8" w:color="0000FF"/>
            </w:tcBorders>
            <w:gridSpan w:val="17"/>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10060" w:type="dxa"/>
            <w:vAlign w:val="bottom"/>
            <w:gridSpan w:val="2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8">
              <w:r>
                <w:rPr>
                  <w:rFonts w:ascii="Arial" w:cs="Arial" w:eastAsia="Arial" w:hAnsi="Arial"/>
                  <w:sz w:val="18"/>
                  <w:szCs w:val="18"/>
                  <w:color w:val="0000FF"/>
                </w:rPr>
                <w:t>Certification of Principal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gridSpan w:val="17"/>
          </w:tcPr>
          <w:p>
            <w:pPr>
              <w:spacing w:after="0" w:line="20" w:lineRule="exact"/>
              <w:rPr>
                <w:sz w:val="1"/>
                <w:szCs w:val="1"/>
                <w:color w:val="auto"/>
              </w:rPr>
            </w:pPr>
          </w:p>
        </w:tc>
      </w:tr>
      <w:tr>
        <w:trPr>
          <w:trHeight w:val="304"/>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101.INS†</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84"/>
        </w:trPr>
        <w:tc>
          <w:tcPr>
            <w:tcW w:w="118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101.PRE†</w:t>
            </w:r>
          </w:p>
        </w:tc>
        <w:tc>
          <w:tcPr>
            <w:tcW w:w="10060" w:type="dxa"/>
            <w:vAlign w:val="bottom"/>
            <w:gridSpan w:val="24"/>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904"/>
        </w:trPr>
        <w:tc>
          <w:tcPr>
            <w:tcW w:w="1180" w:type="dxa"/>
            <w:vAlign w:val="bottom"/>
          </w:tcPr>
          <w:p>
            <w:pPr>
              <w:spacing w:after="0"/>
              <w:rPr>
                <w:sz w:val="24"/>
                <w:szCs w:val="24"/>
                <w:color w:val="auto"/>
              </w:rPr>
            </w:pPr>
          </w:p>
        </w:tc>
        <w:tc>
          <w:tcPr>
            <w:tcW w:w="4560" w:type="dxa"/>
            <w:vAlign w:val="bottom"/>
            <w:gridSpan w:val="5"/>
          </w:tcPr>
          <w:p>
            <w:pPr>
              <w:ind w:left="4360"/>
              <w:spacing w:after="0"/>
              <w:rPr>
                <w:sz w:val="20"/>
                <w:szCs w:val="20"/>
                <w:color w:val="auto"/>
              </w:rPr>
            </w:pPr>
            <w:r>
              <w:rPr>
                <w:rFonts w:ascii="Arial" w:cs="Arial" w:eastAsia="Arial" w:hAnsi="Arial"/>
                <w:sz w:val="18"/>
                <w:szCs w:val="18"/>
                <w:color w:val="auto"/>
                <w:w w:val="89"/>
              </w:rPr>
              <w:t>62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spacing w:after="0"/>
        <w:tabs>
          <w:tab w:leader="none" w:pos="1360" w:val="left"/>
          <w:tab w:leader="none" w:pos="1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5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8,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8,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1"/>
              </w:rPr>
              <w:t>Senior Vice President, Finance and Chief Accounting Officer of</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August 8, 2022</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5" w:right="3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8, 2022</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8,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emdash "/>
      <w:numFmt w:val="bullet"/>
      <w:start w:val="1"/>
    </w:lvl>
  </w:abstractNum>
  <w:abstractNum w:abstractNumId="9">
    <w:nsid w:val="3A95F874"/>
    <w:multiLevelType w:val="hybridMultilevel"/>
    <w:lvl w:ilvl="0">
      <w:lvlJc w:val="left"/>
      <w:lvlText w:val="%1"/>
      <w:numFmt w:val="decimal"/>
      <w:start w:val="53"/>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lowerRoman"/>
      <w:start w:val="2"/>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9"/>
    </w:lvl>
  </w:abstractNum>
  <w:abstractNum w:abstractNumId="23">
    <w:nsid w:val="3804823E"/>
    <w:multiLevelType w:val="hybridMultilevel"/>
    <w:lvl w:ilvl="0">
      <w:lvlJc w:val="left"/>
      <w:lvlText w:val="(%1)"/>
      <w:numFmt w:val="decimal"/>
      <w:start w:val="1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Roman"/>
      <w:start w:val="5"/>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5" Type="http://schemas.openxmlformats.org/officeDocument/2006/relationships/image" Target="media/image93.png"/><Relationship Id="rId13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00" Type="http://schemas.openxmlformats.org/officeDocument/2006/relationships/hyperlink" Target="http://www.sec.gov/Archives/edgar/data/1070423/000110465917061889/a17-22685_5ex3d1.htm#Exhibit3_1_122228" TargetMode="External"/><Relationship Id="rId101" Type="http://schemas.openxmlformats.org/officeDocument/2006/relationships/hyperlink" Target="http://www.sec.gov/Archives/edgar/data/1070423/000104746904016502/a2135501zex-3_2.htm" TargetMode="External"/><Relationship Id="rId102" Type="http://schemas.openxmlformats.org/officeDocument/2006/relationships/hyperlink" Target="http://www.sec.gov/Archives/edgar/data/1070423/000110465911010359/a11-2319_1ex3d9.htm" TargetMode="External"/><Relationship Id="rId103" Type="http://schemas.openxmlformats.org/officeDocument/2006/relationships/hyperlink" Target="http://www.sec.gov/Archives/edgar/data/1070423/000110465911010359/a11-2319_1ex3d10.htm" TargetMode="External"/><Relationship Id="rId104" Type="http://schemas.openxmlformats.org/officeDocument/2006/relationships/hyperlink" Target="http://www.sec.gov/Archives/edgar/data/1070423/000110465914014322/a13-25941_1ex3d7.htm" TargetMode="External"/><Relationship Id="rId105" Type="http://schemas.openxmlformats.org/officeDocument/2006/relationships/hyperlink" Target="http://www.sec.gov/Archives/edgar/data/1070423/000110465914014322/a13-25941_1ex3d8.htm" TargetMode="External"/><Relationship Id="rId106" Type="http://schemas.openxmlformats.org/officeDocument/2006/relationships/hyperlink" Target="http://www.sec.gov/Archives/edgar/data/1070423/000107042320000004/paa201910-kexhibit37.htm" TargetMode="External"/><Relationship Id="rId107" Type="http://schemas.openxmlformats.org/officeDocument/2006/relationships/hyperlink" Target="http://www.sec.gov/Archives/edgar/data/1070423/000104746904016502/a2135501zex-3_3.htm" TargetMode="External"/><Relationship Id="rId108" Type="http://schemas.openxmlformats.org/officeDocument/2006/relationships/hyperlink" Target="http://www.sec.gov/Archives/edgar/data/1070423/000110465914014322/a13-25941_1ex3d10.htm" TargetMode="External"/><Relationship Id="rId109" Type="http://schemas.openxmlformats.org/officeDocument/2006/relationships/hyperlink" Target="http://www.sec.gov/Archives/edgar/data/1070423/000110465916158355/a16-21841_1ex3d3.htm" TargetMode="External"/><Relationship Id="rId110" Type="http://schemas.openxmlformats.org/officeDocument/2006/relationships/hyperlink" Target="http://www.sec.gov/Archives/edgar/data/1070423/000110465916158355/a16-21841_1ex3d4.htm" TargetMode="External"/><Relationship Id="rId111" Type="http://schemas.openxmlformats.org/officeDocument/2006/relationships/hyperlink" Target="http://www.sec.gov/Archives/edgar/data/1070423/000110465918060011/a18-36196_1ex3d1.htm" TargetMode="External"/><Relationship Id="rId112" Type="http://schemas.openxmlformats.org/officeDocument/2006/relationships/hyperlink" Target="http://www.sec.gov/Archives/edgar/data/1070423/000110465919032810/a19-10856_1ex3d1.htm" TargetMode="External"/><Relationship Id="rId113" Type="http://schemas.openxmlformats.org/officeDocument/2006/relationships/hyperlink" Target="http://www.sec.gov/Archives/edgar/data/1070423/000095012907001096/h43224exv3w10.htm" TargetMode="External"/><Relationship Id="rId114" Type="http://schemas.openxmlformats.org/officeDocument/2006/relationships/hyperlink" Target="http://www.sec.gov/Archives/edgar/data/1070423/000095012907001096/h43224exv3w11.htm" TargetMode="External"/><Relationship Id="rId116" Type="http://schemas.openxmlformats.org/officeDocument/2006/relationships/hyperlink" Target="http://www.sec.gov/Archives/edgar/data/1070423/000095012908000071/h52770exv3w3.htm" TargetMode="External"/><Relationship Id="rId117" Type="http://schemas.openxmlformats.org/officeDocument/2006/relationships/hyperlink" Target="http://www.sec.gov/Archives/edgar/data/1581990/000104746913007875/a2216069zex-3_1.htm" TargetMode="External"/><Relationship Id="rId118" Type="http://schemas.openxmlformats.org/officeDocument/2006/relationships/hyperlink" Target="http://www.sec.gov/Archives/edgar/data/1581990/000110465916158356/a16-21845_1ex3d2.htm" TargetMode="External"/><Relationship Id="rId119" Type="http://schemas.openxmlformats.org/officeDocument/2006/relationships/hyperlink" Target="http://www.sec.gov/Archives/edgar/data/1581990/000158199020000012/exhibit31.htm" TargetMode="External"/><Relationship Id="rId120" Type="http://schemas.openxmlformats.org/officeDocument/2006/relationships/hyperlink" Target="http://www.sec.gov/Archives/edgar/data/1581990/000104746913007875/a2216069zex-3_3.htm" TargetMode="External"/><Relationship Id="rId121" Type="http://schemas.openxmlformats.org/officeDocument/2006/relationships/hyperlink" Target="http://www.sec.gov/Archives/edgar/data/1070423/000110465917010601/a17-6891_1ex3d1.htm" TargetMode="External"/><Relationship Id="rId122" Type="http://schemas.openxmlformats.org/officeDocument/2006/relationships/hyperlink" Target="http://www.sec.gov/Archives/edgar/data/1070423/000089924302002834/dex41.txt" TargetMode="External"/><Relationship Id="rId123" Type="http://schemas.openxmlformats.org/officeDocument/2006/relationships/hyperlink" Target="http://www.sec.gov/Archives/edgar/data/1070423/000110465906034368/a06-11663_1ex4d1.htm" TargetMode="External"/><Relationship Id="rId124" Type="http://schemas.openxmlformats.org/officeDocument/2006/relationships/hyperlink" Target="http://www.sec.gov/Archives/edgar/data/1070423/000095012906009235/h40667exv4w2.htm" TargetMode="External"/><Relationship Id="rId125" Type="http://schemas.openxmlformats.org/officeDocument/2006/relationships/hyperlink" Target="http://www.sec.gov/Archives/edgar/data/1070423/000119312512132295/d321017dex43.htm" TargetMode="External"/><Relationship Id="rId126" Type="http://schemas.openxmlformats.org/officeDocument/2006/relationships/hyperlink" Target="http://www.sec.gov/Archives/edgar/data/1070423/000119312512499932/d453762dex41.htm" TargetMode="External"/><Relationship Id="rId127" Type="http://schemas.openxmlformats.org/officeDocument/2006/relationships/hyperlink" Target="http://www.sec.gov/Archives/edgar/data/1070423/000119312512499932/d453762dex43.htm" TargetMode="External"/><Relationship Id="rId128" Type="http://schemas.openxmlformats.org/officeDocument/2006/relationships/hyperlink" Target="http://www.sec.gov/Archives/edgar/data/1070423/000119312513336066/d581734dex41.htm" TargetMode="External"/><Relationship Id="rId129" Type="http://schemas.openxmlformats.org/officeDocument/2006/relationships/hyperlink" Target="http://www.sec.gov/Archives/edgar/data/1070423/000119312514164183/d713938dex41.htm" TargetMode="External"/><Relationship Id="rId130" Type="http://schemas.openxmlformats.org/officeDocument/2006/relationships/hyperlink" Target="http://www.sec.gov/Archives/edgar/data/1070423/000119312514338289/d787160dex41.htm" TargetMode="External"/><Relationship Id="rId132" Type="http://schemas.openxmlformats.org/officeDocument/2006/relationships/hyperlink" Target="http://www.sec.gov/Archives/edgar/data/1070423/000119312514440007/d833885dex43.htm" TargetMode="External"/><Relationship Id="rId133" Type="http://schemas.openxmlformats.org/officeDocument/2006/relationships/hyperlink" Target="http://www.sec.gov/Archives/edgar/data/1070423/000119312515302829/d45393dex41.htm" TargetMode="External"/><Relationship Id="rId134" Type="http://schemas.openxmlformats.org/officeDocument/2006/relationships/hyperlink" Target="http://www.sec.gov/Archives/edgar/data/1070423/000110465916159593/a16-22232_1ex4d1.htm" TargetMode="External"/><Relationship Id="rId135" Type="http://schemas.openxmlformats.org/officeDocument/2006/relationships/hyperlink" Target="http://www.sec.gov/Archives/edgar/data/1070423/000141057819001281/tv529555_ex4-1.htm" TargetMode="External"/><Relationship Id="rId136" Type="http://schemas.openxmlformats.org/officeDocument/2006/relationships/hyperlink" Target="http://www.sec.gov/Archives/edgar/data/1070423/000110465920072270/tm2022235d1_ex4-1.htm" TargetMode="External"/><Relationship Id="rId137" Type="http://schemas.openxmlformats.org/officeDocument/2006/relationships/hyperlink" Target="http://www.sec.gov/Archives/edgar/data/1070423/000095012309050401/h68193exv4w1.htm" TargetMode="External"/><Relationship Id="rId138" Type="http://schemas.openxmlformats.org/officeDocument/2006/relationships/hyperlink" Target="http://www.sec.gov/Archives/edgar/data/1070423/000110465916093299/a16-3362_1ex4d1.htm" TargetMode="External"/><Relationship Id="rId139" Type="http://schemas.openxmlformats.org/officeDocument/2006/relationships/hyperlink" Target="http://www.sec.gov/Archives/edgar/data/1070423/000110465916158355/a16-21841_1ex10d4.htm" TargetMode="External"/><Relationship Id="rId140" Type="http://schemas.openxmlformats.org/officeDocument/2006/relationships/hyperlink" Target="https://www.sec.gov/Archives/edgar/data/1070423/000107042322000006/paa202110-kexhibit419.htm" TargetMode="External"/><Relationship Id="rId141" Type="http://schemas.openxmlformats.org/officeDocument/2006/relationships/hyperlink" Target="https://www.sec.gov/Archives/edgar/data/1070423/000107042322000012/paaq12022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2022-08-09T05:27:30Z</dcterms:created>
  <dcterms:modified xsi:type="dcterms:W3CDTF">2022-08-09T05:27:30Z</dcterms:modified>
</cp:coreProperties>
</file>