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43"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5" w:lineRule="exact"/>
        <w:rPr>
          <w:sz w:val="24"/>
          <w:szCs w:val="24"/>
          <w:color w:val="auto"/>
        </w:rPr>
      </w:pPr>
    </w:p>
    <w:p>
      <w:pPr>
        <w:sectPr>
          <w:pgSz w:w="11900" w:h="16838" w:orient="portrait"/>
          <w:cols w:equalWidth="0" w:num="2">
            <w:col w:w="6940" w:space="720"/>
            <w:col w:w="352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00" w:space="720"/>
            <w:col w:w="4260"/>
          </w:cols>
          <w:pgMar w:left="320" w:top="233" w:right="399" w:bottom="1440" w:gutter="0" w:footer="0" w:header="0"/>
          <w:type w:val="continuous"/>
        </w:sectPr>
      </w:pP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56"/>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7"/>
        </w:trPr>
        <w:tc>
          <w:tcPr>
            <w:tcW w:w="3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33" w:right="399" w:bottom="1440" w:gutter="0" w:footer="0" w:header="0"/>
          <w:type w:val="continuous"/>
        </w:sectPr>
      </w:pPr>
    </w:p>
    <w:p>
      <w:pPr>
        <w:spacing w:after="0" w:line="1" w:lineRule="exact"/>
        <w:rPr>
          <w:sz w:val="24"/>
          <w:szCs w:val="24"/>
          <w:color w:val="auto"/>
        </w:rPr>
      </w:pPr>
    </w:p>
    <w:p>
      <w:pPr>
        <w:ind w:left="188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0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120" w:lineRule="exact"/>
        <w:rPr>
          <w:sz w:val="24"/>
          <w:szCs w:val="24"/>
          <w:color w:val="auto"/>
        </w:rPr>
      </w:pPr>
    </w:p>
    <w:p>
      <w:pPr>
        <w:sectPr>
          <w:pgSz w:w="11900" w:h="16838" w:orient="portrait"/>
          <w:cols w:equalWidth="0" w:num="2">
            <w:col w:w="7560" w:space="720"/>
            <w:col w:w="2900"/>
          </w:cols>
          <w:pgMar w:left="320" w:top="233" w:right="399" w:bottom="1440" w:gutter="0" w:footer="0" w:header="0"/>
          <w:type w:val="continuous"/>
        </w:sectPr>
      </w:pPr>
    </w:p>
    <w:p>
      <w:pPr>
        <w:ind w:left="196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92" w:lineRule="exact"/>
        <w:rPr>
          <w:sz w:val="24"/>
          <w:szCs w:val="24"/>
          <w:color w:val="auto"/>
        </w:rPr>
      </w:pPr>
    </w:p>
    <w:p>
      <w:pPr>
        <w:sectPr>
          <w:pgSz w:w="11900" w:h="16838" w:orient="portrait"/>
          <w:cols w:equalWidth="0" w:num="2">
            <w:col w:w="6800" w:space="720"/>
            <w:col w:w="3660"/>
          </w:cols>
          <w:pgMar w:left="320" w:top="233" w:right="399" w:bottom="1440" w:gutter="0" w:footer="0" w:header="0"/>
          <w:type w:val="continuous"/>
        </w:sectPr>
      </w:pPr>
    </w:p>
    <w:p>
      <w:pPr>
        <w:ind w:left="752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ectPr>
          <w:pgSz w:w="11900" w:h="16838" w:orient="portrait"/>
          <w:cols w:equalWidth="0" w:num="1">
            <w:col w:w="11180"/>
          </w:cols>
          <w:pgMar w:left="320" w:top="233" w:right="399" w:bottom="1440" w:gutter="0" w:footer="0" w:header="0"/>
          <w:type w:val="continuous"/>
        </w:sectPr>
      </w:pPr>
    </w:p>
    <w:p>
      <w:pPr>
        <w:spacing w:after="0" w:line="179"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May 1, 2020, there were 728,053,007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40" w:type="dxa"/>
            <w:vAlign w:val="bottom"/>
            <w:gridSpan w:val="22"/>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980" w:type="dxa"/>
            <w:vAlign w:val="bottom"/>
          </w:tcPr>
          <w:p>
            <w:pPr>
              <w:spacing w:after="0"/>
              <w:rPr>
                <w:sz w:val="18"/>
                <w:szCs w:val="18"/>
                <w:color w:val="auto"/>
              </w:rPr>
            </w:pPr>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98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10120" w:type="dxa"/>
            <w:vAlign w:val="bottom"/>
            <w:gridSpan w:val="21"/>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w:t>
              </w:r>
            </w:hyperlink>
            <w:r>
              <w:rPr>
                <w:rFonts w:ascii="Arial" w:cs="Arial" w:eastAsia="Arial" w:hAnsi="Arial"/>
                <w:sz w:val="18"/>
                <w:szCs w:val="18"/>
                <w:color w:val="0000FF"/>
              </w:rPr>
              <w:t xml:space="preserve">March </w:t>
            </w:r>
            <w:hyperlink w:anchor="page3">
              <w:r>
                <w:rPr>
                  <w:rFonts w:ascii="Arial" w:cs="Arial" w:eastAsia="Arial" w:hAnsi="Arial"/>
                  <w:sz w:val="18"/>
                  <w:szCs w:val="18"/>
                  <w:color w:val="0000FF"/>
                </w:rPr>
                <w:t xml:space="preserve">31,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and December 31, 20</w:t>
              </w:r>
            </w:hyperlink>
            <w:r>
              <w:rPr>
                <w:rFonts w:ascii="Arial" w:cs="Arial" w:eastAsia="Arial" w:hAnsi="Arial"/>
                <w:sz w:val="18"/>
                <w:szCs w:val="18"/>
                <w:color w:val="0000FF"/>
              </w:rPr>
              <w:t>19</w:t>
            </w:r>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w:t>
              </w:r>
              <w:r>
                <w:rPr>
                  <w:rFonts w:ascii="Arial" w:cs="Arial" w:eastAsia="Arial" w:hAnsi="Arial"/>
                  <w:sz w:val="18"/>
                  <w:szCs w:val="18"/>
                  <w:color w:val="0000FF"/>
                </w:rPr>
                <w:t xml:space="preserv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9"/>
        </w:trPr>
        <w:tc>
          <w:tcPr>
            <w:tcW w:w="120" w:type="dxa"/>
            <w:vAlign w:val="bottom"/>
          </w:tcPr>
          <w:p>
            <w:pPr>
              <w:spacing w:after="0"/>
              <w:rPr>
                <w:sz w:val="21"/>
                <w:szCs w:val="21"/>
                <w:color w:val="auto"/>
              </w:rPr>
            </w:pPr>
          </w:p>
        </w:tc>
        <w:tc>
          <w:tcPr>
            <w:tcW w:w="10120" w:type="dxa"/>
            <w:vAlign w:val="bottom"/>
            <w:gridSpan w:val="21"/>
          </w:tcPr>
          <w:p>
            <w:pP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Condensed Consolidated Statements of Comprehensive Income/(Loss): For the three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190"/>
        </w:trPr>
        <w:tc>
          <w:tcPr>
            <w:tcW w:w="120" w:type="dxa"/>
            <w:vAlign w:val="bottom"/>
          </w:tcPr>
          <w:p>
            <w:pPr>
              <w:spacing w:after="0"/>
              <w:rPr>
                <w:sz w:val="16"/>
                <w:szCs w:val="16"/>
                <w:color w:val="auto"/>
              </w:rPr>
            </w:pPr>
          </w:p>
        </w:tc>
        <w:tc>
          <w:tcPr>
            <w:tcW w:w="10120" w:type="dxa"/>
            <w:vAlign w:val="bottom"/>
            <w:gridSpan w:val="21"/>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Changes in Accumulated Other Comprehensive Income/(Loss): For the</w:t>
              </w:r>
              <w:r>
                <w:rPr>
                  <w:rFonts w:ascii="Arial" w:cs="Arial" w:eastAsia="Arial" w:hAnsi="Arial"/>
                  <w:sz w:val="18"/>
                  <w:szCs w:val="18"/>
                  <w:color w:val="0000FF"/>
                  <w:w w:val="90"/>
                </w:rPr>
                <w:t xml:space="preserve"> three months ended March</w:t>
              </w:r>
            </w:hyperlink>
          </w:p>
        </w:tc>
        <w:tc>
          <w:tcPr>
            <w:tcW w:w="980" w:type="dxa"/>
            <w:vAlign w:val="bottom"/>
          </w:tcPr>
          <w:p>
            <w:pPr>
              <w:spacing w:after="0"/>
              <w:rPr>
                <w:sz w:val="16"/>
                <w:szCs w:val="16"/>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60" w:type="dxa"/>
            <w:vAlign w:val="bottom"/>
            <w:gridSpan w:val="1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31, 2020 and 2019</w:t>
              </w:r>
            </w:hyperlink>
          </w:p>
        </w:tc>
        <w:tc>
          <w:tcPr>
            <w:tcW w:w="8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Changes in Partners’ Capital: For the three</w:t>
              </w:r>
              <w:r>
                <w:rPr>
                  <w:rFonts w:ascii="Arial" w:cs="Arial" w:eastAsia="Arial" w:hAnsi="Arial"/>
                  <w:sz w:val="18"/>
                  <w:szCs w:val="18"/>
                  <w:color w:val="0000FF"/>
                </w:rPr>
                <w:t xml:space="preserv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6000" w:type="dxa"/>
            <w:vAlign w:val="bottom"/>
            <w:gridSpan w:val="8"/>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Condensed Consolidated Financial Statements:</w:t>
              </w:r>
            </w:hyperlink>
          </w:p>
        </w:tc>
        <w:tc>
          <w:tcPr>
            <w:tcW w:w="1740" w:type="dxa"/>
            <w:vAlign w:val="bottom"/>
            <w:tcBorders>
              <w:top w:val="single" w:sz="8" w:color="0000FF"/>
            </w:tcBorders>
            <w:gridSpan w:val="8"/>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top w:val="single" w:sz="8" w:color="0000FF"/>
            </w:tcBorders>
            <w:gridSpan w:val="2"/>
          </w:tcPr>
          <w:p>
            <w:pPr>
              <w:spacing w:after="0"/>
              <w:rPr>
                <w:sz w:val="21"/>
                <w:szCs w:val="21"/>
                <w:color w:val="auto"/>
              </w:rPr>
            </w:pPr>
          </w:p>
        </w:tc>
        <w:tc>
          <w:tcPr>
            <w:tcW w:w="122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8">
              <w:r>
                <w:rPr>
                  <w:rFonts w:ascii="Arial" w:cs="Arial" w:eastAsia="Arial" w:hAnsi="Arial"/>
                  <w:sz w:val="17"/>
                  <w:szCs w:val="17"/>
                  <w:u w:val="single" w:color="auto"/>
                  <w:color w:val="0000FF"/>
                  <w:w w:val="70"/>
                </w:rPr>
                <w:t>1.</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Organization and Basis of Consolidation and Presentation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0">
              <w:r>
                <w:rPr>
                  <w:rFonts w:ascii="Arial" w:cs="Arial" w:eastAsia="Arial" w:hAnsi="Arial"/>
                  <w:sz w:val="17"/>
                  <w:szCs w:val="17"/>
                  <w:u w:val="single" w:color="auto"/>
                  <w:color w:val="0000FF"/>
                  <w:w w:val="70"/>
                </w:rPr>
                <w:t>2.</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Summary of Significant Accounting Policies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1">
              <w:r>
                <w:rPr>
                  <w:rFonts w:ascii="Arial" w:cs="Arial" w:eastAsia="Arial" w:hAnsi="Arial"/>
                  <w:sz w:val="17"/>
                  <w:szCs w:val="17"/>
                  <w:u w:val="single" w:color="auto"/>
                  <w:color w:val="0000FF"/>
                  <w:w w:val="70"/>
                </w:rPr>
                <w:t>3.</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Revenues and Accounts Receivable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4">
              <w:r>
                <w:rPr>
                  <w:rFonts w:ascii="Arial" w:cs="Arial" w:eastAsia="Arial" w:hAnsi="Arial"/>
                  <w:sz w:val="17"/>
                  <w:szCs w:val="17"/>
                  <w:u w:val="single" w:color="auto"/>
                  <w:color w:val="0000FF"/>
                  <w:w w:val="70"/>
                </w:rPr>
                <w:t>4.</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Net Income/(Loss) Per Common Unit</w:t>
              </w:r>
            </w:hyperlink>
          </w:p>
        </w:tc>
        <w:tc>
          <w:tcPr>
            <w:tcW w:w="98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14</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5">
              <w:r>
                <w:rPr>
                  <w:rFonts w:ascii="Arial" w:cs="Arial" w:eastAsia="Arial" w:hAnsi="Arial"/>
                  <w:sz w:val="17"/>
                  <w:szCs w:val="17"/>
                  <w:u w:val="single" w:color="auto"/>
                  <w:color w:val="0000FF"/>
                  <w:w w:val="70"/>
                </w:rPr>
                <w:t>5.</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Inventory, Linefill and Base Gas and Long-term Inventory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16</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6">
              <w:r>
                <w:rPr>
                  <w:rFonts w:ascii="Arial" w:cs="Arial" w:eastAsia="Arial" w:hAnsi="Arial"/>
                  <w:sz w:val="17"/>
                  <w:szCs w:val="17"/>
                  <w:u w:val="single" w:color="auto"/>
                  <w:color w:val="0000FF"/>
                  <w:w w:val="70"/>
                </w:rPr>
                <w:t>6.</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Goodwill</w:t>
              </w:r>
            </w:hyperlink>
          </w:p>
        </w:tc>
        <w:tc>
          <w:tcPr>
            <w:tcW w:w="98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17</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7">
              <w:r>
                <w:rPr>
                  <w:rFonts w:ascii="Arial" w:cs="Arial" w:eastAsia="Arial" w:hAnsi="Arial"/>
                  <w:sz w:val="17"/>
                  <w:szCs w:val="17"/>
                  <w:u w:val="single" w:color="auto"/>
                  <w:color w:val="0000FF"/>
                  <w:w w:val="70"/>
                </w:rPr>
                <w:t>7.</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Investments in Unconsolidated Entities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30"/>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18">
              <w:r>
                <w:rPr>
                  <w:rFonts w:ascii="Arial" w:cs="Arial" w:eastAsia="Arial" w:hAnsi="Arial"/>
                  <w:sz w:val="17"/>
                  <w:szCs w:val="17"/>
                  <w:u w:val="single" w:color="auto"/>
                  <w:color w:val="0000FF"/>
                  <w:w w:val="70"/>
                </w:rPr>
                <w:t>8.</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Debt</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460" w:type="dxa"/>
            <w:vAlign w:val="bottom"/>
            <w:gridSpan w:val="3"/>
          </w:tcPr>
          <w:p>
            <w:pPr>
              <w:ind w:left="340"/>
              <w:spacing w:after="0"/>
              <w:rPr>
                <w:rFonts w:ascii="Arial" w:cs="Arial" w:eastAsia="Arial" w:hAnsi="Arial"/>
                <w:sz w:val="17"/>
                <w:szCs w:val="17"/>
                <w:u w:val="single" w:color="auto"/>
                <w:color w:val="0000FF"/>
                <w:w w:val="70"/>
              </w:rPr>
            </w:pPr>
            <w:hyperlink w:anchor="page20">
              <w:r>
                <w:rPr>
                  <w:rFonts w:ascii="Arial" w:cs="Arial" w:eastAsia="Arial" w:hAnsi="Arial"/>
                  <w:sz w:val="17"/>
                  <w:szCs w:val="17"/>
                  <w:u w:val="single" w:color="auto"/>
                  <w:color w:val="0000FF"/>
                  <w:w w:val="70"/>
                </w:rPr>
                <w:t>9.</w:t>
              </w:r>
            </w:hyperlink>
          </w:p>
        </w:tc>
        <w:tc>
          <w:tcPr>
            <w:tcW w:w="9780" w:type="dxa"/>
            <w:vAlign w:val="bottom"/>
            <w:gridSpan w:val="19"/>
          </w:tcPr>
          <w:p>
            <w:pPr>
              <w:ind w:left="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Partners’ Capital and Distributions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30"/>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20" w:type="dxa"/>
            <w:vAlign w:val="bottom"/>
            <w:gridSpan w:val="20"/>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10. Derivatives and Risk Management Activities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20" w:type="dxa"/>
            <w:vAlign w:val="bottom"/>
            <w:gridSpan w:val="20"/>
          </w:tcPr>
          <w:p>
            <w:pPr>
              <w:ind w:left="20"/>
              <w:spacing w:after="0" w:line="190" w:lineRule="exact"/>
              <w:rPr>
                <w:rFonts w:ascii="Arial" w:cs="Arial" w:eastAsia="Arial" w:hAnsi="Arial"/>
                <w:sz w:val="18"/>
                <w:szCs w:val="18"/>
                <w:color w:val="0000FF"/>
              </w:rPr>
            </w:pPr>
            <w:r>
              <w:rPr>
                <w:rFonts w:ascii="Arial" w:cs="Arial" w:eastAsia="Arial" w:hAnsi="Arial"/>
                <w:sz w:val="18"/>
                <w:szCs w:val="18"/>
                <w:color w:val="0000FF"/>
              </w:rPr>
              <w:t xml:space="preserve">11. </w:t>
            </w:r>
            <w:hyperlink w:anchor="page27">
              <w:r>
                <w:rPr>
                  <w:rFonts w:ascii="Arial" w:cs="Arial" w:eastAsia="Arial" w:hAnsi="Arial"/>
                  <w:sz w:val="18"/>
                  <w:szCs w:val="18"/>
                  <w:u w:val="single" w:color="auto"/>
                  <w:color w:val="0000FF"/>
                </w:rPr>
                <w:t>Related Party Transactions</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64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9"/>
        </w:trPr>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20" w:type="dxa"/>
            <w:vAlign w:val="bottom"/>
            <w:gridSpan w:val="20"/>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12. Commitments and Contingencies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20" w:type="dxa"/>
            <w:vAlign w:val="bottom"/>
            <w:gridSpan w:val="20"/>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13. Operating Segments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r>
      <w:tr>
        <w:trPr>
          <w:trHeight w:val="230"/>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20"/>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14. Acquisitions, Divestitures and Asset Impairments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499"/>
        </w:trPr>
        <w:tc>
          <w:tcPr>
            <w:tcW w:w="10240" w:type="dxa"/>
            <w:vAlign w:val="bottom"/>
            <w:gridSpan w:val="22"/>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 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3. 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61</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4. 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499"/>
        </w:trPr>
        <w:tc>
          <w:tcPr>
            <w:tcW w:w="10240" w:type="dxa"/>
            <w:vAlign w:val="bottom"/>
            <w:gridSpan w:val="22"/>
          </w:tcPr>
          <w:p>
            <w:pPr>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PART II. OTHER INFORMATION</w:t>
              </w:r>
            </w:hyperlink>
          </w:p>
        </w:tc>
        <w:tc>
          <w:tcPr>
            <w:tcW w:w="980" w:type="dxa"/>
            <w:vAlign w:val="bottom"/>
          </w:tcPr>
          <w:p>
            <w:pPr>
              <w:spacing w:after="0"/>
              <w:rPr>
                <w:sz w:val="24"/>
                <w:szCs w:val="24"/>
                <w:color w:val="auto"/>
              </w:rPr>
            </w:pPr>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 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63</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63</w:t>
              </w:r>
            </w:hyperlink>
          </w:p>
        </w:tc>
      </w:tr>
      <w:tr>
        <w:trPr>
          <w:trHeight w:val="229"/>
        </w:trPr>
        <w:tc>
          <w:tcPr>
            <w:tcW w:w="10240" w:type="dxa"/>
            <w:vAlign w:val="bottom"/>
            <w:gridSpan w:val="2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2. 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 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4. 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5. 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29"/>
        </w:trPr>
        <w:tc>
          <w:tcPr>
            <w:tcW w:w="10240" w:type="dxa"/>
            <w:vAlign w:val="bottom"/>
            <w:gridSpan w:val="2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6. 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30"/>
        </w:trPr>
        <w:tc>
          <w:tcPr>
            <w:tcW w:w="10240" w:type="dxa"/>
            <w:vAlign w:val="bottom"/>
            <w:gridSpan w:val="2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(unaudited)</w:t>
            </w: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45</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3,614</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604</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312</w:t>
            </w:r>
          </w:p>
        </w:tc>
      </w:tr>
      <w:tr>
        <w:trPr>
          <w:trHeight w:val="31"/>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4,612</w:t>
            </w:r>
          </w:p>
        </w:tc>
      </w:tr>
      <w:tr>
        <w:trPr>
          <w:trHeight w:val="88"/>
        </w:trPr>
        <w:tc>
          <w:tcPr>
            <w:tcW w:w="82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17,927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18,948</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(3,525)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(3,593)</w:t>
            </w:r>
          </w:p>
        </w:tc>
      </w:tr>
      <w:tr>
        <w:trPr>
          <w:trHeight w:val="31"/>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14,402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15,355</w:t>
            </w:r>
          </w:p>
        </w:tc>
      </w:tr>
      <w:tr>
        <w:trPr>
          <w:trHeight w:val="88"/>
        </w:trPr>
        <w:tc>
          <w:tcPr>
            <w:tcW w:w="82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3,714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3,683</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2,540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981</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466</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182</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858</w:t>
            </w:r>
          </w:p>
        </w:tc>
      </w:tr>
      <w:tr>
        <w:trPr>
          <w:trHeight w:val="248"/>
        </w:trPr>
        <w:tc>
          <w:tcPr>
            <w:tcW w:w="82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23,700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7"/>
        </w:trPr>
        <w:tc>
          <w:tcPr>
            <w:tcW w:w="8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9"/>
        </w:trPr>
        <w:tc>
          <w:tcPr>
            <w:tcW w:w="8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3,686</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504</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827</w:t>
            </w:r>
          </w:p>
        </w:tc>
      </w:tr>
      <w:tr>
        <w:trPr>
          <w:trHeight w:val="219"/>
        </w:trPr>
        <w:tc>
          <w:tcPr>
            <w:tcW w:w="824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3,357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5,017</w:t>
            </w:r>
          </w:p>
        </w:tc>
      </w:tr>
      <w:tr>
        <w:trPr>
          <w:trHeight w:val="31"/>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88"/>
        </w:trPr>
        <w:tc>
          <w:tcPr>
            <w:tcW w:w="8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8,941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8,939</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248</w:t>
            </w:r>
          </w:p>
        </w:tc>
      </w:tr>
      <w:tr>
        <w:trPr>
          <w:trHeight w:val="31"/>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891</w:t>
            </w:r>
          </w:p>
        </w:tc>
      </w:tr>
      <w:tr>
        <w:trPr>
          <w:trHeight w:val="31"/>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10,621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10,465</w:t>
            </w:r>
          </w:p>
        </w:tc>
      </w:tr>
      <w:tr>
        <w:trPr>
          <w:trHeight w:val="88"/>
        </w:trPr>
        <w:tc>
          <w:tcPr>
            <w:tcW w:w="82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54"/>
        </w:trPr>
        <w:tc>
          <w:tcPr>
            <w:tcW w:w="8240" w:type="dxa"/>
            <w:vAlign w:val="bottom"/>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60" w:type="dxa"/>
            <w:vAlign w:val="bottom"/>
          </w:tcPr>
          <w:p>
            <w:pPr>
              <w:spacing w:after="0"/>
              <w:rPr>
                <w:sz w:val="22"/>
                <w:szCs w:val="22"/>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1,505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1,505</w:t>
            </w:r>
          </w:p>
        </w:tc>
      </w:tr>
      <w:tr>
        <w:trPr>
          <w:trHeight w:val="25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787</w:t>
            </w:r>
          </w:p>
        </w:tc>
      </w:tr>
      <w:tr>
        <w:trPr>
          <w:trHeight w:val="25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unitholders (728,053,007 and 728,028,576 units outstanding, respectively)</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7,287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10,770</w:t>
            </w:r>
          </w:p>
        </w:tc>
      </w:tr>
      <w:tr>
        <w:trPr>
          <w:trHeight w:val="23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partners’ capital excluding 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13,062</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133</w:t>
            </w:r>
          </w:p>
        </w:tc>
      </w:tr>
      <w:tr>
        <w:trPr>
          <w:trHeight w:val="31"/>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13,195</w:t>
            </w:r>
          </w:p>
        </w:tc>
      </w:tr>
      <w:tr>
        <w:trPr>
          <w:trHeight w:val="248"/>
        </w:trPr>
        <w:tc>
          <w:tcPr>
            <w:tcW w:w="8240" w:type="dxa"/>
            <w:vAlign w:val="bottom"/>
          </w:tcPr>
          <w:p>
            <w:pPr>
              <w:ind w:left="12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23,700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28,677</w:t>
            </w:r>
          </w:p>
        </w:tc>
      </w:tr>
      <w:tr>
        <w:trPr>
          <w:trHeight w:val="23"/>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74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4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96"/>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7,907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8,022</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156</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8,375</w:t>
            </w:r>
          </w:p>
        </w:tc>
      </w:tr>
      <w:tr>
        <w:trPr>
          <w:trHeight w:val="216"/>
        </w:trPr>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7,119</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326</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76</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14)</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 (Note 6)</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600" w:type="dxa"/>
            <w:vAlign w:val="bottom"/>
          </w:tcPr>
          <w:p>
            <w:pPr>
              <w:ind w:left="1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11,042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7,661</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714</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 (Note 7)</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267</w:t>
            </w: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 of $6 and $11, respectively)</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994</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970</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970</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917</w:t>
            </w:r>
          </w:p>
        </w:tc>
      </w:tr>
      <w:tr>
        <w:trPr>
          <w:trHeight w:val="270"/>
        </w:trPr>
        <w:tc>
          <w:tcPr>
            <w:tcW w:w="8600" w:type="dxa"/>
            <w:vAlign w:val="bottom"/>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727</w:t>
            </w:r>
          </w:p>
        </w:tc>
      </w:tr>
      <w:tr>
        <w:trPr>
          <w:trHeight w:val="295"/>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957</w:t>
            </w:r>
          </w:p>
        </w:tc>
      </w:tr>
      <w:tr>
        <w:trPr>
          <w:trHeight w:val="270"/>
        </w:trPr>
        <w:tc>
          <w:tcPr>
            <w:tcW w:w="8600" w:type="dxa"/>
            <w:vAlign w:val="bottom"/>
          </w:tcPr>
          <w:p>
            <w:pPr>
              <w:ind w:left="14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800</w:t>
            </w:r>
          </w:p>
        </w:tc>
      </w:tr>
      <w:tr>
        <w:trPr>
          <w:trHeight w:val="295"/>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3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970</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58</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1,028</w:t>
            </w:r>
          </w:p>
        </w:tc>
      </w:tr>
      <w:tr>
        <w:trPr>
          <w:trHeight w:val="27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1,028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ind w:left="86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ind w:left="86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970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(Gains)/losses on asset sales and asset impairments, net (Note 14)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Goodwill impairment losses (Note 6)</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Inventory valuation adjustments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income tax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Loss on foreign currency revaluation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on earnings from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(Gain on)/impairment of investments in unconsolidated entities, net (Note 7)</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182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1,033</w:t>
            </w:r>
          </w:p>
        </w:tc>
      </w:tr>
      <w:tr>
        <w:trPr>
          <w:trHeight w:val="183"/>
        </w:trPr>
        <w:tc>
          <w:tcPr>
            <w:tcW w:w="8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in connection with acquisitions, net of cash acquired (Note 14)</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 (Note 14)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 and base gas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repayments under commercial paper program (Note 8)</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borrowings under senior secured hedged inventory facility (Note 8)</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paid to Series A preferred unitholders (Note 9)</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common unitholders (Note 9)</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r>
      <w:tr>
        <w:trPr>
          <w:trHeight w:val="236"/>
        </w:trPr>
        <w:tc>
          <w:tcPr>
            <w:tcW w:w="82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469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Income taxes, net of amounts refunded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65</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46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Limited Partners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Partners’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30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3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Preferred Unitholders</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3"/>
          </w:tcPr>
          <w:p>
            <w:pPr>
              <w:jc w:val="center"/>
              <w:ind w:right="280"/>
              <w:spacing w:after="0" w:line="111"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9"/>
                <w:szCs w:val="9"/>
                <w:color w:val="auto"/>
              </w:rPr>
            </w:pPr>
          </w:p>
        </w:tc>
        <w:tc>
          <w:tcPr>
            <w:tcW w:w="1300" w:type="dxa"/>
            <w:vAlign w:val="bottom"/>
            <w:gridSpan w:val="3"/>
          </w:tcPr>
          <w:p>
            <w:pPr>
              <w:jc w:val="center"/>
              <w:ind w:right="180"/>
              <w:spacing w:after="0" w:line="111" w:lineRule="exact"/>
              <w:rPr>
                <w:sz w:val="20"/>
                <w:szCs w:val="20"/>
                <w:color w:val="auto"/>
              </w:rPr>
            </w:pPr>
            <w:r>
              <w:rPr>
                <w:rFonts w:ascii="Arial" w:cs="Arial" w:eastAsia="Arial" w:hAnsi="Arial"/>
                <w:sz w:val="12"/>
                <w:szCs w:val="12"/>
                <w:b w:val="1"/>
                <w:bCs w:val="1"/>
                <w:color w:val="auto"/>
              </w:rPr>
              <w:t>Noncontrolling</w:t>
            </w:r>
          </w:p>
        </w:tc>
        <w:tc>
          <w:tcPr>
            <w:tcW w:w="1380" w:type="dxa"/>
            <w:vAlign w:val="bottom"/>
            <w:gridSpan w:val="4"/>
          </w:tcPr>
          <w:p>
            <w:pPr>
              <w:jc w:val="center"/>
              <w:ind w:right="100"/>
              <w:spacing w:after="0" w:line="111"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1140" w:type="dxa"/>
            <w:vAlign w:val="bottom"/>
          </w:tcPr>
          <w:p>
            <w:pPr>
              <w:jc w:val="center"/>
              <w:ind w:right="36"/>
              <w:spacing w:after="0" w:line="111" w:lineRule="exact"/>
              <w:rPr>
                <w:sz w:val="20"/>
                <w:szCs w:val="20"/>
                <w:color w:val="auto"/>
              </w:rPr>
            </w:pPr>
            <w:r>
              <w:rPr>
                <w:rFonts w:ascii="Arial" w:cs="Arial" w:eastAsia="Arial" w:hAnsi="Arial"/>
                <w:sz w:val="12"/>
                <w:szCs w:val="12"/>
                <w:b w:val="1"/>
                <w:bCs w:val="1"/>
                <w:color w:val="auto"/>
              </w:rPr>
              <w:t>Partners’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Series A</w:t>
            </w:r>
          </w:p>
        </w:tc>
        <w:tc>
          <w:tcPr>
            <w:tcW w:w="11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Series B</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Interests</w:t>
            </w: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10,770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13,195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income/(loss)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(2,896)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Contributions from noncontrolling</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interests (Note 9)</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7,287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9,579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9,722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5"/>
              </w:rPr>
              <w:t>Limited Partners</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ind w:right="59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6"/>
            <w:vMerge w:val="restart"/>
          </w:tcPr>
          <w:p>
            <w:pPr>
              <w:jc w:val="right"/>
              <w:ind w:right="108"/>
              <w:spacing w:after="0"/>
              <w:rPr>
                <w:sz w:val="20"/>
                <w:szCs w:val="20"/>
                <w:color w:val="auto"/>
              </w:rPr>
            </w:pPr>
            <w:r>
              <w:rPr>
                <w:rFonts w:ascii="Arial" w:cs="Arial" w:eastAsia="Arial" w:hAnsi="Arial"/>
                <w:sz w:val="14"/>
                <w:szCs w:val="14"/>
                <w:b w:val="1"/>
                <w:bCs w:val="1"/>
                <w:color w:val="auto"/>
                <w:w w:val="93"/>
              </w:rPr>
              <w:t>Preferred Unitholders</w:t>
            </w: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jc w:val="center"/>
              <w:ind w:left="297"/>
              <w:spacing w:after="0" w:line="125" w:lineRule="exact"/>
              <w:rPr>
                <w:sz w:val="20"/>
                <w:szCs w:val="20"/>
                <w:color w:val="auto"/>
              </w:rPr>
            </w:pPr>
            <w:r>
              <w:rPr>
                <w:rFonts w:ascii="Arial" w:cs="Arial" w:eastAsia="Arial" w:hAnsi="Arial"/>
                <w:sz w:val="14"/>
                <w:szCs w:val="14"/>
                <w:b w:val="1"/>
                <w:bCs w:val="1"/>
                <w:color w:val="auto"/>
                <w:w w:val="95"/>
              </w:rPr>
              <w:t>Common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476"/>
              <w:spacing w:after="0" w:line="125" w:lineRule="exact"/>
              <w:rPr>
                <w:sz w:val="20"/>
                <w:szCs w:val="20"/>
                <w:color w:val="auto"/>
              </w:rPr>
            </w:pPr>
            <w:r>
              <w:rPr>
                <w:rFonts w:ascii="Arial" w:cs="Arial" w:eastAsia="Arial" w:hAnsi="Arial"/>
                <w:sz w:val="14"/>
                <w:szCs w:val="14"/>
                <w:b w:val="1"/>
                <w:bCs w:val="1"/>
                <w:color w:val="auto"/>
                <w:w w:val="95"/>
              </w:rPr>
              <w:t>Partners’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Series A</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b w:val="1"/>
                <w:bCs w:val="1"/>
                <w:color w:val="auto"/>
                <w:w w:val="89"/>
              </w:rPr>
              <w:t>Series B</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5"/>
              </w:rPr>
              <w:t>Unitholders</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96"/>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7"/>
          </w:tcPr>
          <w:p>
            <w:pPr>
              <w:ind w:left="840"/>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9,710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12,002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08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787</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87"/>
              </w:rPr>
              <w:t>10,470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12,762</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March 31, 2020, AAP also owned a limited partner interest in us through its ownership of approximately 248.4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2020, owned an approximate 75% limited partner interest in AAP. PAA GP Holdings LLC (“PAGP GP”) is the general partner of PAGP.</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MMbls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TWh</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months ended March 31, 2020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has been exacerbated by increases in production from certain suppliers in the global oil markets. These macroeconomic and industry specific challenges resulted in a number of impairment charges recognized during the first quarter. See Note 6 and Note 14 for further discussion of these impairments.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37</w:t>
            </w:r>
          </w:p>
        </w:tc>
      </w:tr>
      <w:tr>
        <w:trPr>
          <w:trHeight w:val="27"/>
        </w:trPr>
        <w:tc>
          <w:tcPr>
            <w:tcW w:w="8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three months ended March 31,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right="100" w:firstLine="357"/>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3"/>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 xml:space="preserve">In March 2020, the FASB issued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GAAP to contracts, hedging relationships and other transactions that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14"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6,936</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910</w:t>
            </w:r>
          </w:p>
        </w:tc>
      </w:tr>
      <w:tr>
        <w:trPr>
          <w:trHeight w:val="263"/>
        </w:trPr>
        <w:tc>
          <w:tcPr>
            <w:tcW w:w="860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7,846</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24"/>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478</w:t>
            </w:r>
          </w:p>
        </w:tc>
      </w:tr>
      <w:tr>
        <w:trPr>
          <w:trHeight w:val="243"/>
        </w:trPr>
        <w:tc>
          <w:tcPr>
            <w:tcW w:w="8600" w:type="dxa"/>
            <w:vAlign w:val="bottom"/>
          </w:tcPr>
          <w:p>
            <w:pPr>
              <w:ind w:left="220"/>
              <w:spacing w:after="0"/>
              <w:rPr>
                <w:sz w:val="20"/>
                <w:szCs w:val="20"/>
                <w:color w:val="auto"/>
              </w:rPr>
            </w:pPr>
            <w:r>
              <w:rPr>
                <w:rFonts w:ascii="Arial" w:cs="Arial" w:eastAsia="Arial" w:hAnsi="Arial"/>
                <w:sz w:val="18"/>
                <w:szCs w:val="18"/>
                <w:color w:val="auto"/>
              </w:rPr>
              <w:t>NGL pipelines</w:t>
            </w: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27</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505</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Trucking</w:t>
            </w: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39</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544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5"/>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176</w:t>
            </w: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87</w:t>
            </w: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700" w:firstLine="360"/>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3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 agreed</w:t>
      </w:r>
      <w:r>
        <w:rPr>
          <w:rFonts w:ascii="Arial" w:cs="Arial" w:eastAsia="Arial" w:hAnsi="Arial"/>
          <w:sz w:val="17"/>
          <w:szCs w:val="17"/>
          <w:i w:val="1"/>
          <w:iCs w:val="1"/>
          <w:color w:val="auto"/>
        </w:rPr>
        <w:t xml:space="preserve"> </w:t>
      </w:r>
      <w:r>
        <w:rPr>
          <w:rFonts w:ascii="Arial" w:cs="Arial" w:eastAsia="Arial" w:hAnsi="Arial"/>
          <w:sz w:val="17"/>
          <w:szCs w:val="17"/>
          <w:color w:val="auto"/>
        </w:rPr>
        <w:t>upon period. At March 31, 2020 and December 31, 2019, counterparty deficiencies associated with contracts with customers and buy/sell arrangements that include minimum volume commitments totaled $22 million and $42 million, respectively, of which $18 million and $22 million, respectively, was recorded as a contract liability. The remaining balance of $4 million and $20 million at March 31, 2020 and December 31, 2019,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205"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three months ended March 31, 2020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r>
      <w:tr>
        <w:trPr>
          <w:trHeight w:val="295"/>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354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Pr>
          <w:p>
            <w:pPr>
              <w:spacing w:after="0"/>
              <w:rPr>
                <w:sz w:val="18"/>
                <w:szCs w:val="18"/>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(242)</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w:t>
            </w:r>
          </w:p>
        </w:tc>
      </w:tr>
      <w:tr>
        <w:trPr>
          <w:trHeight w:val="263"/>
        </w:trPr>
        <w:tc>
          <w:tcPr>
            <w:tcW w:w="92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148</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2020 (in millions):</w:t>
      </w:r>
    </w:p>
    <w:p>
      <w:pPr>
        <w:spacing w:after="0" w:line="237"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114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Remainder of</w:t>
            </w: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1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2025 and</w:t>
            </w:r>
          </w:p>
        </w:tc>
        <w:tc>
          <w:tcPr>
            <w:tcW w:w="0" w:type="dxa"/>
            <w:vAlign w:val="bottom"/>
          </w:tcPr>
          <w:p>
            <w:pPr>
              <w:spacing w:after="0"/>
              <w:rPr>
                <w:sz w:val="1"/>
                <w:szCs w:val="1"/>
                <w:color w:val="auto"/>
              </w:rPr>
            </w:pPr>
          </w:p>
        </w:tc>
      </w:tr>
      <w:tr>
        <w:trPr>
          <w:trHeight w:val="186"/>
        </w:trPr>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80" w:type="dxa"/>
        <w:tblCellMar>
          <w:top w:w="0" w:type="dxa"/>
          <w:left w:w="0" w:type="dxa"/>
          <w:bottom w:w="0" w:type="dxa"/>
          <w:right w:w="0" w:type="dxa"/>
        </w:tblCellMar>
      </w:tblPr>
      <w:tr>
        <w:trPr>
          <w:trHeight w:val="188"/>
        </w:trPr>
        <w:tc>
          <w:tcPr>
            <w:tcW w:w="4160" w:type="dxa"/>
            <w:vAlign w:val="bottom"/>
          </w:tcPr>
          <w:p>
            <w:pPr>
              <w:spacing w:after="0" w:line="188"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9"/>
        </w:trPr>
        <w:tc>
          <w:tcPr>
            <w:tcW w:w="4160" w:type="dxa"/>
            <w:vAlign w:val="bottom"/>
          </w:tcPr>
          <w:p>
            <w:pPr>
              <w:ind w:left="160"/>
              <w:spacing w:after="0"/>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89"/>
              </w:rPr>
              <w:t>Storage, terminalling and throughput agreement revenues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1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124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553</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307</w:t>
            </w:r>
          </w:p>
        </w:tc>
        <w:tc>
          <w:tcPr>
            <w:tcW w:w="3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367</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431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920</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-213995</wp:posOffset>
            </wp:positionV>
            <wp:extent cx="706374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-642620</wp:posOffset>
            </wp:positionV>
            <wp:extent cx="706374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540"/>
            <w:col w:w="6340"/>
          </w:cols>
          <w:pgMar w:left="320" w:top="125" w:right="33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right="20" w:firstLine="357"/>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350"/>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93"/>
              </w:rPr>
              <w:t>1,796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3,381</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1060" w:type="dxa"/>
            <w:vAlign w:val="bottom"/>
          </w:tcPr>
          <w:p>
            <w:pPr>
              <w:jc w:val="center"/>
              <w:ind w:left="276"/>
              <w:spacing w:after="0"/>
              <w:rPr>
                <w:sz w:val="20"/>
                <w:szCs w:val="20"/>
                <w:color w:val="auto"/>
              </w:rPr>
            </w:pPr>
            <w:r>
              <w:rPr>
                <w:rFonts w:ascii="Arial" w:cs="Arial" w:eastAsia="Arial" w:hAnsi="Arial"/>
                <w:sz w:val="18"/>
                <w:szCs w:val="18"/>
                <w:color w:val="auto"/>
                <w:w w:val="93"/>
              </w:rPr>
              <w:t>2,668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left="90"/>
              <w:spacing w:after="0"/>
              <w:rPr>
                <w:sz w:val="20"/>
                <w:szCs w:val="20"/>
                <w:color w:val="auto"/>
              </w:rPr>
            </w:pPr>
            <w:r>
              <w:rPr>
                <w:rFonts w:ascii="Arial" w:cs="Arial" w:eastAsia="Arial" w:hAnsi="Arial"/>
                <w:sz w:val="18"/>
                <w:szCs w:val="18"/>
                <w:color w:val="auto"/>
                <w:w w:val="88"/>
              </w:rPr>
              <w:t>3,576</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256"/>
              <w:spacing w:after="0"/>
              <w:rPr>
                <w:sz w:val="20"/>
                <w:szCs w:val="20"/>
                <w:color w:val="auto"/>
              </w:rPr>
            </w:pPr>
            <w:r>
              <w:rPr>
                <w:rFonts w:ascii="Arial" w:cs="Arial" w:eastAsia="Arial" w:hAnsi="Arial"/>
                <w:sz w:val="18"/>
                <w:szCs w:val="18"/>
                <w:color w:val="auto"/>
                <w:w w:val="91"/>
              </w:rPr>
              <w:t>(2,264)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(3,343)</w:t>
            </w:r>
          </w:p>
        </w:tc>
        <w:tc>
          <w:tcPr>
            <w:tcW w:w="0" w:type="dxa"/>
            <w:vAlign w:val="bottom"/>
          </w:tcPr>
          <w:p>
            <w:pPr>
              <w:spacing w:after="0"/>
              <w:rPr>
                <w:sz w:val="1"/>
                <w:szCs w:val="1"/>
                <w:color w:val="auto"/>
              </w:rPr>
            </w:pPr>
          </w:p>
        </w:tc>
      </w:tr>
      <w:tr>
        <w:trPr>
          <w:trHeight w:val="263"/>
        </w:trPr>
        <w:tc>
          <w:tcPr>
            <w:tcW w:w="86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center"/>
              <w:ind w:left="276"/>
              <w:spacing w:after="0"/>
              <w:rPr>
                <w:sz w:val="20"/>
                <w:szCs w:val="20"/>
                <w:color w:val="auto"/>
              </w:rPr>
            </w:pPr>
            <w:r>
              <w:rPr>
                <w:rFonts w:ascii="Arial" w:cs="Arial" w:eastAsia="Arial" w:hAnsi="Arial"/>
                <w:sz w:val="18"/>
                <w:szCs w:val="18"/>
                <w:color w:val="auto"/>
                <w:w w:val="93"/>
              </w:rPr>
              <w:t>2,200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3,614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was excluded from the calculation of diluted net income/(loss) per common unit for the three months ended March 31, 2020 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months ended March 31, 2020 and 2019 were reduced by a hypothetical common unit repurchase based on the remaining unamortized fair value, as prescribed by the treasury stock method in guidance issued by the FASB. Potentially dilutive LTIP awards of approximately 1 million units were excluded from the computation of diluted net loss per common unit for the three months ended March 31, 2020 as the effect was antidilutive. See Note 18 to our Consolidated Financial Statements included in Part IV of our 2019 Annual Report on Form 10-K for a complete discussion of our equity-indexed compensation plan awards.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30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3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8600" w:type="dxa"/>
            <w:vAlign w:val="bottom"/>
          </w:tcPr>
          <w:p>
            <w:pPr>
              <w:ind w:left="180"/>
              <w:spacing w:after="0"/>
              <w:rPr>
                <w:sz w:val="20"/>
                <w:szCs w:val="20"/>
                <w:color w:val="auto"/>
              </w:rPr>
            </w:pPr>
            <w:r>
              <w:rPr>
                <w:rFonts w:ascii="Arial" w:cs="Arial" w:eastAsia="Arial" w:hAnsi="Arial"/>
                <w:sz w:val="18"/>
                <w:szCs w:val="18"/>
                <w:color w:val="auto"/>
              </w:rPr>
              <w:t>Net income/(loss) attributable to PAA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970</w:t>
            </w:r>
          </w:p>
        </w:tc>
      </w:tr>
      <w:tr>
        <w:trPr>
          <w:trHeight w:val="27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70"/>
        </w:trPr>
        <w:tc>
          <w:tcPr>
            <w:tcW w:w="860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8600" w:type="dxa"/>
            <w:vAlign w:val="bottom"/>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88"/>
        </w:trPr>
        <w:tc>
          <w:tcPr>
            <w:tcW w:w="8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917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r>
      <w:tr>
        <w:trPr>
          <w:trHeight w:val="257"/>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5"/>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8600" w:type="dxa"/>
            <w:vAlign w:val="bottom"/>
          </w:tcPr>
          <w:p>
            <w:pPr>
              <w:ind w:left="180"/>
              <w:spacing w:after="0"/>
              <w:rPr>
                <w:sz w:val="20"/>
                <w:szCs w:val="20"/>
                <w:color w:val="auto"/>
              </w:rPr>
            </w:pPr>
            <w:r>
              <w:rPr>
                <w:rFonts w:ascii="Arial" w:cs="Arial" w:eastAsia="Arial" w:hAnsi="Arial"/>
                <w:sz w:val="18"/>
                <w:szCs w:val="18"/>
                <w:color w:val="auto"/>
              </w:rPr>
              <w:t>Net income/(loss) attributable to PAA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970</w:t>
            </w:r>
          </w:p>
        </w:tc>
      </w:tr>
      <w:tr>
        <w:trPr>
          <w:trHeight w:val="270"/>
        </w:trPr>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 to Series A preferred unitholders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8600" w:type="dxa"/>
            <w:vAlign w:val="bottom"/>
          </w:tcPr>
          <w:p>
            <w:pPr>
              <w:ind w:left="400"/>
              <w:spacing w:after="0"/>
              <w:rPr>
                <w:sz w:val="20"/>
                <w:szCs w:val="20"/>
                <w:color w:val="auto"/>
              </w:rPr>
            </w:pPr>
            <w:r>
              <w:rPr>
                <w:rFonts w:ascii="Arial" w:cs="Arial" w:eastAsia="Arial" w:hAnsi="Arial"/>
                <w:sz w:val="18"/>
                <w:szCs w:val="18"/>
                <w:color w:val="auto"/>
              </w:rPr>
              <w:t>Distributions to Series B preferred unitholders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 to participating securities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63"/>
        </w:trPr>
        <w:tc>
          <w:tcPr>
            <w:tcW w:w="8600" w:type="dxa"/>
            <w:vAlign w:val="bottom"/>
          </w:tcPr>
          <w:p>
            <w:pPr>
              <w:ind w:left="180"/>
              <w:spacing w:after="0"/>
              <w:rPr>
                <w:sz w:val="20"/>
                <w:szCs w:val="20"/>
                <w:color w:val="auto"/>
              </w:rPr>
            </w:pPr>
            <w:r>
              <w:rPr>
                <w:rFonts w:ascii="Arial" w:cs="Arial" w:eastAsia="Arial" w:hAnsi="Arial"/>
                <w:sz w:val="18"/>
                <w:szCs w:val="18"/>
                <w:color w:val="auto"/>
              </w:rPr>
              <w:t xml:space="preserve">Net income allocated/(loss) to common unitholders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957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8600" w:type="dxa"/>
            <w:vAlign w:val="bottom"/>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727</w:t>
            </w:r>
          </w:p>
        </w:tc>
      </w:tr>
      <w:tr>
        <w:trPr>
          <w:trHeight w:val="230"/>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8600" w:type="dxa"/>
            <w:vAlign w:val="bottom"/>
          </w:tcPr>
          <w:p>
            <w:pPr>
              <w:ind w:left="400"/>
              <w:spacing w:after="0"/>
              <w:rPr>
                <w:sz w:val="20"/>
                <w:szCs w:val="20"/>
                <w:color w:val="auto"/>
              </w:rPr>
            </w:pPr>
            <w:r>
              <w:rPr>
                <w:rFonts w:ascii="Arial" w:cs="Arial" w:eastAsia="Arial" w:hAnsi="Arial"/>
                <w:sz w:val="18"/>
                <w:szCs w:val="18"/>
                <w:color w:val="auto"/>
              </w:rPr>
              <w:t>Series A preferred units</w:t>
            </w: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71</w:t>
            </w:r>
          </w:p>
        </w:tc>
      </w:tr>
      <w:tr>
        <w:trPr>
          <w:trHeight w:val="270"/>
        </w:trPr>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Equity-indexed compensation plan awards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63"/>
        </w:trPr>
        <w:tc>
          <w:tcPr>
            <w:tcW w:w="8600" w:type="dxa"/>
            <w:vAlign w:val="bottom"/>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800</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8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860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1.20</w:t>
            </w: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73"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Price/</w:t>
            </w:r>
          </w:p>
        </w:tc>
        <w:tc>
          <w:tcPr>
            <w:tcW w:w="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17.86</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10.52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right w:val="single" w:sz="8" w:color="auto"/>
            </w:tcBorders>
            <w:gridSpan w:val="2"/>
          </w:tcPr>
          <w:p>
            <w:pPr>
              <w:ind w:lef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14,251</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56.42</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4.30</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19.72</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11.40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298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$232 million during the three months ended March 31, 2020 related to the write-down of our crude oil and NGL inventory, of which $40 million is associated with our long-term inventory, due to declines in prices during the first quarter of 2020.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continues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9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2,511</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(2,511)</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 Interest</w:t>
            </w: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53"/>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00" w:type="dxa"/>
            <w:vAlign w:val="bottom"/>
            <w:vMerge w:val="restart"/>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at March 31,</w:t>
            </w:r>
          </w:p>
        </w:tc>
        <w:tc>
          <w:tcPr>
            <w:tcW w:w="220" w:type="dxa"/>
            <w:vAlign w:val="bottom"/>
          </w:tcPr>
          <w:p>
            <w:pPr>
              <w:spacing w:after="0"/>
              <w:rPr>
                <w:sz w:val="13"/>
                <w:szCs w:val="13"/>
                <w:color w:val="auto"/>
              </w:rPr>
            </w:pP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06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6"/>
        </w:trPr>
        <w:tc>
          <w:tcPr>
            <w:tcW w:w="4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4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Ford Terminals”)</w:t>
            </w:r>
          </w:p>
        </w:tc>
        <w:tc>
          <w:tcPr>
            <w:tcW w:w="2200" w:type="dxa"/>
            <w:vAlign w:val="bottom"/>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xml:space="preserve">Crude Oil Pipeline </w:t>
            </w:r>
            <w:r>
              <w:rPr>
                <w:rFonts w:ascii="Arial" w:cs="Arial" w:eastAsia="Arial" w:hAnsi="Arial"/>
                <w:sz w:val="23"/>
                <w:szCs w:val="23"/>
                <w:color w:val="auto"/>
                <w:w w:val="88"/>
                <w:vertAlign w:val="superscript"/>
              </w:rPr>
              <w:t>(3) (4)</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(3)</w:t>
            </w:r>
          </w:p>
        </w:tc>
        <w:tc>
          <w:tcPr>
            <w:tcW w:w="14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investments</w:t>
            </w: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and has not yet been placed in service.</w:t>
      </w:r>
    </w:p>
    <w:p>
      <w:pPr>
        <w:spacing w:after="0" w:line="117" w:lineRule="exact"/>
        <w:rPr>
          <w:sz w:val="20"/>
          <w:szCs w:val="20"/>
          <w:color w:val="auto"/>
        </w:rPr>
      </w:pPr>
    </w:p>
    <w:p>
      <w:pPr>
        <w:ind w:left="20" w:right="360" w:hanging="11"/>
        <w:spacing w:after="0" w:line="342" w:lineRule="auto"/>
        <w:rPr>
          <w:sz w:val="20"/>
          <w:szCs w:val="20"/>
          <w:color w:val="auto"/>
        </w:rPr>
      </w:pPr>
      <w:r>
        <w:rPr>
          <w:rFonts w:ascii="Arial" w:cs="Arial" w:eastAsia="Arial" w:hAnsi="Arial"/>
          <w:sz w:val="16"/>
          <w:szCs w:val="16"/>
          <w:color w:val="auto"/>
        </w:rPr>
        <w:t>In March 2020, the partners announced they were deferring the Red Oak pipeline project and suspending actions that would require additional capital spending on the project, and that they would re-evaluate demand for the project in light of recent market developments.</w:t>
      </w:r>
    </w:p>
    <w:p>
      <w:pPr>
        <w:spacing w:after="0" w:line="151"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39" w:lineRule="exact"/>
        <w:rPr>
          <w:sz w:val="20"/>
          <w:szCs w:val="20"/>
          <w:color w:val="auto"/>
        </w:rPr>
      </w:pPr>
    </w:p>
    <w:p>
      <w:pPr>
        <w:jc w:val="both"/>
        <w:ind w:right="540" w:firstLine="648"/>
        <w:spacing w:after="0" w:line="276" w:lineRule="auto"/>
        <w:rPr>
          <w:sz w:val="20"/>
          <w:szCs w:val="20"/>
          <w:color w:val="auto"/>
        </w:rPr>
      </w:pPr>
      <w:r>
        <w:rPr>
          <w:rFonts w:ascii="Arial" w:cs="Arial" w:eastAsia="Arial" w:hAnsi="Arial"/>
          <w:sz w:val="16"/>
          <w:szCs w:val="16"/>
          <w:color w:val="auto"/>
        </w:rPr>
        <w:t>During the three months ended March 31, 2020, we recognized a loss of $43 million related to the write-down of certain of our investments included in “Other investments” in the table above due to an other-than-temporary impairment related to a decline in market conditions. This loss is reflected in “Gain on/(impairment of) investments in unconsolidated entities, net” on our Condensed Consolidated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9" w:lineRule="exact"/>
        <w:rPr>
          <w:sz w:val="20"/>
          <w:szCs w:val="20"/>
          <w:color w:val="auto"/>
        </w:rPr>
      </w:pPr>
    </w:p>
    <w:p>
      <w:pPr>
        <w:ind w:right="100" w:firstLine="360"/>
        <w:spacing w:after="0" w:line="231"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30% interest. We recorded a gain of approximately $21 million related to this sale, which is included in “Gain on/(impairment of) investments in unconsolidated entities” on our Condensed Consolidated Statement of Operations. We continue to account for our remaining interest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Commercial paper notes, bearing a weighted-average interest rate of 2.2%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xml:space="preserve">Senior secured hedged inventory facility, bearing a weighted-average interest rate of 1.8% and 2.7%, respectively </w:t>
            </w:r>
            <w:r>
              <w:rPr>
                <w:rFonts w:ascii="Arial" w:cs="Arial" w:eastAsia="Arial" w:hAnsi="Arial"/>
                <w:sz w:val="23"/>
                <w:szCs w:val="23"/>
                <w:color w:val="auto"/>
                <w:w w:val="90"/>
                <w:vertAlign w:val="superscript"/>
              </w:rPr>
              <w:t>(1)</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Senior notes, net of unamortized discounts and debt issuance costs of $59 and $61, respectively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Senior secured hedged inventory facility, bearing a weighted-average interest rate of 1.8%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440" w:type="dxa"/>
            <w:vAlign w:val="bottom"/>
          </w:tcPr>
          <w:p>
            <w:pPr>
              <w:ind w:left="20"/>
              <w:spacing w:after="0" w:line="176" w:lineRule="exact"/>
              <w:rPr>
                <w:sz w:val="20"/>
                <w:szCs w:val="20"/>
                <w:color w:val="auto"/>
              </w:rPr>
            </w:pPr>
            <w:r>
              <w:rPr>
                <w:rFonts w:ascii="Arial" w:cs="Arial" w:eastAsia="Arial" w:hAnsi="Arial"/>
                <w:sz w:val="18"/>
                <w:szCs w:val="18"/>
                <w:color w:val="auto"/>
                <w:w w:val="90"/>
              </w:rPr>
              <w:t>GO Zone term loans, net of debt issuance costs of $1 and $1, respectively, bearing a weighted-average interest rate</w:t>
            </w:r>
          </w:p>
        </w:tc>
        <w:tc>
          <w:tcPr>
            <w:tcW w:w="2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of 2.5% and 2.6%, respectively</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8440" w:type="dxa"/>
            <w:vAlign w:val="bottom"/>
          </w:tcPr>
          <w:p>
            <w:pPr>
              <w:ind w:left="3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9,781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34"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classified these commercial paper notes and credit facility borrowings as short-term as of March 31, 2020 and December 31, 2019, as these notes and borrowings were primarily designated as working capital borrowings, were required to be repaid within one year and were primarily for hedged NGL and crude oil inventory and NYMEX and ICE margin deposits.</w:t>
      </w:r>
    </w:p>
    <w:p>
      <w:pPr>
        <w:spacing w:after="0" w:line="94" w:lineRule="exact"/>
        <w:rPr>
          <w:rFonts w:ascii="Arial" w:cs="Arial" w:eastAsia="Arial" w:hAnsi="Arial"/>
          <w:sz w:val="23"/>
          <w:szCs w:val="23"/>
          <w:color w:val="auto"/>
          <w:vertAlign w:val="superscript"/>
        </w:rPr>
      </w:pPr>
    </w:p>
    <w:p>
      <w:pPr>
        <w:ind w:left="660" w:right="2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 of March 31, 2020, we classified our $600 million, 5.00% senior notes due February 2021 and a portion of our senior secured hedged inventory facility borrowings as long-term based on our ability and intent to refinance such amounts on a long-term basis.</w:t>
      </w:r>
    </w:p>
    <w:p>
      <w:pPr>
        <w:spacing w:after="0" w:line="94" w:lineRule="exact"/>
        <w:rPr>
          <w:rFonts w:ascii="Arial" w:cs="Arial" w:eastAsia="Arial" w:hAnsi="Arial"/>
          <w:sz w:val="23"/>
          <w:szCs w:val="23"/>
          <w:color w:val="auto"/>
          <w:vertAlign w:val="superscript"/>
        </w:rPr>
      </w:pPr>
    </w:p>
    <w:p>
      <w:pPr>
        <w:ind w:left="660" w:hanging="652"/>
        <w:spacing w:after="0" w:line="252" w:lineRule="auto"/>
        <w:tabs>
          <w:tab w:leader="none" w:pos="648"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Our fixed-rate senior notes had a face value of approximately $9.0 billion at both March 31, 2020 and December 31, 2019. We estimated the aggregate fair value of these notes as of March 31, 2020 and December 31, 2019 to be approximately $7.2 billion and $9.3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three months ended March 31, 2020 and 2019 were approximately $9.6 billion and $0.5 billion, respectively. Total repayments under our credit facilities and commercial paper program were approximately $9.6 billion and $0.5 billion for the three months ended March 31,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2020 and December 31, 2019, we had outstanding letters of credit of $106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3"/>
                <w:szCs w:val="13"/>
                <w:color w:val="auto"/>
              </w:rPr>
            </w:pPr>
          </w:p>
        </w:tc>
        <w:tc>
          <w:tcPr>
            <w:tcW w:w="14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728,028,576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
              <w:spacing w:after="0"/>
              <w:rPr>
                <w:sz w:val="20"/>
                <w:szCs w:val="20"/>
                <w:color w:val="auto"/>
              </w:rPr>
            </w:pPr>
            <w:r>
              <w:rPr>
                <w:rFonts w:ascii="Arial" w:cs="Arial" w:eastAsia="Arial" w:hAnsi="Arial"/>
                <w:sz w:val="18"/>
                <w:szCs w:val="18"/>
                <w:color w:val="auto"/>
              </w:rPr>
              <w:t>24,431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728,053,007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Series A</w:t>
            </w: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3"/>
                <w:szCs w:val="13"/>
                <w:color w:val="auto"/>
              </w:rPr>
            </w:pPr>
          </w:p>
        </w:tc>
        <w:tc>
          <w:tcPr>
            <w:tcW w:w="14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71,090,468</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800,000</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726,361,924</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423,889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71,090,468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726,785,813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2020 (in millions, except per unit data):</w:t>
      </w: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351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3511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3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February 14, 2020</w:t>
            </w:r>
          </w:p>
        </w:tc>
        <w:tc>
          <w:tcPr>
            <w:tcW w:w="3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002" w:hanging="1002"/>
        <w:spacing w:after="0"/>
        <w:tabs>
          <w:tab w:leader="none" w:pos="1002" w:val="left"/>
        </w:tabs>
        <w:numPr>
          <w:ilvl w:val="0"/>
          <w:numId w:val="10"/>
        </w:numPr>
        <w:rPr>
          <w:rFonts w:ascii="Arial" w:cs="Arial" w:eastAsia="Arial" w:hAnsi="Arial"/>
          <w:sz w:val="15"/>
          <w:szCs w:val="15"/>
          <w:color w:val="auto"/>
        </w:rPr>
      </w:pPr>
      <w:r>
        <w:rPr>
          <w:rFonts w:ascii="Arial" w:cs="Arial" w:eastAsia="Arial" w:hAnsi="Arial"/>
          <w:sz w:val="15"/>
          <w:szCs w:val="15"/>
          <w:color w:val="auto"/>
        </w:rPr>
        <w:t>0.525</w:t>
      </w:r>
    </w:p>
    <w:p>
      <w:pPr>
        <w:spacing w:after="0" w:line="97" w:lineRule="exact"/>
        <w:rPr>
          <w:rFonts w:ascii="Arial" w:cs="Arial" w:eastAsia="Arial" w:hAnsi="Arial"/>
          <w:sz w:val="15"/>
          <w:szCs w:val="15"/>
          <w:color w:val="auto"/>
        </w:rPr>
      </w:pPr>
    </w:p>
    <w:p>
      <w:pPr>
        <w:ind w:left="1002" w:hanging="1002"/>
        <w:spacing w:after="0"/>
        <w:tabs>
          <w:tab w:leader="none" w:pos="1002" w:val="left"/>
        </w:tabs>
        <w:numPr>
          <w:ilvl w:val="0"/>
          <w:numId w:val="10"/>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260" w:space="378"/>
            <w:col w:w="1582"/>
          </w:cols>
          <w:pgMar w:left="320" w:top="125" w:right="359" w:bottom="1440" w:gutter="0" w:footer="0" w:header="0"/>
          <w:type w:val="continuous"/>
        </w:sectPr>
      </w:pPr>
    </w:p>
    <w:p>
      <w:pPr>
        <w:spacing w:after="0" w:line="366" w:lineRule="exact"/>
        <w:rPr>
          <w:sz w:val="20"/>
          <w:szCs w:val="20"/>
          <w:color w:val="auto"/>
        </w:rPr>
      </w:pPr>
    </w:p>
    <w:p>
      <w:pPr>
        <w:ind w:left="660" w:right="20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May 1, 2020 for the period from January 1, 2020 through March 31, 2020. At March 31, 2020,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to be paid to our Series B preferred unitholders (in millions, except per unit data):</w:t>
      </w:r>
    </w:p>
    <w:p>
      <w:pPr>
        <w:spacing w:after="0" w:line="219"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ind w:left="20"/>
        <w:spacing w:after="0"/>
        <w:tabs>
          <w:tab w:leader="none" w:pos="7820" w:val="left"/>
          <w:tab w:leader="none" w:pos="8920" w:val="left"/>
        </w:tabs>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22" w:hanging="922"/>
        <w:spacing w:after="0"/>
        <w:tabs>
          <w:tab w:leader="none" w:pos="922" w:val="left"/>
        </w:tabs>
        <w:numPr>
          <w:ilvl w:val="0"/>
          <w:numId w:val="12"/>
        </w:numPr>
        <w:rPr>
          <w:rFonts w:ascii="Arial" w:cs="Arial" w:eastAsia="Arial" w:hAnsi="Arial"/>
          <w:sz w:val="15"/>
          <w:szCs w:val="15"/>
          <w:color w:val="auto"/>
        </w:rPr>
      </w:pPr>
      <w:r>
        <w:rPr>
          <w:rFonts w:ascii="Arial" w:cs="Arial" w:eastAsia="Arial" w:hAnsi="Arial"/>
          <w:sz w:val="15"/>
          <w:szCs w:val="15"/>
          <w:color w:val="auto"/>
        </w:rPr>
        <w:t>30.625</w:t>
      </w:r>
    </w:p>
    <w:p>
      <w:pPr>
        <w:spacing w:after="0" w:line="291" w:lineRule="exact"/>
        <w:rPr>
          <w:sz w:val="20"/>
          <w:szCs w:val="20"/>
          <w:color w:val="auto"/>
        </w:rPr>
      </w:pPr>
    </w:p>
    <w:p>
      <w:pPr>
        <w:sectPr>
          <w:pgSz w:w="11900" w:h="16838" w:orient="portrait"/>
          <w:cols w:equalWidth="0" w:num="2">
            <w:col w:w="9260" w:space="378"/>
            <w:col w:w="1602"/>
          </w:cols>
          <w:pgMar w:left="320" w:top="125" w:right="339" w:bottom="1440" w:gutter="0" w:footer="0" w:header="0"/>
          <w:type w:val="continuous"/>
        </w:sectPr>
      </w:pPr>
    </w:p>
    <w:p>
      <w:pPr>
        <w:spacing w:after="0" w:line="309"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2020 for the period from November 15, 2019 through May 14, 2020.</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March 31, 2020, approximately $18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(in millions, except per unit data):</w:t>
      </w:r>
    </w:p>
    <w:p>
      <w:pPr>
        <w:sectPr>
          <w:pgSz w:w="11900" w:h="16838" w:orient="portrait"/>
          <w:cols w:equalWidth="0" w:num="1">
            <w:col w:w="11240"/>
          </w:cols>
          <w:pgMar w:left="320" w:top="125" w:right="339" w:bottom="1440" w:gutter="0" w:footer="0" w:header="0"/>
          <w:type w:val="continuous"/>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5"/>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Common Unitholders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Public</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AAP</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r>
      <w:tr>
        <w:trPr>
          <w:trHeight w:val="282"/>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xml:space="preserve">May 15, 2020 </w:t>
            </w:r>
            <w:r>
              <w:rPr>
                <w:rFonts w:ascii="Arial" w:cs="Arial" w:eastAsia="Arial" w:hAnsi="Arial"/>
                <w:sz w:val="23"/>
                <w:szCs w:val="23"/>
                <w:color w:val="auto"/>
                <w:vertAlign w:val="superscript"/>
              </w:rPr>
              <w:t>(1)</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4"/>
                <w:szCs w:val="24"/>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0"/>
                <w:szCs w:val="20"/>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098030" cy="351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84"/>
        <w:spacing w:after="0"/>
        <w:rPr>
          <w:sz w:val="20"/>
          <w:szCs w:val="20"/>
          <w:color w:val="auto"/>
        </w:rPr>
      </w:pPr>
      <w:r>
        <w:rPr>
          <w:rFonts w:ascii="Arial" w:cs="Arial" w:eastAsia="Arial" w:hAnsi="Arial"/>
          <w:sz w:val="13"/>
          <w:szCs w:val="13"/>
          <w:b w:val="1"/>
          <w:bCs w:val="1"/>
          <w:color w:val="auto"/>
        </w:rPr>
        <w:t>Cash Distribution per</w:t>
      </w:r>
    </w:p>
    <w:p>
      <w:pPr>
        <w:spacing w:after="0" w:line="15"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Common Unit</w:t>
      </w:r>
    </w:p>
    <w:p>
      <w:pPr>
        <w:spacing w:after="0" w:line="47" w:lineRule="exact"/>
        <w:rPr>
          <w:sz w:val="20"/>
          <w:szCs w:val="20"/>
          <w:color w:val="auto"/>
        </w:rPr>
      </w:pPr>
    </w:p>
    <w:p>
      <w:pPr>
        <w:ind w:left="1096" w:hanging="1096"/>
        <w:spacing w:after="0"/>
        <w:tabs>
          <w:tab w:leader="none" w:pos="10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0.18</w:t>
      </w:r>
    </w:p>
    <w:p>
      <w:pPr>
        <w:spacing w:after="0" w:line="74" w:lineRule="exact"/>
        <w:rPr>
          <w:rFonts w:ascii="Arial" w:cs="Arial" w:eastAsia="Arial" w:hAnsi="Arial"/>
          <w:sz w:val="17"/>
          <w:szCs w:val="17"/>
          <w:color w:val="auto"/>
        </w:rPr>
      </w:pPr>
    </w:p>
    <w:p>
      <w:pPr>
        <w:ind w:left="1096" w:hanging="1096"/>
        <w:spacing w:after="0"/>
        <w:tabs>
          <w:tab w:leader="none" w:pos="10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0.36</w:t>
      </w:r>
    </w:p>
    <w:p>
      <w:pPr>
        <w:spacing w:after="0" w:line="234" w:lineRule="exact"/>
        <w:rPr>
          <w:sz w:val="20"/>
          <w:szCs w:val="20"/>
          <w:color w:val="auto"/>
        </w:rPr>
      </w:pPr>
    </w:p>
    <w:p>
      <w:pPr>
        <w:sectPr>
          <w:pgSz w:w="11900" w:h="16838" w:orient="portrait"/>
          <w:cols w:equalWidth="0" w:num="2">
            <w:col w:w="9400" w:space="224"/>
            <w:col w:w="1616"/>
          </w:cols>
          <w:pgMar w:left="320" w:top="125" w:right="339" w:bottom="1440" w:gutter="0" w:footer="0" w:header="0"/>
          <w:type w:val="continuous"/>
        </w:sectPr>
      </w:pPr>
    </w:p>
    <w:p>
      <w:pPr>
        <w:spacing w:after="0" w:line="34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1, 2020 for the period from January 1, 2020 through March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During the three months ended March 31, 2020, we received $8 million of contributions from noncontrolling interests in Red River Pipeline Company LLC related to the Red River pipeline capacity expansion.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80" w:firstLine="607"/>
        <w:spacing w:after="0" w:line="311" w:lineRule="auto"/>
        <w:rPr>
          <w:sz w:val="20"/>
          <w:szCs w:val="20"/>
          <w:color w:val="auto"/>
        </w:rPr>
      </w:pPr>
      <w:r>
        <w:rPr>
          <w:rFonts w:ascii="Arial" w:cs="Arial" w:eastAsia="Arial" w:hAnsi="Arial"/>
          <w:sz w:val="16"/>
          <w:szCs w:val="16"/>
          <w:color w:val="auto"/>
        </w:rPr>
        <w:t>At March 31,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2020, net derivative positions related to these activities included:</w:t>
      </w:r>
    </w:p>
    <w:p>
      <w:pPr>
        <w:spacing w:after="0" w:line="146" w:lineRule="exact"/>
        <w:rPr>
          <w:sz w:val="20"/>
          <w:szCs w:val="20"/>
          <w:color w:val="auto"/>
        </w:rPr>
      </w:pPr>
    </w:p>
    <w:p>
      <w:pPr>
        <w:ind w:left="980" w:right="2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9.9 million barrels associated with our crude oil purchases, which was unwound ratably during April 2020 to match monthly average pricing.</w:t>
      </w:r>
    </w:p>
    <w:p>
      <w:pPr>
        <w:spacing w:after="0" w:line="116"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6.0 million barrels, which hedges a portion of our anticipated crude oil lease gathering purchases through May 2021.</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6.3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15.7 million barrels through December 2022 related to anticipated net sales of crude oil and NGL inventory.</w:t>
      </w:r>
    </w:p>
    <w:p>
      <w:pPr>
        <w:spacing w:after="0" w:line="26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i w:val="1"/>
          <w:iCs w:val="1"/>
          <w:color w:val="auto"/>
        </w:rPr>
        <w:t xml:space="preserve">Storage Capacity Utilization </w:t>
      </w:r>
      <w:r>
        <w:rPr>
          <w:rFonts w:ascii="Arial" w:cs="Arial" w:eastAsia="Arial" w:hAnsi="Arial"/>
          <w:sz w:val="16"/>
          <w:szCs w:val="16"/>
          <w:color w:val="auto"/>
        </w:rPr>
        <w:t>— For capacity allocated to our supply and logistics operations, we have utilization risk in a backwardated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As of March 31, 2020, we used derivatives to manage the risk that a portion of our storage capacity will not be utilized (an average of approximately 2.0 million barrels per month of storage capacity through December 2021). These positions involve no outright price exposure.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2020:</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60" w:type="dxa"/>
            <w:vAlign w:val="bottom"/>
          </w:tcPr>
          <w:p>
            <w:pPr>
              <w:spacing w:after="0"/>
              <w:rPr>
                <w:sz w:val="16"/>
                <w:szCs w:val="16"/>
                <w:color w:val="auto"/>
              </w:rPr>
            </w:pPr>
          </w:p>
        </w:tc>
      </w:tr>
      <w:tr>
        <w:trPr>
          <w:trHeight w:val="208"/>
        </w:trPr>
        <w:tc>
          <w:tcPr>
            <w:tcW w:w="66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1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41.8 Bcf</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(3.0) MMbls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(1.8) MMbls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(0.9) MMbls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0.9 TWh</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4599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213</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7</w:t>
            </w:r>
          </w:p>
        </w:tc>
      </w:tr>
      <w:tr>
        <w:trPr>
          <w:trHeight w:val="27"/>
        </w:trPr>
        <w:tc>
          <w:tcPr>
            <w:tcW w:w="8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89"/>
              </w:rPr>
              <w:t>73</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3"/>
              </w:rPr>
              <w:t>(73)</w:t>
            </w:r>
          </w:p>
        </w:tc>
      </w:tr>
      <w:tr>
        <w:trPr>
          <w:trHeight w:val="264"/>
        </w:trPr>
        <w:tc>
          <w:tcPr>
            <w:tcW w:w="860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6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363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691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Presented on</w:t>
            </w:r>
          </w:p>
        </w:tc>
        <w:tc>
          <w:tcPr>
            <w:tcW w:w="0" w:type="dxa"/>
            <w:vAlign w:val="bottom"/>
          </w:tcPr>
          <w:p>
            <w:pPr>
              <w:spacing w:after="0"/>
              <w:rPr>
                <w:sz w:val="1"/>
                <w:szCs w:val="1"/>
                <w:color w:val="auto"/>
              </w:rPr>
            </w:pPr>
          </w:p>
        </w:tc>
      </w:tr>
      <w:tr>
        <w:trPr>
          <w:trHeight w:val="125"/>
        </w:trPr>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Collateral</w:t>
            </w:r>
          </w:p>
        </w:tc>
        <w:tc>
          <w:tcPr>
            <w:tcW w:w="120" w:type="dxa"/>
            <w:vAlign w:val="bottom"/>
          </w:tcPr>
          <w:p>
            <w:pPr>
              <w:spacing w:after="0"/>
              <w:rPr>
                <w:sz w:val="10"/>
                <w:szCs w:val="10"/>
                <w:color w:val="auto"/>
              </w:rPr>
            </w:pPr>
          </w:p>
        </w:tc>
        <w:tc>
          <w:tcPr>
            <w:tcW w:w="86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Netting</w:t>
            </w:r>
          </w:p>
        </w:tc>
        <w:tc>
          <w:tcPr>
            <w:tcW w:w="12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499"/>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center"/>
              <w:ind w:left="277"/>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gridSpan w:val="2"/>
          </w:tcPr>
          <w:p>
            <w:pPr>
              <w:jc w:val="center"/>
              <w:ind w:left="15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540"/>
        </w:trPr>
        <w:tc>
          <w:tcPr>
            <w:tcW w:w="200" w:type="dxa"/>
            <w:vAlign w:val="bottom"/>
          </w:tcPr>
          <w:p>
            <w:pPr>
              <w:spacing w:after="0"/>
              <w:rPr>
                <w:sz w:val="24"/>
                <w:szCs w:val="24"/>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5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86"/>
        </w:trPr>
        <w:tc>
          <w:tcPr>
            <w:tcW w:w="2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5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77"/>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3" w:lineRule="exact"/>
        <w:rPr>
          <w:sz w:val="20"/>
          <w:szCs w:val="20"/>
          <w:color w:val="auto"/>
        </w:rPr>
      </w:pPr>
    </w:p>
    <w:p>
      <w:pPr>
        <w:sectPr>
          <w:pgSz w:w="11900" w:h="16838" w:orient="portrait"/>
          <w:cols w:equalWidth="0" w:num="2">
            <w:col w:w="6800" w:space="200"/>
            <w:col w:w="4240"/>
          </w:cols>
          <w:pgMar w:left="320" w:top="125" w:right="339" w:bottom="1440" w:gutter="0" w:footer="0" w:header="0"/>
          <w:type w:val="continuous"/>
        </w:sectPr>
      </w:pPr>
    </w:p>
    <w:p>
      <w:pPr>
        <w:spacing w:after="0" w:line="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2020 (notional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Locked</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8 forward starting swaps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6/15/2020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0"/>
              </w:rPr>
              <w:t>8 forward starting swaps</w:t>
            </w: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8"/>
                <w:szCs w:val="18"/>
                <w:color w:val="auto"/>
                <w:w w:val="92"/>
              </w:rPr>
              <w:t>6/15/2023</w:t>
            </w:r>
          </w:p>
        </w:tc>
        <w:tc>
          <w:tcPr>
            <w:tcW w:w="1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1.38</w:t>
            </w:r>
          </w:p>
        </w:tc>
        <w:tc>
          <w:tcPr>
            <w:tcW w:w="20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0"/>
              </w:rPr>
              <w:t>8 forward starting swaps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7"/>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6/14/2024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2020, there was a net loss of $336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a net loss of $2 million and $2 million during the three months ended March 31, 2020 and 2019, respectively. Of the total net loss deferred in AOCI at March 31, 2020, we expect to reclassify a net loss of $12 million to earnings in the next twelve months. We estimate that substantially all of the remaining deferred loss will be reclassified to earnings through 2054 as the underlying hedged transactions impact earnings. A portion of these amounts is based on market prices as of March 31, 2020;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9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600" w:val="left"/>
          <w:tab w:leader="none" w:pos="9440" w:val="left"/>
          <w:tab w:leader="none" w:pos="9960" w:val="left"/>
          <w:tab w:leader="none" w:pos="1082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March 31, 2020, the net fair value of our interest rate hedges, which were included in “Other current liabilities” and “Other long-term liabilities and deferred credits” on our Condensed Consolidated Balance Sheet, totaled $115 million and $9 million, respectively.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2020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36"/>
        </w:trPr>
        <w:tc>
          <w:tcPr>
            <w:tcW w:w="6800" w:type="dxa"/>
            <w:vAlign w:val="bottom"/>
            <w:tcBorders>
              <w:top w:val="single" w:sz="8" w:color="CCEEFF"/>
              <w:bottom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57"/>
        </w:trPr>
        <w:tc>
          <w:tcPr>
            <w:tcW w:w="6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derivatives are not designated as a hedging relationship. As such, changes in fair value are recognized in earnings as a component of Supply and Logistics segment revenues. For the three months ended March 31, 2020 and 2019, the amounts recognized in earnings for our currency exchange rate hedges were a loss of $6 million and a gain of $5 million, respectively.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March 31, 2020, the net fair value of these currency exchange rate hedges, which was included in “Other current assets” and “Other current liabilities” on our Condensed Consolidated Balance Sheet, totaled $1 million and $6 million, respectively. At December 31, 2019, the net fair value of these currency exchange rate hedges, which was included in “Other current assets” and “Other current liabilities” on our Condensed Consolidated Balance Sheet, totaled $2 million and $1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March 31, 2020 and 2019, we recognized gains of $26 million and $23 million, respectively. The fair value of the Preferred Distribution Rate Reset Option, which was included in “Other long-term liabilities and deferred credits” on our Condensed Consolidated Balance Sheets, totaled $8 million and $34 million at March 31, 2020 and December 31, 2019, respectively. See Note 13 to our Consolidated Financial Statements included in Part IV of our 2019 Annual Report on Form 10-K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3"/>
              </w:rPr>
              <w:t>Fair Value as of March 31, 2020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1"/>
                <w:szCs w:val="11"/>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Level 1</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Commodity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020560" cy="891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0560" cy="8915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Fair Value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228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7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130</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center"/>
              <w:ind w:left="7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left="7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53</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220"/>
            <w:col w:w="366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4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60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21"/>
                <w:szCs w:val="21"/>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Change in unrealized gains/(losses) included in earnings relating to Level 3 derivatives still held at the end of the</w:t>
            </w:r>
          </w:p>
        </w:tc>
        <w:tc>
          <w:tcPr>
            <w:tcW w:w="820" w:type="dxa"/>
            <w:vAlign w:val="bottom"/>
            <w:vMerge w:val="restart"/>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right="260" w:firstLine="350"/>
        <w:spacing w:after="0" w:line="259" w:lineRule="auto"/>
        <w:rPr>
          <w:sz w:val="20"/>
          <w:szCs w:val="20"/>
          <w:color w:val="auto"/>
        </w:rPr>
      </w:pPr>
      <w:r>
        <w:rPr>
          <w:rFonts w:ascii="Arial" w:cs="Arial" w:eastAsia="Arial" w:hAnsi="Arial"/>
          <w:sz w:val="18"/>
          <w:szCs w:val="18"/>
          <w:color w:val="auto"/>
        </w:rPr>
        <w:t>As of March 31, 2020 and December 31, 2019, we owned 550,769,169 and 549,538,139,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March 31, 2020, Kayne Anderson Capital Advisors, L.P. was a principal owner.</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6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6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 (3)</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225</w:t>
            </w:r>
          </w:p>
        </w:tc>
      </w:tr>
      <w:tr>
        <w:trPr>
          <w:trHeight w:val="256"/>
        </w:trPr>
        <w:tc>
          <w:tcPr>
            <w:tcW w:w="8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 (3)</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129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8" w:lineRule="exact"/>
        <w:rPr>
          <w:sz w:val="20"/>
          <w:szCs w:val="20"/>
          <w:color w:val="auto"/>
        </w:rPr>
      </w:pPr>
    </w:p>
    <w:p>
      <w:pPr>
        <w:ind w:right="140" w:hanging="11"/>
        <w:spacing w:after="0" w:line="279" w:lineRule="auto"/>
        <w:rPr>
          <w:sz w:val="20"/>
          <w:szCs w:val="20"/>
          <w:color w:val="auto"/>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r>
      <w:tr>
        <w:trPr>
          <w:trHeight w:val="257"/>
        </w:trPr>
        <w:tc>
          <w:tcPr>
            <w:tcW w:w="8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8" w:lineRule="exact"/>
        <w:rPr>
          <w:sz w:val="20"/>
          <w:szCs w:val="20"/>
          <w:color w:val="auto"/>
        </w:rPr>
      </w:pPr>
    </w:p>
    <w:p>
      <w:pPr>
        <w:ind w:right="100" w:hanging="11"/>
        <w:spacing w:after="0" w:line="263" w:lineRule="auto"/>
        <w:rPr>
          <w:sz w:val="20"/>
          <w:szCs w:val="20"/>
          <w:color w:val="auto"/>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At March 31, 2020, our estimated undiscounted reserve for environmental liabilities (including liabilities related to the Line 901 incident, as discussed further below) totaled $142 million, of which $89 million was classified as short-term and $53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March 31, 2020, we had recorded receivables totaling $81 million for amounts probable of recovery under insurance and from third parties under indemnification agreements, of which $69 million was classified as short-term and $12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w:t>
      </w:r>
    </w:p>
    <w:p>
      <w:pPr>
        <w:spacing w:after="0" w:line="4" w:lineRule="exact"/>
        <w:rPr>
          <w:sz w:val="20"/>
          <w:szCs w:val="20"/>
          <w:color w:val="auto"/>
        </w:rPr>
      </w:pPr>
    </w:p>
    <w:p>
      <w:pPr>
        <w:jc w:val="both"/>
        <w:ind w:right="260" w:firstLine="8"/>
        <w:spacing w:after="0" w:line="323"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remaining uncompleted portions of the CAO, which primarily relate to returning Lines 901 and 903 to service, have been incorporated into the Consent Decree (defined and discussed below). Upon entry of the Consent Decree by the Court, we expect that the CAO will be closed out by PHMSA.</w:t>
      </w:r>
    </w:p>
    <w:p>
      <w:pPr>
        <w:spacing w:after="0" w:line="16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All potential claims by PHMSA against PAA arising out of the Line 901 failure would be settled pursuant to the Consent Decree discussed below.</w:t>
      </w:r>
    </w:p>
    <w:p>
      <w:pPr>
        <w:spacing w:after="0" w:line="19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Except in connection with the May 2016 Indictment and the 2019 Sentence, to date no criminal charges with respect to the Line 901 release have been brought against PAA or any of its affiliates, officers or employees.</w:t>
      </w:r>
    </w:p>
    <w:p>
      <w:pPr>
        <w:spacing w:after="0" w:line="16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adjacent to Santa Barbara County or persons or businesses who resold commercial seafood landed in such areas; and (ii) residential beachfront properties on a beach and residential properties with a private easement to a beach where oil from the spill washed up. The court has tentatively set a trial date of September 1, 2020 for those two sub-classes.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In addition, four unitholder derivative lawsuits have been filed by certain purported investors in the Partnership against PAGP and certain of the Partnership’s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the Partnership and all affiliates of the Partnership,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the Partnership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pre-negotiated and signed by DOJ, PHMSA, EPA, CDFW, California Department of Parks and Recreation, California State Lands Commission, Office of the State Fire Marshal, Central Coast Regional Water Quality Control Board, and Regents of the University of California, will, if entered by the court, settle all of the claims asserted in the lawsuit. The Consent Decree would require Plains to pay</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$24 million in civil penalties and implement certain agreed-upon injunctive relief, and pay $22.325 million as compensation for injuries to, destruction of, loss of, or loss of use of natural resources resulting from the Line 901 incident. The Consent Decree is subject to a public notice and comment period that is set to expire on May 20, 2020, and review and approval by the Federal District Court for the Central District of California. We have included the costs associated with the Consent Decree settlement in the loss accrual described below.</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March 31, 2020, we estimate that the aggregate total costs we have incurred or will incur with respect to the Line 901 incident will be approximately $400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March 31, 2020, we had a remaining undiscounted gross liability of $90 million related to this event, of which approximately $80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2020, we had collected, subject to customary reservations, $203 million out of the approximate $275 million of release costs that we believe are probable of recovery from insurance carriers, net of deductibles. Therefore, as of March 31, 2020, we have recognized a receivable of approximately $72 million for the portion of the release costs that we believe is probable of recovery from insurance, net of deductibles and amounts already collected. Of this amount, approximately $63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00" w:type="dxa"/>
            <w:vAlign w:val="bottom"/>
          </w:tcPr>
          <w:p>
            <w:pPr>
              <w:jc w:val="right"/>
              <w:ind w:right="212"/>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83"/>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83"/>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14,902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0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4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460"/>
          </w:cols>
          <w:pgMar w:left="320" w:top="12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98"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600" w:val="left"/>
          <w:tab w:leader="none" w:pos="9420" w:val="left"/>
          <w:tab w:leader="none" w:pos="9960" w:val="left"/>
          <w:tab w:leader="none" w:pos="10800" w:val="left"/>
        </w:tabs>
        <w:rPr>
          <w:sz w:val="20"/>
          <w:szCs w:val="20"/>
          <w:color w:val="auto"/>
        </w:rPr>
      </w:pPr>
      <w:r>
        <w:rPr>
          <w:rFonts w:ascii="Arial" w:cs="Arial" w:eastAsia="Arial" w:hAnsi="Arial"/>
          <w:sz w:val="18"/>
          <w:szCs w:val="18"/>
          <w:color w:val="auto"/>
        </w:rPr>
        <w:t>Segment Adjusted EBITDA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793</w:t>
        <w:tab/>
        <w:t>$</w:t>
      </w:r>
      <w:r>
        <w:rPr>
          <w:sz w:val="20"/>
          <w:szCs w:val="20"/>
          <w:color w:val="auto"/>
        </w:rPr>
        <w:tab/>
      </w:r>
      <w:r>
        <w:rPr>
          <w:rFonts w:ascii="Arial" w:cs="Arial" w:eastAsia="Arial" w:hAnsi="Arial"/>
          <w:sz w:val="15"/>
          <w:szCs w:val="15"/>
          <w:color w:val="auto"/>
        </w:rPr>
        <w:t>861</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Gains/(losses) from derivative activities, net of inventory valuation adjustments </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line="225" w:lineRule="auto"/>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Gains/(losses) on asset sales and asset impairments,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on/(impairment of) investments in unconsolidated entities,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income/(expense), net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noncontrolling interests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459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0" w:hanging="1385"/>
        <w:spacing w:after="0"/>
        <w:tabs>
          <w:tab w:leader="none" w:pos="2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(12)</w:t>
      </w:r>
    </w:p>
    <w:p>
      <w:pPr>
        <w:spacing w:after="0" w:line="70" w:lineRule="exact"/>
        <w:rPr>
          <w:sz w:val="20"/>
          <w:szCs w:val="20"/>
          <w:color w:val="auto"/>
        </w:rPr>
      </w:pPr>
    </w:p>
    <w:p>
      <w:pPr>
        <w:ind w:left="2280" w:hanging="1445"/>
        <w:spacing w:after="0"/>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74</w:t>
      </w:r>
    </w:p>
    <w:p>
      <w:pPr>
        <w:spacing w:after="0" w:line="63" w:lineRule="exact"/>
        <w:rPr>
          <w:sz w:val="20"/>
          <w:szCs w:val="20"/>
          <w:color w:val="auto"/>
        </w:rPr>
      </w:pPr>
    </w:p>
    <w:p>
      <w:pPr>
        <w:ind w:left="2280" w:hanging="1528"/>
        <w:spacing w:after="0"/>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w:t>
      </w:r>
    </w:p>
    <w:p>
      <w:pPr>
        <w:spacing w:after="0" w:line="63" w:lineRule="exact"/>
        <w:rPr>
          <w:sz w:val="20"/>
          <w:szCs w:val="20"/>
          <w:color w:val="auto"/>
        </w:rPr>
      </w:pPr>
    </w:p>
    <w:p>
      <w:pPr>
        <w:ind w:left="2380" w:hanging="1380"/>
        <w:spacing w:after="0"/>
        <w:tabs>
          <w:tab w:leader="none" w:pos="2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w:t>
      </w:r>
    </w:p>
    <w:p>
      <w:pPr>
        <w:spacing w:after="0" w:line="63" w:lineRule="exact"/>
        <w:rPr>
          <w:sz w:val="20"/>
          <w:szCs w:val="20"/>
          <w:color w:val="auto"/>
        </w:rPr>
      </w:pPr>
    </w:p>
    <w:p>
      <w:pPr>
        <w:ind w:left="2300" w:hanging="1375"/>
        <w:spacing w:after="0"/>
        <w:tabs>
          <w:tab w:leader="none" w:pos="2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w:t>
      </w:r>
    </w:p>
    <w:p>
      <w:pPr>
        <w:spacing w:after="0" w:line="63" w:lineRule="exact"/>
        <w:rPr>
          <w:sz w:val="20"/>
          <w:szCs w:val="20"/>
          <w:color w:val="auto"/>
        </w:rPr>
      </w:pPr>
    </w:p>
    <w:p>
      <w:pPr>
        <w:ind w:left="2300" w:hanging="1390"/>
        <w:spacing w:after="0"/>
        <w:tabs>
          <w:tab w:leader="none" w:pos="2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w:t>
      </w:r>
    </w:p>
    <w:p>
      <w:pPr>
        <w:spacing w:after="0" w:line="63" w:lineRule="exact"/>
        <w:rPr>
          <w:rFonts w:ascii="Arial" w:cs="Arial" w:eastAsia="Arial" w:hAnsi="Arial"/>
          <w:sz w:val="18"/>
          <w:szCs w:val="18"/>
          <w:color w:val="auto"/>
        </w:rPr>
      </w:pPr>
    </w:p>
    <w:p>
      <w:pPr>
        <w:ind w:left="2280" w:hanging="1355"/>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2120" w:hanging="1375"/>
        <w:spacing w:after="0"/>
        <w:tabs>
          <w:tab w:leader="none" w:pos="2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(136)</w:t>
      </w:r>
    </w:p>
    <w:p>
      <w:pPr>
        <w:spacing w:after="0" w:line="75" w:lineRule="exact"/>
        <w:rPr>
          <w:sz w:val="20"/>
          <w:szCs w:val="20"/>
          <w:color w:val="auto"/>
        </w:rPr>
      </w:pPr>
    </w:p>
    <w:p>
      <w:pPr>
        <w:ind w:left="2300" w:hanging="1555"/>
        <w:spacing w:after="0"/>
        <w:tabs>
          <w:tab w:leader="none" w:pos="2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w:t>
      </w:r>
    </w:p>
    <w:p>
      <w:pPr>
        <w:spacing w:after="0" w:line="6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(2,515)—</w:t>
      </w:r>
    </w:p>
    <w:p>
      <w:pPr>
        <w:spacing w:after="0" w:line="63" w:lineRule="exact"/>
        <w:rPr>
          <w:sz w:val="20"/>
          <w:szCs w:val="20"/>
          <w:color w:val="auto"/>
        </w:rPr>
      </w:pPr>
    </w:p>
    <w:p>
      <w:pPr>
        <w:ind w:left="2200" w:hanging="1365"/>
        <w:spacing w:after="0"/>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267</w:t>
      </w:r>
    </w:p>
    <w:p>
      <w:pPr>
        <w:spacing w:after="0" w:line="63" w:lineRule="exact"/>
        <w:rPr>
          <w:sz w:val="20"/>
          <w:szCs w:val="20"/>
          <w:color w:val="auto"/>
        </w:rPr>
      </w:pPr>
    </w:p>
    <w:p>
      <w:pPr>
        <w:ind w:left="2120" w:hanging="1375"/>
        <w:spacing w:after="0"/>
        <w:tabs>
          <w:tab w:leader="none" w:pos="2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(101)</w:t>
      </w:r>
    </w:p>
    <w:p>
      <w:pPr>
        <w:spacing w:after="0" w:line="75" w:lineRule="exact"/>
        <w:rPr>
          <w:sz w:val="20"/>
          <w:szCs w:val="20"/>
          <w:color w:val="auto"/>
        </w:rPr>
      </w:pPr>
    </w:p>
    <w:p>
      <w:pPr>
        <w:ind w:left="2280" w:hanging="1445"/>
        <w:spacing w:after="0"/>
        <w:tabs>
          <w:tab w:leader="none" w:pos="2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6802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7"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8"/>
          <w:szCs w:val="18"/>
          <w:color w:val="auto"/>
        </w:rPr>
        <w:t>(2,824)</w:t>
      </w:r>
      <w:r>
        <w:rPr>
          <w:sz w:val="20"/>
          <w:szCs w:val="20"/>
          <w:color w:val="auto"/>
        </w:rPr>
        <w:tab/>
      </w:r>
      <w:r>
        <w:rPr>
          <w:rFonts w:ascii="Arial" w:cs="Arial" w:eastAsia="Arial" w:hAnsi="Arial"/>
          <w:sz w:val="18"/>
          <w:szCs w:val="18"/>
          <w:color w:val="auto"/>
        </w:rPr>
        <w:t>994</w:t>
      </w:r>
    </w:p>
    <w:p>
      <w:pPr>
        <w:spacing w:after="0" w:line="63" w:lineRule="exact"/>
        <w:rPr>
          <w:sz w:val="20"/>
          <w:szCs w:val="20"/>
          <w:color w:val="auto"/>
        </w:rPr>
      </w:pPr>
    </w:p>
    <w:p>
      <w:pPr>
        <w:ind w:left="2220" w:hanging="1385"/>
        <w:spacing w:after="0"/>
        <w:tabs>
          <w:tab w:leader="none" w:pos="2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46355</wp:posOffset>
            </wp:positionV>
            <wp:extent cx="1680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80"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8"/>
          <w:szCs w:val="18"/>
          <w:color w:val="auto"/>
        </w:rPr>
        <w:t>(2,845)</w:t>
      </w:r>
      <w:r>
        <w:rPr>
          <w:sz w:val="20"/>
          <w:szCs w:val="20"/>
          <w:color w:val="auto"/>
        </w:rPr>
        <w:tab/>
      </w:r>
      <w:r>
        <w:rPr>
          <w:rFonts w:ascii="Arial" w:cs="Arial" w:eastAsia="Arial" w:hAnsi="Arial"/>
          <w:sz w:val="18"/>
          <w:szCs w:val="18"/>
          <w:color w:val="auto"/>
        </w:rPr>
        <w:t>970</w:t>
      </w:r>
    </w:p>
    <w:p>
      <w:pPr>
        <w:spacing w:after="0" w:line="63" w:lineRule="exact"/>
        <w:rPr>
          <w:sz w:val="20"/>
          <w:szCs w:val="20"/>
          <w:color w:val="auto"/>
        </w:rPr>
      </w:pPr>
    </w:p>
    <w:p>
      <w:pPr>
        <w:ind w:left="2280" w:hanging="1355"/>
        <w:spacing w:after="0"/>
        <w:tabs>
          <w:tab w:leader="none" w:pos="2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680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340" w:val="left"/>
          <w:tab w:leader="none" w:pos="2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(2,847)</w:t>
        <w:tab/>
        <w:t>$</w:t>
      </w:r>
      <w:r>
        <w:rPr>
          <w:sz w:val="20"/>
          <w:szCs w:val="20"/>
          <w:color w:val="auto"/>
        </w:rPr>
        <w:tab/>
      </w:r>
      <w:r>
        <w:rPr>
          <w:rFonts w:ascii="Arial" w:cs="Arial" w:eastAsia="Arial" w:hAnsi="Arial"/>
          <w:sz w:val="15"/>
          <w:szCs w:val="15"/>
          <w:color w:val="auto"/>
        </w:rPr>
        <w:t>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68021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80210"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900" w:space="720"/>
            <w:col w:w="2600"/>
          </w:cols>
          <w:pgMar w:left="320" w:top="125" w:right="35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20" w:hanging="652"/>
        <w:spacing w:after="0" w:line="275" w:lineRule="auto"/>
        <w:tabs>
          <w:tab w:leader="none" w:pos="64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three months ended March 31,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determination of these values is preliminary and we expect to finalize our fair value determination in 2020. The assets acquired primarily consisted of property and equipment of $115 million and intangible assets of $187 million. The preliminary fair value of the tangible assets is a Level 3 measurement in the fair value hierarchy and was determined using a cost approach. The cost approach was based on costs incurred on similar recent construction projects. The preliminary fair value of the intangible assets is also a Level 3 measurement in the fair value hierarchy and was determined by applying a discounted cash flow approach. Such approach utilized discount rates varying from 15% to 16%, based on our estimate of the risk that a theoretical market participant would assign to the respective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Saddlehorn Pipeline Company, LLC. </w:t>
      </w:r>
      <w:r>
        <w:rPr>
          <w:rFonts w:ascii="Arial" w:cs="Arial" w:eastAsia="Arial" w:hAnsi="Arial"/>
          <w:sz w:val="17"/>
          <w:szCs w:val="17"/>
          <w:color w:val="auto"/>
        </w:rPr>
        <w:t>In February 2020, we sold a 10% ownership interest in Saddlehorn Pipeline Company, LLC for proceeds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million, including working capital adjustments. We recorded a gain of approximately $21 million related to this sale, which is included in “Gain on/(impairment of) investments in unconsolidated entities, net” on our Condensed Consolidated Statement of Operations.</w:t>
      </w:r>
    </w:p>
    <w:p>
      <w:pPr>
        <w:spacing w:after="0" w:line="192"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Assets Held For Sale</w:t>
      </w:r>
      <w:r>
        <w:rPr>
          <w:rFonts w:ascii="Arial" w:cs="Arial" w:eastAsia="Arial" w:hAnsi="Arial"/>
          <w:sz w:val="18"/>
          <w:szCs w:val="18"/>
          <w:color w:val="auto"/>
        </w:rPr>
        <w:t>. As of March 31, 2020, we classified approximately $333 million as assets held for sale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 “Other current assets”). The assets held for sale, which were valued based on fair value less costs to sell, are primarily property and equipment, are included in our Facilities segment and are related to transactions to sell our interests in:</w:t>
      </w:r>
    </w:p>
    <w:p>
      <w:pPr>
        <w:spacing w:after="0" w:line="211"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7"/>
          <w:szCs w:val="17"/>
          <w:i w:val="1"/>
          <w:iCs w:val="1"/>
          <w:color w:val="auto"/>
        </w:rPr>
      </w:pPr>
      <w:r>
        <w:rPr>
          <w:rFonts w:ascii="Arial" w:cs="Arial" w:eastAsia="Arial" w:hAnsi="Arial"/>
          <w:sz w:val="17"/>
          <w:szCs w:val="17"/>
          <w:color w:val="auto"/>
        </w:rPr>
        <w:t>certain NGL terminals, which closed in April 2020 for proceeds of approximately $163 million, subject to certain adjustments; and</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57" w:lineRule="exact"/>
        <w:rPr>
          <w:rFonts w:ascii="Arial" w:cs="Arial" w:eastAsia="Arial" w:hAnsi="Arial"/>
          <w:sz w:val="17"/>
          <w:szCs w:val="17"/>
          <w:i w:val="1"/>
          <w:iCs w:val="1"/>
          <w:color w:val="auto"/>
        </w:rPr>
      </w:pPr>
    </w:p>
    <w:p>
      <w:pPr>
        <w:ind w:left="5540"/>
        <w:spacing w:after="0"/>
        <w:rPr>
          <w:rFonts w:ascii="Arial" w:cs="Arial" w:eastAsia="Arial" w:hAnsi="Arial"/>
          <w:sz w:val="17"/>
          <w:szCs w:val="17"/>
          <w:i w:val="1"/>
          <w:iCs w:val="1"/>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980" w:hanging="324"/>
        <w:spacing w:after="0" w:line="263"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certain Los Angeles Basin (“LA Basin”) terminals. In January 2020, we signed a definitive agreement to sell certain of our LA Basin crude oil terminals for $195 million, subject to certain adjustments. We expect the transaction to close in the second half of 2020, subject to customary closing conditions, including the receipt of regulatory approvals.</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As a result of these reclassifications to assets held for sale, we recognized non-cash impairment losses of approximately $167 million. Such impairment losses are reflected in “(Gains)/losses on asset sales and asset impairments, net” on our Condensed Consolidated Statement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During the first quarter of 2020, we recognized approximately $489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w:t>
      </w:r>
    </w:p>
    <w:p>
      <w:pPr>
        <w:spacing w:after="0" w:line="19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(based on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During the quarter, COVID-19 escalated into a global pandemic, which led to widespread shelter-in-place or similar requirements throughout North American and global markets. The resulting energy demand destruction constitutes a significant near-term challenge facing the energy industry, specifically the uncertainty around not only the magnitude and duration of the demand destruction but also the timing and extent of a recovery. Industry estimates indicate that global demand for crude oil in the second quarter of 2020 could be in the range of 20% to 25% less than the second quarter of 2019.</w:t>
      </w:r>
    </w:p>
    <w:p>
      <w:pPr>
        <w:spacing w:after="0" w:line="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North American markets, these developments have resulted in an immediate industry response, led by the U.S. refining sector quickly reducing crude runs and producers quickly reducing drilling and completion activities and production levels. In addition, the Organization of Petroleum Exporting Countries (“OPEC”) and other countries responded with plans to curtail production. However, all of these actions have not been sufficient to balance the market. Demand reductions have been faster and deeper than supply reductions and the resulting over-supply of crude oil is impacting the entire energy supply chain, causing remaining storage capacity to fill and producers to significantly reduce activity and/or shut in production in most, if not all, key basins. While we do not believe all of these actions will rebalance the market in the near term, they should help with the longer-term process of rebalancing the market, which will depend heavily on the speed with which energy demand recovers, the ultimate level of demand recovery and the size of the global supply surplus at the point in time when demand levels begin to exceed supply additions.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situation continues to evolve on a daily basis and it is difficult to gauge the level of shut-ins, but at this time we expect storage in key market hubs to fill by June. With inventories for both crude oil and gasoline in the U.S. at historically high levels, the inventory overhang combined with the potential for a slow recovery of demand could result in a crude oil price environment that makes it difficult to achieve increased levels of drilling activity and production in the U.S. for the balance of 2020 and potentially into 2021. These market dynamics will have a negative impact on our business relative to pre-pandemic levels, with the impacts in 2021 potentially being more pronounced than in 2020. On May 5, 2020, we issued revised 2020 guidance reflecting our expectations for business performance in the current market environment. Our guidance represents estimates that we believe are reasonable based on market conditions and expectations at the time, but we can provide no assurance that our estimates will be accurate and our actual results could be materially worse than such estimates.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response to these current dynamic and uncertain market conditions, on April 7, 2020, we issued a press release announcing a number of actions taken in order to further strengthen our balance sheet and further enhance our liquidity and long-term financial flexibility. These actions include significantly reducing and continuing to challenge our capital program, reducing the amount of our common distribution payable in May 2020, progressing asset sales, and reducing costs, while remaining focused on operating safely and responsibly.</w:t>
      </w:r>
    </w:p>
    <w:p>
      <w:pPr>
        <w:spacing w:after="0" w:line="21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Specifically, we announced the reduction of our 2020/2021 capital program by $750 million, or 33%, and we decreased our common unit distribution and PAGP’s Class A share distribution payable in May 2020 by 50%, which reflects a reduction of $525 million on an annualized basis. We completed an additional approximately $165 million asset sale on April 1, 2020, which resulted in year-to-date assets sale proceeds through such date of approximately $245 million (which amount excludes a previously announced approximately $195 million asset sale that remains under a definitive agreement and is expected to close later in the year). While all of these actions should contribute towards a stronger balance sheet and should enhance our liquidity and long-term financial security, we can provide no assurance that we will be able to effect certain future actions (such as capital reductions, asset sales and expense reductions) and additional actions may be necessary to achieve our balance sheet, liquidity and financial security objectives (see Part II, Item 1A. “Risk Factors”).</w:t>
      </w:r>
    </w:p>
    <w:p>
      <w:pPr>
        <w:spacing w:after="0" w:line="219"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and responsible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the first quarter as discussed further below. See “—Liquidity and Capital Resources” and Part II, Item 1A. “Risk Factors” for additional discussion of the expected and potential impact of COVID-19 and related market conditions on our business.</w:t>
      </w:r>
    </w:p>
    <w:p>
      <w:pPr>
        <w:spacing w:after="0" w:line="21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During the first three months of 2020, we recognized a net loss of $2.8 billion as compared to net income of $970 million recognized during the first three months of 2019. The net loss for the period was driven by goodwill impairment losses of $2.5 billion and was also impacted by non-cash impairment charges of approximately $655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during the first quarter of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Less favorable results from our Supply and Logistics segment due to less favorable crude oil differentials and lower NGL margins;</w:t>
      </w:r>
    </w:p>
    <w:p>
      <w:pPr>
        <w:spacing w:after="0" w:line="263" w:lineRule="exact"/>
        <w:rPr>
          <w:rFonts w:ascii="Arial" w:cs="Arial" w:eastAsia="Arial" w:hAnsi="Arial"/>
          <w:sz w:val="17"/>
          <w:szCs w:val="17"/>
          <w:color w:val="auto"/>
        </w:rPr>
      </w:pPr>
    </w:p>
    <w:p>
      <w:pPr>
        <w:ind w:left="1300" w:right="300" w:hanging="320"/>
        <w:spacing w:after="0" w:line="308" w:lineRule="auto"/>
        <w:tabs>
          <w:tab w:leader="none" w:pos="12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capital expansion projects and an adjustment to the useful lives of certain assets;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foreign currency impacts of $59 million recognized in “Other income/(expense)” in the 2020 period; and</w:t>
      </w:r>
    </w:p>
    <w:p>
      <w:pPr>
        <w:spacing w:after="0" w:line="252" w:lineRule="exact"/>
        <w:rPr>
          <w:rFonts w:ascii="Arial" w:cs="Arial" w:eastAsia="Arial" w:hAnsi="Arial"/>
          <w:sz w:val="18"/>
          <w:szCs w:val="18"/>
          <w:color w:val="auto"/>
        </w:rPr>
      </w:pPr>
    </w:p>
    <w:p>
      <w:pPr>
        <w:jc w:val="both"/>
        <w:ind w:left="1300" w:right="320" w:hanging="320"/>
        <w:spacing w:after="0" w:line="259"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compared to a non-cash gain of $267 million recognized in the 2019 period related to a fair value adjustment resulting from the accounting for the contribution of our undivided joint interest in the Capline pipeline system for an equity interest in Capline Pipeline Company LLC.</w:t>
      </w:r>
    </w:p>
    <w:p>
      <w:pPr>
        <w:spacing w:after="0" w:line="21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invested $352 million in midstream infrastructure projects during the three months ended March 31, 2020, which primarily related to projects under development in the Permian Basin. Additionally, during the first quarter of 2020, we acquired approximately $308 million of assets, which primarily included a crude oil gathering system located in the Delaware Basin. See the “—Acquisitions and Capital Projects” section below for additional information.</w:t>
      </w:r>
    </w:p>
    <w:p>
      <w:pPr>
        <w:spacing w:after="0" w:line="214" w:lineRule="exact"/>
        <w:rPr>
          <w:sz w:val="20"/>
          <w:szCs w:val="20"/>
          <w:color w:val="auto"/>
        </w:rPr>
      </w:pPr>
    </w:p>
    <w:p>
      <w:pPr>
        <w:ind w:right="580" w:firstLine="357"/>
        <w:spacing w:after="0" w:line="277" w:lineRule="auto"/>
        <w:rPr>
          <w:sz w:val="20"/>
          <w:szCs w:val="20"/>
          <w:color w:val="auto"/>
        </w:rPr>
      </w:pPr>
      <w:r>
        <w:rPr>
          <w:rFonts w:ascii="Arial" w:cs="Arial" w:eastAsia="Arial" w:hAnsi="Arial"/>
          <w:sz w:val="18"/>
          <w:szCs w:val="18"/>
          <w:color w:val="auto"/>
        </w:rPr>
        <w:t>We also paid approximately $262 million of cash distributions to our common unitholders and $37 million of cash distributions to our Series A preferred unitholders during the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94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351</w:t>
            </w: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9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w:t>
            </w:r>
          </w:p>
        </w:tc>
      </w:tr>
      <w:tr>
        <w:trPr>
          <w:trHeight w:val="237"/>
        </w:trPr>
        <w:tc>
          <w:tcPr>
            <w:tcW w:w="826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397</w:t>
            </w:r>
          </w:p>
        </w:tc>
      </w:tr>
      <w:tr>
        <w:trPr>
          <w:trHeight w:val="27"/>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62" w:lineRule="exact"/>
        <w:rPr>
          <w:sz w:val="20"/>
          <w:szCs w:val="20"/>
          <w:color w:val="auto"/>
        </w:rPr>
      </w:pPr>
    </w:p>
    <w:p>
      <w:pPr>
        <w:jc w:val="both"/>
        <w:ind w:right="28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7, 2020, in response to the current dynamic and uncertain market conditions, we announced our plan to significantly reduce and continue to challenge our capital program. Total expansion capital for 2020/2021 is now targeted to be approximately $1.55 billion, or $750 million (33%) lower than the previously targeted $2.3 billion capital program, and $1.35 billion (47%) lower when eliminating $600 million of assumed joint venture project financing (net to our share) for the Red Oak project, which has been deferred. The balance of the capital reductions relate to cancellations, cost savings and scope adjustments to other capital projects. The following table summarizes our notable projects in progress during 2020 and the estimated cost for the year ending December 31, 2020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4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220</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355</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160</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w:t>
            </w:r>
          </w:p>
        </w:tc>
      </w:tr>
      <w:tr>
        <w:trPr>
          <w:trHeight w:val="264"/>
        </w:trPr>
        <w:tc>
          <w:tcPr>
            <w:tcW w:w="978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1,100</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00" w:type="dxa"/>
            <w:vAlign w:val="bottom"/>
          </w:tcPr>
          <w:p>
            <w:pPr>
              <w:ind w:left="120"/>
              <w:spacing w:after="0"/>
              <w:rPr>
                <w:sz w:val="20"/>
                <w:szCs w:val="20"/>
                <w:color w:val="auto"/>
              </w:rPr>
            </w:pPr>
            <w:r>
              <w:rPr>
                <w:rFonts w:ascii="Arial" w:cs="Arial" w:eastAsia="Arial" w:hAnsi="Arial"/>
                <w:sz w:val="18"/>
                <w:szCs w:val="18"/>
                <w:color w:val="auto"/>
              </w:rPr>
              <w:t>Selected items impacting comparability - Segment Adjusted EBITDA</w:t>
            </w: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(2,845)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(393)%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(2,847)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(394)%</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260" w:hanging="652"/>
        <w:spacing w:after="0" w:line="269" w:lineRule="auto"/>
        <w:tabs>
          <w:tab w:leader="none" w:pos="648"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and implied distributable cash flow (“DCF”).</w:t>
      </w:r>
    </w:p>
    <w:p>
      <w:pPr>
        <w:spacing w:after="0" w:line="16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jc w:val="both"/>
        <w:ind w:right="400" w:firstLine="8"/>
        <w:spacing w:after="0" w:line="281"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w:t>
      </w:r>
    </w:p>
    <w:p>
      <w:pPr>
        <w:spacing w:after="0" w:line="1" w:lineRule="exact"/>
        <w:rPr>
          <w:rFonts w:ascii="Arial" w:cs="Arial" w:eastAsia="Arial" w:hAnsi="Arial"/>
          <w:sz w:val="16"/>
          <w:szCs w:val="16"/>
          <w:color w:val="auto"/>
        </w:rPr>
      </w:pPr>
    </w:p>
    <w:p>
      <w:pPr>
        <w:ind w:firstLine="8"/>
        <w:spacing w:after="0" w:line="290"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Our definition and calculation of certain non-GAAP financial measures may not be comparable to similarly-titled measures of other companies. Adjusted EBITDA and Implied DCF are reconciled to Net Income/(Loss), the most directly comparable measure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reconciliation of these non-GAAP financial performance measures from Net Income/(Loss)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(Gains)/losses on asset sales and asset impairments, net</w:t>
            </w:r>
          </w:p>
        </w:tc>
        <w:tc>
          <w:tcPr>
            <w:tcW w:w="18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impairment losses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(Gain on)/impairment of investments in unconsolidated entities, net</w:t>
            </w:r>
          </w:p>
        </w:tc>
        <w:tc>
          <w:tcPr>
            <w:tcW w:w="18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Selected Items Impacting Comparability:</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4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4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(7)</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Selected Items Impacting Comparability - Segment Adjusted EBITDA</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40"/>
              <w:spacing w:after="0"/>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8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(8)</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80" w:type="dxa"/>
            <w:vAlign w:val="bottom"/>
          </w:tcPr>
          <w:p>
            <w:pPr>
              <w:ind w:left="140"/>
              <w:spacing w:after="0" w:line="244"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(10)</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 xml:space="preserve">Distributions from unconsolidated entities in excess of/(less than) adjusted equity earnings </w:t>
            </w:r>
            <w:r>
              <w:rPr>
                <w:rFonts w:ascii="Arial" w:cs="Arial" w:eastAsia="Arial" w:hAnsi="Arial"/>
                <w:sz w:val="23"/>
                <w:szCs w:val="23"/>
                <w:color w:val="auto"/>
                <w:w w:val="93"/>
                <w:vertAlign w:val="superscript"/>
              </w:rPr>
              <w:t>(11)</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691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(12)</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654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(13)</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80" w:type="dxa"/>
            <w:vAlign w:val="bottom"/>
          </w:tcPr>
          <w:p>
            <w:pPr>
              <w:ind w:left="20"/>
              <w:spacing w:after="0"/>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00" w:hanging="652"/>
        <w:spacing w:after="0" w:line="228"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70"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87" w:lineRule="exact"/>
        <w:rPr>
          <w:sz w:val="20"/>
          <w:szCs w:val="20"/>
          <w:color w:val="auto"/>
        </w:rPr>
      </w:pPr>
    </w:p>
    <w:p>
      <w:pPr>
        <w:ind w:left="20" w:right="4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ind w:left="20" w:right="140" w:hanging="11"/>
        <w:spacing w:after="0" w:line="291" w:lineRule="auto"/>
        <w:rPr>
          <w:sz w:val="20"/>
          <w:szCs w:val="20"/>
          <w:color w:val="auto"/>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58" w:lineRule="exact"/>
        <w:rPr>
          <w:sz w:val="20"/>
          <w:szCs w:val="20"/>
          <w:color w:val="auto"/>
        </w:rPr>
      </w:pPr>
    </w:p>
    <w:p>
      <w:pPr>
        <w:ind w:left="20" w:right="180" w:hanging="11"/>
        <w:spacing w:after="0" w:line="286" w:lineRule="auto"/>
        <w:rPr>
          <w:sz w:val="20"/>
          <w:szCs w:val="20"/>
          <w:color w:val="auto"/>
        </w:rPr>
      </w:pPr>
      <w:r>
        <w:rPr>
          <w:rFonts w:ascii="Arial" w:cs="Arial" w:eastAsia="Arial" w:hAnsi="Arial"/>
          <w:sz w:val="17"/>
          <w:szCs w:val="17"/>
          <w:color w:val="auto"/>
        </w:rPr>
        <w:t>During the periods presented, there were fluctuations in the value of CAD to USD, resulting in non-cash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48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29" w:lineRule="exact"/>
        <w:rPr>
          <w:sz w:val="20"/>
          <w:szCs w:val="20"/>
          <w:color w:val="auto"/>
        </w:rPr>
      </w:pPr>
    </w:p>
    <w:p>
      <w:pPr>
        <w:ind w:left="20" w:right="340" w:hanging="7"/>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ectPr>
          <w:pgSz w:w="11900" w:h="16838" w:orient="portrait"/>
          <w:cols w:equalWidth="0" w:num="2">
            <w:col w:w="200" w:space="440"/>
            <w:col w:w="10600"/>
          </w:cols>
          <w:pgMar w:left="320" w:top="125"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940" w:hanging="652"/>
        <w:spacing w:after="0" w:line="227" w:lineRule="auto"/>
        <w:tabs>
          <w:tab w:leader="none" w:pos="648"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w:t>
      </w:r>
    </w:p>
    <w:p>
      <w:pPr>
        <w:spacing w:after="0" w:line="94" w:lineRule="exact"/>
        <w:rPr>
          <w:rFonts w:ascii="Arial" w:cs="Arial" w:eastAsia="Arial" w:hAnsi="Arial"/>
          <w:sz w:val="23"/>
          <w:szCs w:val="23"/>
          <w:color w:val="auto"/>
          <w:vertAlign w:val="superscript"/>
        </w:rPr>
      </w:pPr>
    </w:p>
    <w:p>
      <w:pPr>
        <w:ind w:left="660" w:right="60" w:hanging="652"/>
        <w:spacing w:after="0" w:line="242" w:lineRule="auto"/>
        <w:tabs>
          <w:tab w:leader="none" w:pos="652"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which were issued in October 2017, is payable in cash semi-annually in arrears on May 15 and November 15. See Note 12 to our Consolidated Financial Statements included in Part IV of our 2019 Annual Report on Form 10-K for additional information regarding our preferred units.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82" w:lineRule="exact"/>
        <w:rPr>
          <w:rFonts w:ascii="Arial" w:cs="Arial" w:eastAsia="Arial" w:hAnsi="Arial"/>
          <w:sz w:val="23"/>
          <w:szCs w:val="23"/>
          <w:color w:val="auto"/>
          <w:vertAlign w:val="superscript"/>
        </w:rPr>
      </w:pPr>
    </w:p>
    <w:p>
      <w:pPr>
        <w:ind w:left="640" w:hanging="632"/>
        <w:spacing w:after="0" w:line="219" w:lineRule="auto"/>
        <w:tabs>
          <w:tab w:leader="none" w:pos="64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6" w:lineRule="exact"/>
        <w:rPr>
          <w:sz w:val="20"/>
          <w:szCs w:val="20"/>
          <w:color w:val="auto"/>
        </w:rPr>
      </w:pPr>
    </w:p>
    <w:p>
      <w:pPr>
        <w:ind w:right="40" w:firstLine="357"/>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PAA.</w:t>
      </w:r>
    </w:p>
    <w:p>
      <w:pPr>
        <w:spacing w:after="0" w:line="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 of unconsolidated entities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Inventory valuation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Significant acquisition-related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gridSpan w:val="3"/>
            <w:vMerge w:val="continue"/>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Crude oil pipelines (by region):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5,165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8"/>
              </w:rPr>
              <w:t>4,268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Gulf Coast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Western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Crude oil pipelines</w:t>
            </w: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6,974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8"/>
              </w:rPr>
              <w:t>6,201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7,161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8"/>
              </w:rPr>
              <w:t>6,411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Transportation segment total volumes</w:t>
            </w: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7,255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88"/>
              </w:rPr>
              <w:t>6,504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ind w:right="42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116"/>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6"/>
          </w:tcPr>
          <w:p>
            <w:pPr>
              <w:jc w:val="center"/>
              <w:ind w:left="618"/>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2020-2019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300" w:type="dxa"/>
            <w:vAlign w:val="bottom"/>
          </w:tcPr>
          <w:p>
            <w:pPr>
              <w:spacing w:after="0"/>
              <w:rPr>
                <w:sz w:val="13"/>
                <w:szCs w:val="13"/>
                <w:color w:val="auto"/>
              </w:rPr>
            </w:pPr>
          </w:p>
        </w:tc>
        <w:tc>
          <w:tcPr>
            <w:tcW w:w="90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Related Costs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458"/>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200" w:type="dxa"/>
            <w:vAlign w:val="bottom"/>
          </w:tcPr>
          <w:p>
            <w:pPr>
              <w:spacing w:after="0"/>
              <w:rPr>
                <w:sz w:val="21"/>
                <w:szCs w:val="21"/>
                <w:color w:val="auto"/>
              </w:rPr>
            </w:pPr>
          </w:p>
        </w:tc>
        <w:tc>
          <w:tcPr>
            <w:tcW w:w="1000" w:type="dxa"/>
            <w:vAlign w:val="bottom"/>
          </w:tcPr>
          <w:p>
            <w:pPr>
              <w:jc w:val="center"/>
              <w:ind w:left="418"/>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regions, trucking and pipeline loss allowance revenue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418"/>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598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center"/>
              <w:ind w:left="458"/>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980" w:hanging="324"/>
        <w:spacing w:after="0" w:line="279"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The increase in revenues, net of purchases and related costs, of $17 million was primarily due to higher volumes 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gathering systems, primarily due to increased crude oil production in the Delaware Basin and, to a lesser extent, from the gathering system we acquired from Felix Midstream in February 2020. In turn, the increased gathering volumes drove the increase in volumes on our intra-basin pipelines. These increases were partially offset by lower long-haul pipeline movements to Cushing.</w:t>
      </w:r>
    </w:p>
    <w:p>
      <w:pPr>
        <w:spacing w:after="0" w:line="198" w:lineRule="exact"/>
        <w:rPr>
          <w:rFonts w:ascii="Arial" w:cs="Arial" w:eastAsia="Arial" w:hAnsi="Arial"/>
          <w:sz w:val="17"/>
          <w:szCs w:val="17"/>
          <w:color w:val="auto"/>
        </w:rPr>
      </w:pPr>
    </w:p>
    <w:p>
      <w:pPr>
        <w:ind w:left="980" w:right="120"/>
        <w:spacing w:after="0" w:line="277" w:lineRule="auto"/>
        <w:rPr>
          <w:rFonts w:ascii="Arial" w:cs="Arial" w:eastAsia="Arial" w:hAnsi="Arial"/>
          <w:sz w:val="17"/>
          <w:szCs w:val="17"/>
          <w:color w:val="auto"/>
        </w:rPr>
      </w:pPr>
      <w:r>
        <w:rPr>
          <w:rFonts w:ascii="Arial" w:cs="Arial" w:eastAsia="Arial" w:hAnsi="Arial"/>
          <w:sz w:val="18"/>
          <w:szCs w:val="18"/>
          <w:color w:val="auto"/>
        </w:rPr>
        <w:t>The increase in equity earnings over the comparative period was primarily from our 65% interest in the Cactus II pipeline, which was placed in service in the third quarter of 2019.</w:t>
      </w:r>
    </w:p>
    <w:p>
      <w:pPr>
        <w:spacing w:after="0" w:line="197" w:lineRule="exact"/>
        <w:rPr>
          <w:rFonts w:ascii="Arial" w:cs="Arial" w:eastAsia="Arial" w:hAnsi="Arial"/>
          <w:sz w:val="17"/>
          <w:szCs w:val="17"/>
          <w:color w:val="auto"/>
        </w:rPr>
      </w:pPr>
    </w:p>
    <w:p>
      <w:pPr>
        <w:ind w:left="980" w:right="680" w:hanging="324"/>
        <w:spacing w:after="0" w:line="277" w:lineRule="auto"/>
        <w:tabs>
          <w:tab w:leader="none" w:pos="97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was primarily due to lower volumes as a result of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competition in the region.</w:t>
      </w:r>
    </w:p>
    <w:p>
      <w:pPr>
        <w:spacing w:after="0" w:line="197" w:lineRule="exact"/>
        <w:rPr>
          <w:rFonts w:ascii="Arial" w:cs="Arial" w:eastAsia="Arial" w:hAnsi="Arial"/>
          <w:sz w:val="18"/>
          <w:szCs w:val="18"/>
          <w:i w:val="1"/>
          <w:iCs w:val="1"/>
          <w:color w:val="auto"/>
        </w:rPr>
      </w:pPr>
    </w:p>
    <w:p>
      <w:pPr>
        <w:ind w:left="980" w:right="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decrease in equity earnings was primarily due to the impact of refinery downtime on certain of the demand pull pipelines out of Cushing, Oklahoma, in which we own a 50% interest.</w:t>
      </w:r>
    </w:p>
    <w:p>
      <w:pPr>
        <w:spacing w:after="0" w:line="197" w:lineRule="exact"/>
        <w:rPr>
          <w:rFonts w:ascii="Arial" w:cs="Arial" w:eastAsia="Arial" w:hAnsi="Arial"/>
          <w:sz w:val="18"/>
          <w:szCs w:val="18"/>
          <w:i w:val="1"/>
          <w:iCs w:val="1"/>
          <w:color w:val="auto"/>
        </w:rPr>
      </w:pPr>
    </w:p>
    <w:p>
      <w:pPr>
        <w:ind w:left="980" w:right="60" w:hanging="324"/>
        <w:spacing w:after="0" w:line="259" w:lineRule="auto"/>
        <w:tabs>
          <w:tab w:leader="none" w:pos="97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regions, trucking and pipeline loss allowance revenue. </w:t>
      </w:r>
      <w:r>
        <w:rPr>
          <w:rFonts w:ascii="Arial" w:cs="Arial" w:eastAsia="Arial" w:hAnsi="Arial"/>
          <w:sz w:val="18"/>
          <w:szCs w:val="18"/>
          <w:color w:val="auto"/>
        </w:rPr>
        <w:t>The decrease in other revenues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was primarily due to lower pipeline loss allowance revenue in 2020 due to lower prices, as well as the recognition of an inventory valuation adjustment (which impacts revenues but is excluded from Segment Adjusted EBITDA and thus is reflected as an “Adjustment” in the “Operating Results” table above).</w:t>
      </w:r>
    </w:p>
    <w:p>
      <w:pPr>
        <w:spacing w:after="0" w:line="214" w:lineRule="exact"/>
        <w:rPr>
          <w:sz w:val="20"/>
          <w:szCs w:val="20"/>
          <w:color w:val="auto"/>
        </w:rPr>
      </w:pPr>
    </w:p>
    <w:p>
      <w:pPr>
        <w:ind w:right="80" w:firstLine="360"/>
        <w:spacing w:after="0" w:line="24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2020 compared to the same period in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the use of drag reducing agents in our pipelines and a decreased reliance on generators as additional pipeline capacity was in service during the first quarter of 2020. In addition, equity-based compensation costs on liability-classified awards (which are not included as an “Adjustment” in the table above) were lower due to a decrease in our common unit price.</w:t>
      </w:r>
    </w:p>
    <w:p>
      <w:pPr>
        <w:spacing w:after="0" w:line="21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compared to the same period in 2019 was primarily due to acquisition-related expenses associated with the Felix Midstream acquisition (which impact segment general and administrative expenses but are excluded from Segment Adjusted EBITDA and thus are reflected as an “Adjustment” in the table above), partially offset by a lower equity-based compensation costs on liability-classified awards (which are not included as an “Adjustment” in the table above) due to a decrease in our common unit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assets in order to maintain the operating and/or earnings capacity of our existing assets. The increase in maintenance capital for the three months ended March 31, 2020 compared to the same period in 2019 was primarily due to the timing of projects in our integrity management program.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(Gains)/losses from derivative activities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210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0.49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4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4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(6)</w:t>
            </w: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00" w:hanging="11"/>
        <w:spacing w:after="0" w:line="291" w:lineRule="auto"/>
        <w:rPr>
          <w:sz w:val="20"/>
          <w:szCs w:val="20"/>
          <w:color w:val="auto"/>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040" w:hanging="4"/>
        <w:spacing w:after="0" w:line="508"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00"/>
          </w:cols>
          <w:pgMar w:left="320" w:top="125" w:right="439" w:bottom="1440" w:gutter="0" w:footer="0" w:header="0"/>
          <w:type w:val="continuous"/>
        </w:sectPr>
      </w:pPr>
    </w:p>
    <w:p>
      <w:pPr>
        <w:ind w:right="6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40" w:hanging="324"/>
        <w:spacing w:after="0" w:line="259" w:lineRule="auto"/>
        <w:tabs>
          <w:tab w:leader="none" w:pos="975"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were favorably impacted for the three months ended March 31,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by the receipt of a deficiency payment of approximately $20 million upon the expiration of a multi-year contract and from higher fees at certain of our NGL storage facilities. Such favorable impacts were partially offset by lower revenues from certain of our NGL fractionation facilities.</w:t>
      </w:r>
    </w:p>
    <w:p>
      <w:pPr>
        <w:spacing w:after="0" w:line="213" w:lineRule="exact"/>
        <w:rPr>
          <w:rFonts w:ascii="Arial" w:cs="Arial" w:eastAsia="Arial" w:hAnsi="Arial"/>
          <w:sz w:val="18"/>
          <w:szCs w:val="18"/>
          <w:i w:val="1"/>
          <w:iCs w:val="1"/>
          <w:color w:val="auto"/>
        </w:rPr>
      </w:pPr>
    </w:p>
    <w:p>
      <w:pPr>
        <w:ind w:left="980" w:hanging="324"/>
        <w:spacing w:after="0" w:line="286" w:lineRule="auto"/>
        <w:tabs>
          <w:tab w:leader="none" w:pos="975"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Crude Oil Storage. </w:t>
      </w:r>
      <w:r>
        <w:rPr>
          <w:rFonts w:ascii="Arial" w:cs="Arial" w:eastAsia="Arial" w:hAnsi="Arial"/>
          <w:sz w:val="17"/>
          <w:szCs w:val="17"/>
          <w:color w:val="auto"/>
        </w:rPr>
        <w:t>Revenues from our crude oil storage operations increased by $6 million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three months ended March 31, 2019 primarily due to (i) the addition of an aggregate of 1.8 million barrels of storage capacity at our Midland, Cushing and St. James terminals and (ii) increased activity at certain of our West Coast terminals.</w:t>
      </w:r>
    </w:p>
    <w:p>
      <w:pPr>
        <w:spacing w:after="0" w:line="192" w:lineRule="exact"/>
        <w:rPr>
          <w:rFonts w:ascii="Arial" w:cs="Arial" w:eastAsia="Arial" w:hAnsi="Arial"/>
          <w:sz w:val="17"/>
          <w:szCs w:val="17"/>
          <w:i w:val="1"/>
          <w:iCs w:val="1"/>
          <w:color w:val="auto"/>
        </w:rPr>
      </w:pPr>
    </w:p>
    <w:p>
      <w:pPr>
        <w:ind w:left="980" w:right="360" w:hanging="324"/>
        <w:spacing w:after="0" w:line="263" w:lineRule="auto"/>
        <w:tabs>
          <w:tab w:leader="none" w:pos="975"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$5 million for the three months ended March 31, 2020 compared 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primarily due to decreased activity at certain of our rail terminals as a result of less favorable market conditions.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three months ended March 31, 2020 compared to the same period in 2019, maintenance capital spending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lower expenditures related to cavern maintenance at our gas storage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98"/>
              </w:rPr>
              <w:t>(7,813)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98"/>
              </w:rPr>
              <w:t>(7,562)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(Gains)/losses from derivative activities, net of inventory valuation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Long-term inventory costing adjustments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120"/>
              <w:spacing w:after="0"/>
              <w:rPr>
                <w:sz w:val="20"/>
                <w:szCs w:val="20"/>
                <w:color w:val="auto"/>
              </w:rPr>
            </w:pPr>
            <w:r>
              <w:rPr>
                <w:rFonts w:ascii="Arial" w:cs="Arial" w:eastAsia="Arial" w:hAnsi="Arial"/>
                <w:sz w:val="18"/>
                <w:szCs w:val="18"/>
                <w:color w:val="auto"/>
              </w:rPr>
              <w:t>Net (gain)/loss on foreign currency revaluation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8"/>
          </w:tcPr>
          <w:p>
            <w:pPr>
              <w:ind w:left="4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NGL sales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Supply and Logistics segment total volumes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1,456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2160" w:hanging="652"/>
        <w:spacing w:after="0" w:line="543" w:lineRule="auto"/>
        <w:tabs>
          <w:tab w:leader="none" w:pos="648"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2020</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March 31, 2019</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60</w:t>
            </w:r>
          </w:p>
        </w:tc>
      </w:tr>
    </w:tbl>
    <w:p>
      <w:pPr>
        <w:spacing w:after="0" w:line="36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24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compared to the three months ended March 31, 2019, primarily due to less favorable differentials in the Permian Basin, partially offset by more favorable arbitrage opportunities in Canada.</w:t>
      </w:r>
    </w:p>
    <w:p>
      <w:pPr>
        <w:spacing w:after="0" w:line="210"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decreased for the three months ended March 31, 2020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2019, primarily due to weaker fractionation spreads, narrower sales differentials and lower sales volumes.</w:t>
      </w:r>
    </w:p>
    <w:p>
      <w:pPr>
        <w:spacing w:after="0" w:line="146" w:lineRule="exact"/>
        <w:rPr>
          <w:rFonts w:ascii="Arial" w:cs="Arial" w:eastAsia="Arial" w:hAnsi="Arial"/>
          <w:sz w:val="17"/>
          <w:szCs w:val="17"/>
          <w:color w:val="auto"/>
        </w:rPr>
      </w:pPr>
    </w:p>
    <w:p>
      <w:pPr>
        <w:ind w:left="980" w:right="40" w:hanging="324"/>
        <w:spacing w:after="0" w:line="254" w:lineRule="auto"/>
        <w:tabs>
          <w:tab w:leader="none" w:pos="97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w:t>
      </w:r>
      <w:r>
        <w:rPr>
          <w:rFonts w:ascii="Arial" w:cs="Arial" w:eastAsia="Arial" w:hAnsi="Arial"/>
          <w:sz w:val="18"/>
          <w:szCs w:val="18"/>
          <w:b w:val="1"/>
          <w:bCs w:val="1"/>
          <w:color w:val="auto"/>
        </w:rPr>
        <w:t>e.</w:t>
      </w:r>
      <w:r>
        <w:rPr>
          <w:rFonts w:ascii="Arial" w:cs="Arial" w:eastAsia="Arial" w:hAnsi="Arial"/>
          <w:sz w:val="18"/>
          <w:szCs w:val="18"/>
          <w:color w:val="auto"/>
        </w:rPr>
        <w:t xml:space="preserv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jc w:val="both"/>
        <w:ind w:left="980" w:right="160" w:hanging="324"/>
        <w:spacing w:after="0" w:line="286" w:lineRule="auto"/>
        <w:tabs>
          <w:tab w:leader="none" w:pos="97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2020 compared to the same period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a decrease in long-haul third-party trucking costs and a decrease in company personnel and truck costs as additional pipeline capacity came into service after the first quarter of 2019.</w:t>
      </w:r>
    </w:p>
    <w:p>
      <w:pPr>
        <w:spacing w:after="0" w:line="210" w:lineRule="exact"/>
        <w:rPr>
          <w:rFonts w:ascii="Arial" w:cs="Arial" w:eastAsia="Arial" w:hAnsi="Arial"/>
          <w:sz w:val="18"/>
          <w:szCs w:val="18"/>
          <w:i w:val="1"/>
          <w:iCs w:val="1"/>
          <w:color w:val="auto"/>
        </w:rPr>
      </w:pPr>
    </w:p>
    <w:p>
      <w:pPr>
        <w:jc w:val="both"/>
        <w:ind w:left="980" w:right="320" w:hanging="324"/>
        <w:spacing w:after="0" w:line="311" w:lineRule="auto"/>
        <w:tabs>
          <w:tab w:leader="none" w:pos="97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decrease in segment general and administrative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compared to the same period in 2019 was primarily driven by a decrease in equity-based compensation costs on liability-classified awards (which are not included as an “Adjustment” in the table above) due to a decrease in our common unit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months ended March 31, 2020 compared to the three months ended March 31, 2019 largely driven by (i) additional depreciation expense associated with the completion of various capital expansion projects and (ii) a reduction in the useful lives of certain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net loss on asset sales and asset impairments for the three months ended March 31,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During the three months ended March 31, 2020, we recognized a loss of $43 million related to the write-down of certain of our investments in unconsolidated entities. Additionally, during the three months ended March 31, 2020, we recognized a gain of $21 million related to our sale of a 10% interest in Saddlehorn Pipeline Company, LLC. See Note 7 to our Condensed Consolidated Financial Statements for additional information. During the three months ended March 31, 2019, we recognized a non-cash gain of $267 million related to a fair value adjustment resulting from the accounting for the contribution of our undivided joint interest in the Capline pipeline system for an equity interest in Capline Pipeline Company LLC.</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increase in interest expense for the three months ended March 31, 2020 compared to the three months ended March 31, 2019 was primarily due to (i) lower capitalized interest in the 2020 period driven by fewer capital projects under construction and (ii) a higher weighted average debt balance during the 2020 period from higher commercial paper and credit facility borrowings.</w:t>
      </w:r>
    </w:p>
    <w:p>
      <w:pPr>
        <w:sectPr>
          <w:pgSz w:w="11900" w:h="16838" w:orient="portrait"/>
          <w:cols w:equalWidth="0" w:num="1">
            <w:col w:w="11240"/>
          </w:cols>
          <w:pgMar w:left="320" w:top="125"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components impacting Other income/(expense), net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Gain related to mark-to-market adjustment of our Preferred Distribution Rate Reset Option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24599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38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9"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63" w:lineRule="exact"/>
        <w:rPr>
          <w:sz w:val="20"/>
          <w:szCs w:val="20"/>
          <w:color w:val="auto"/>
        </w:rPr>
      </w:pPr>
    </w:p>
    <w:p>
      <w:pPr>
        <w:spacing w:after="0"/>
        <w:tabs>
          <w:tab w:leader="none" w:pos="640" w:val="left"/>
          <w:tab w:leader="none" w:pos="11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w:t>
        <w:tab/>
        <w:t>$</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ind w:left="1920" w:hanging="1329"/>
        <w:spacing w:after="0"/>
        <w:tabs>
          <w:tab w:leader="none" w:pos="19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1</w:t>
      </w:r>
    </w:p>
    <w:p>
      <w:pPr>
        <w:spacing w:after="0" w:line="120"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8"/>
          <w:szCs w:val="18"/>
          <w:color w:val="auto"/>
        </w:rPr>
        <w:t>2</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887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7" w:lineRule="exact"/>
        <w:rPr>
          <w:sz w:val="20"/>
          <w:szCs w:val="20"/>
          <w:color w:val="auto"/>
        </w:rPr>
      </w:pPr>
    </w:p>
    <w:p>
      <w:pPr>
        <w:spacing w:after="0"/>
        <w:tabs>
          <w:tab w:leader="none" w:pos="580" w:val="left"/>
          <w:tab w:leader="none" w:pos="11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388745"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874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160"/>
          </w:cols>
          <w:pgMar w:left="320" w:top="125"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63"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The net loss during the first quarter of 2020 was related to the impact that the change in in the U.S. dollar to Canadian dollar exchange rate had on the portion of our intercompany net investment that is not long-term in nature.</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 expense decreased for the three months ended March 31, 2020 compared to the three months ended March 31, 2019 due to a net loss in the first quarter of 2020 as compared to net income in the previous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(the “CARES Act”), which was enacted on March 27, 2020 in the U.S., includes measures to assist companies, including temporary changes to income and non-income-based tax laws. There were no material tax impacts to our financial statements as it relates to COVID-19 measures. We continue to monitor additional guidance issued by the U.S. Treasury Department, the Internal Revenue Service and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“—Executive Summary —Recent Events &amp;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Investments in Unconsolidated Entities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2020, we owned a 50% undivided joint interest in Red Oak Pipeline LLC (“Red Oak”), which was in the process of developing a new pipeline that would provide crude oil transportation service from Cushing, Oklahoma, and the Permian Basin in West Texas to multiple destinations along the Texas Gulf Coast, including Corpus Christi, Ingleside, Houston and Beaumont, Texas. In March 2020, the partners announced they were deferring the Red Oak pipeline project and suspending actions that would require additional capital spending on the project, and that they would re-evaluate demand for the project in light of recent market developments. If the partners decide not to move forward with the pipeline project, we may recognize an impairment of the carrying value of our interest in Red Oak, which was $54 million as of March 31, 2020 ($122 million including our estimate of committed costs incurred in the second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w:t>
      </w:r>
    </w:p>
    <w:p>
      <w:pPr>
        <w:spacing w:after="0" w:line="2" w:lineRule="exact"/>
        <w:rPr>
          <w:sz w:val="20"/>
          <w:szCs w:val="20"/>
          <w:color w:val="auto"/>
        </w:rPr>
      </w:pPr>
    </w:p>
    <w:p>
      <w:pPr>
        <w:ind w:right="80" w:firstLine="8"/>
        <w:spacing w:after="0" w:line="253" w:lineRule="auto"/>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80" w:firstLine="648"/>
        <w:spacing w:after="0" w:line="293" w:lineRule="auto"/>
        <w:rPr>
          <w:sz w:val="20"/>
          <w:szCs w:val="20"/>
          <w:color w:val="auto"/>
        </w:rPr>
      </w:pPr>
      <w:r>
        <w:rPr>
          <w:rFonts w:ascii="Arial" w:cs="Arial" w:eastAsia="Arial" w:hAnsi="Arial"/>
          <w:sz w:val="17"/>
          <w:szCs w:val="17"/>
          <w:color w:val="auto"/>
        </w:rPr>
        <w:t>As of March 31, 2020, although we had a working capital deficit of $286 million, we had approximately $2.5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9"/>
        </w:trPr>
        <w:tc>
          <w:tcPr>
            <w:tcW w:w="9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615"/>
              <w:spacing w:after="0" w:line="149" w:lineRule="exact"/>
              <w:rPr>
                <w:sz w:val="20"/>
                <w:szCs w:val="20"/>
                <w:color w:val="auto"/>
              </w:rPr>
            </w:pPr>
            <w:r>
              <w:rPr>
                <w:rFonts w:ascii="Arial" w:cs="Arial" w:eastAsia="Arial" w:hAnsi="Arial"/>
                <w:sz w:val="14"/>
                <w:szCs w:val="14"/>
                <w:b w:val="1"/>
                <w:bCs w:val="1"/>
                <w:color w:val="auto"/>
              </w:rPr>
              <w:t>As of</w:t>
            </w:r>
          </w:p>
        </w:tc>
      </w:tr>
      <w:tr>
        <w:trPr>
          <w:trHeight w:val="192"/>
        </w:trPr>
        <w:tc>
          <w:tcPr>
            <w:tcW w:w="9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March 31, 2020</w:t>
            </w:r>
          </w:p>
        </w:tc>
      </w:tr>
      <w:tr>
        <w:trPr>
          <w:trHeight w:val="27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1,583</w:t>
            </w:r>
          </w:p>
        </w:tc>
      </w:tr>
      <w:tr>
        <w:trPr>
          <w:trHeight w:val="27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897</w:t>
            </w:r>
          </w:p>
        </w:tc>
      </w:tr>
      <w:tr>
        <w:trPr>
          <w:trHeight w:val="244"/>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2,480</w:t>
            </w:r>
          </w:p>
        </w:tc>
      </w:tr>
      <w:tr>
        <w:trPr>
          <w:trHeight w:val="243"/>
        </w:trPr>
        <w:tc>
          <w:tcPr>
            <w:tcW w:w="9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38</w:t>
            </w:r>
          </w:p>
        </w:tc>
      </w:tr>
      <w:tr>
        <w:trPr>
          <w:trHeight w:val="27"/>
        </w:trPr>
        <w:tc>
          <w:tcPr>
            <w:tcW w:w="9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2,518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60" w:hanging="652"/>
        <w:spacing w:after="0" w:line="227" w:lineRule="auto"/>
        <w:tabs>
          <w:tab w:leader="none" w:pos="64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 There were no commercial paper borrowings outstanding as of March 31,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20" w:hanging="652"/>
        <w:spacing w:after="0" w:line="227"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$97 million and $9 million, respectively.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March 31, 2020, we were in compliance with all such covenants. Also, see Item 1A. “Risk Factors” included in our 2019 Annual Report on Form 10-K and Item 1A. “Risk Factors” below in Part II of this Form 10-Q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2020 and 2019 was $890 million and $1,033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During the three months ended March 31, 2020 and 2019,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expansion capital projects and maintenance activities. However, in the near term we do not plan to issue common equity to fund such activities.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3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$352 million in midstream infrastructure during the three months ended March 31, 2020, and we expect to invest</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$1.1 billion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January 2020, we entered into a definitive agreement to sell certain of our Los Angeles Basin crude oil terminals for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and expect the transaction to close in the second half of 2020.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2019 Annual Report on Form 10-K for further discussion regarding risks related to our acquisitions and divestitures.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shelf registration statement that, subject to effectiveness at the time of use, allows us to issue up to an aggregate of $1.1 billion of debt or equity securities (“Traditional Shelf”). At March 31, 2020,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2020.</w:t>
      </w:r>
    </w:p>
    <w:p>
      <w:pPr>
        <w:spacing w:after="0" w:line="192" w:lineRule="exact"/>
        <w:rPr>
          <w:sz w:val="20"/>
          <w:szCs w:val="20"/>
          <w:color w:val="auto"/>
        </w:rPr>
      </w:pPr>
    </w:p>
    <w:p>
      <w:pPr>
        <w:ind w:right="200" w:firstLine="68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our revolving credit facilities (which impact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March 31, 2020, we were in compliance with the covenants contained in our credit agreements and indentures.</w:t>
      </w:r>
    </w:p>
    <w:p>
      <w:pPr>
        <w:spacing w:after="0" w:line="219" w:lineRule="exact"/>
        <w:rPr>
          <w:sz w:val="20"/>
          <w:szCs w:val="20"/>
          <w:color w:val="auto"/>
        </w:rPr>
      </w:pPr>
    </w:p>
    <w:p>
      <w:pPr>
        <w:ind w:right="100" w:firstLine="688"/>
        <w:spacing w:after="0" w:line="272" w:lineRule="auto"/>
        <w:rPr>
          <w:sz w:val="20"/>
          <w:szCs w:val="20"/>
          <w:color w:val="auto"/>
        </w:rPr>
      </w:pPr>
      <w:r>
        <w:rPr>
          <w:rFonts w:ascii="Arial" w:cs="Arial" w:eastAsia="Arial" w:hAnsi="Arial"/>
          <w:sz w:val="17"/>
          <w:szCs w:val="17"/>
          <w:color w:val="auto"/>
        </w:rPr>
        <w:t>Our fixed-rate senior notes had a face value of approximately $9.0 billion at both March 31, 2020 and December 31, 2019. We estimated the aggregate fair value of these notes as of March 31, 2020 and December 31, 2019 to be approximately $7.2 billion and $9.3 billion, respectively. Our fixed-rate senior notes are traded among institutions, and these trades are routinely published by a reporting service. Our determination of fair value is based on reported trading activity near the end of the reporting period. The decrease in the fair value of our fixed-rate senior notes is attributable to widening credit spreads in the secondary market for the debt of oil and gas industry participants in general, and our debt and many of our peers in the United States midstream sector specifically. This widening has occurred due to a number of external forces, such as the collapse of oil prices driven by both the decrease in demand caused by the COVID-19 pandemic and excess supply.</w:t>
      </w:r>
    </w:p>
    <w:p>
      <w:pPr>
        <w:spacing w:after="0" w:line="204"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During the three months ended March 31, 2020, we had net repayments on our credit agreements and commercial paper program of $4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2"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As of March 31, 2019 and December 31, 2018, we had no outstanding borrowings under our credit agreements or commercial paper program. However, during the three months ended March 31, 2019, we borrowed and repaid $0.5 billion under our commercial paper program. The repayments resulted primarily from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Distributions to our Series A preferred unitholders. </w:t>
      </w:r>
      <w:r>
        <w:rPr>
          <w:rFonts w:ascii="Arial" w:cs="Arial" w:eastAsia="Arial" w:hAnsi="Arial"/>
          <w:sz w:val="17"/>
          <w:szCs w:val="17"/>
          <w:color w:val="auto"/>
        </w:rPr>
        <w:t>On May 15, 2020, we will pay a cash distribution of $37 million ($0.525 per unit) on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units outstanding as of May 1, 2020, the record date for such distribution for the period from January 1, 2020 through March 31,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Note 9 to our Condensed Consolidated Financial Statements for details of distributions made during or pertaining to the first three months of 2020.</w:t>
      </w:r>
    </w:p>
    <w:p>
      <w:pPr>
        <w:spacing w:after="0" w:line="234"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Distributions to Series B preferred unitholders. </w:t>
      </w:r>
      <w:r>
        <w:rPr>
          <w:rFonts w:ascii="Arial" w:cs="Arial" w:eastAsia="Arial" w:hAnsi="Arial"/>
          <w:sz w:val="18"/>
          <w:szCs w:val="18"/>
          <w:color w:val="auto"/>
        </w:rPr>
        <w:t>Distributions on our Series B preferred units are payable in cash semi-annually in arrears on the 15th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May and November. On May 15, 2020, we will pay the semi-annual cash distribution of $24.5 million on our Series B preferred units to holders of record at the close of business on May 1, 2020 for the period from November 15, 2019 to May 14, 2020. See Note 9 to our Condensed Consolidated Financial Statements for additional information.</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Distributions to our common unitholders. </w:t>
      </w:r>
      <w:r>
        <w:rPr>
          <w:rFonts w:ascii="Arial" w:cs="Arial" w:eastAsia="Arial" w:hAnsi="Arial"/>
          <w:sz w:val="16"/>
          <w:szCs w:val="16"/>
          <w:color w:val="auto"/>
        </w:rPr>
        <w:t>In accordance with our partnership agreement, after making distributions to holders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May 15, 2020, we will pay a quarterly distribution of $0.18 per common unit ($0.72 per common unit on an annualized basis), which equates to a reduction of 50% compared to the quarterly distribution of $0.36 per common unit ($1.44 per common unit on an annualized basis) paid in February 2020. This reduction was made in response to the current dynamic and uncertain market conditions to further reinforce our commitment to maintaining a solid capital structure and strong liquidity. See “—Executive Summary —Recent Events &amp; Outlook” for further discussion. See Note 9 to our Condensed Consolidated Financial Statements for details of distributions paid during or pertaining to the first three months of 2020. Also, see Item 5. “Market for Registrant’s Common Units, Related Unitholder Matters and Issuer Purchases of Equity Securities—Cash Distribution Policy” included in our 2019 Annual Report on Form 10-K for additional discussion regarding distributions.</w:t>
      </w:r>
    </w:p>
    <w:p>
      <w:pPr>
        <w:spacing w:after="0" w:line="20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1,026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1,312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1,636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8,753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37"/>
        </w:trPr>
        <w:tc>
          <w:tcPr>
            <w:tcW w:w="422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17,984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14,024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43,779</w:t>
            </w:r>
          </w:p>
        </w:tc>
        <w:tc>
          <w:tcPr>
            <w:tcW w:w="0" w:type="dxa"/>
            <w:vAlign w:val="bottom"/>
          </w:tcPr>
          <w:p>
            <w:pPr>
              <w:spacing w:after="0"/>
              <w:rPr>
                <w:sz w:val="1"/>
                <w:szCs w:val="1"/>
                <w:color w:val="auto"/>
              </w:rPr>
            </w:pPr>
          </w:p>
        </w:tc>
      </w:tr>
      <w:tr>
        <w:trPr>
          <w:trHeight w:val="263"/>
        </w:trPr>
        <w:tc>
          <w:tcPr>
            <w:tcW w:w="422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24,271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61,763</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16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8 to our Condensed Consolidated Financial Statements.</w:t>
      </w:r>
    </w:p>
    <w:p>
      <w:pPr>
        <w:spacing w:after="0" w:line="84"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noncancelable commitments related to our capital expansion projects, including projected contributions for our share of the capital spending of our equity method investments. The storage, processing and transportation agreements include approximately $1.8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March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March 31, 2020 and December 31, 2019, we had outstanding letters of credit of approximately $106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20" w:hanging="324"/>
        <w:spacing w:after="0" w:line="293"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continuation of a swift and material decline in global crude oil demand and crude oil prices for an uncertain period of time that correspondingly may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91" w:lineRule="exact"/>
        <w:rPr>
          <w:rFonts w:ascii="Arial" w:cs="Arial" w:eastAsia="Arial" w:hAnsi="Arial"/>
          <w:sz w:val="16"/>
          <w:szCs w:val="16"/>
          <w:color w:val="auto"/>
        </w:rPr>
      </w:pPr>
    </w:p>
    <w:p>
      <w:pPr>
        <w:ind w:left="980" w:right="40" w:hanging="324"/>
        <w:spacing w:after="0" w:line="279"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98" w:lineRule="exact"/>
        <w:rPr>
          <w:rFonts w:ascii="Arial" w:cs="Arial" w:eastAsia="Arial" w:hAnsi="Arial"/>
          <w:sz w:val="17"/>
          <w:szCs w:val="17"/>
          <w:color w:val="auto"/>
        </w:rPr>
      </w:pPr>
    </w:p>
    <w:p>
      <w:pPr>
        <w:ind w:left="980" w:right="20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0" w:lineRule="exact"/>
        <w:rPr>
          <w:rFonts w:ascii="Arial" w:cs="Arial" w:eastAsia="Arial" w:hAnsi="Arial"/>
          <w:sz w:val="16"/>
          <w:szCs w:val="16"/>
          <w:color w:val="auto"/>
        </w:rPr>
      </w:pPr>
    </w:p>
    <w:p>
      <w:pPr>
        <w:ind w:left="980" w:right="400" w:hanging="324"/>
        <w:spacing w:after="0" w:line="263"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w:t>
      </w:r>
    </w:p>
    <w:p>
      <w:pPr>
        <w:spacing w:after="0" w:line="210"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14"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0" w:lineRule="exact"/>
        <w:rPr>
          <w:rFonts w:ascii="Arial" w:cs="Arial" w:eastAsia="Arial" w:hAnsi="Arial"/>
          <w:sz w:val="16"/>
          <w:szCs w:val="16"/>
          <w:color w:val="auto"/>
        </w:rPr>
      </w:pPr>
    </w:p>
    <w:p>
      <w:pPr>
        <w:ind w:left="980" w:right="48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operational difficulties due to physical distancing restrictions and the additional demands such restrictions may place on our employees, which may in turn make it more challenging to retain or recruit talented labor;</w:t>
      </w:r>
    </w:p>
    <w:p>
      <w:pPr>
        <w:spacing w:after="0" w:line="197"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38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280" w:hanging="324"/>
        <w:spacing w:after="0" w:line="342" w:lineRule="auto"/>
        <w:tabs>
          <w:tab w:leader="none" w:pos="9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right="58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0" w:lineRule="exact"/>
        <w:rPr>
          <w:rFonts w:ascii="Arial" w:cs="Arial" w:eastAsia="Arial" w:hAnsi="Arial"/>
          <w:sz w:val="16"/>
          <w:szCs w:val="16"/>
          <w:color w:val="auto"/>
        </w:rPr>
      </w:pPr>
    </w:p>
    <w:p>
      <w:pPr>
        <w:ind w:left="980" w:hanging="324"/>
        <w:spacing w:after="0" w:line="263"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28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8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9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color w:val="auto"/>
        </w:rPr>
      </w:pPr>
    </w:p>
    <w:p>
      <w:pPr>
        <w:ind w:left="1300" w:right="60"/>
        <w:spacing w:after="0" w:line="263" w:lineRule="auto"/>
        <w:rPr>
          <w:rFonts w:ascii="Arial" w:cs="Arial" w:eastAsia="Arial" w:hAnsi="Arial"/>
          <w:sz w:val="18"/>
          <w:szCs w:val="18"/>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2020 that would be expected from a 10% price increase or decrease is shown in the table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2020, approximately $614 million, was subject to interest rate re-sets that generally range from one day to approximately one month. The average interest rate on variable rate debt that was outstanding during the three months ended March 31, 2020 was 2.2%, based upon rates in effect during such period. The fair value of our interest rate derivatives was a liability of $124 million as of March 31, 2020. A 10% increase in the forward LIBOR curve as of March 31, 2020 would have resulted in an increase of $14 million to the fair value of our interest rate derivatives. A 10% decrease in the forward LIBOR curve as of March 31, 2020 would have resulted in a decrease of $14 million to the fair value of our interest rate derivatives. See Note 10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$5 million as of March 31, 2020. A 10% increase in the exchange rate (USD-to-CAD) would have resulted in a decrease of $17 million to the fair value of our foreign currency derivatives. A 10% decrease in the exchange rate (USD-to-CAD) would have resulted in an increase of $17 million to the fair value of our foreign currency derivatives. See Note 10 to our Condensed Consolidated Financial Statements for a discussion of our currency exchange rate risk hedging.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$8 million as of March 31, 2020. A 10% increase or decrease in the fair value would have an impact of $1 million. See Note 10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a discussion regarding our risk factors, see Item 1A. of our 2019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as could the following:</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unit price can be adversely affected by pandemics, epidemics or other public health emergencies, such as the recent COVID-19 pandemic.</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results of operations, financial condition, cash flows and unit price can be adversely affected by pandemics, epidemics or other public health emergencies, such as the recent outbreak of COVID-19. The COVID-19 pandemic has given rise to and/or heightened a variety of risks and uncertainties inherent in our business, many of which are described in our 2019 Annual Report. Such risks and uncertainties, which in some cases have been exacerbated by events and circumstances that are not related to the COVID-19 pandemic, have either already begun to adversely impact our business or are reasonably likely to adversely impact our business in the future. These risks, uncertainties and other factors include the following:</w:t>
      </w:r>
    </w:p>
    <w:p>
      <w:pPr>
        <w:spacing w:after="0" w:line="217" w:lineRule="exact"/>
        <w:rPr>
          <w:sz w:val="20"/>
          <w:szCs w:val="20"/>
          <w:color w:val="auto"/>
        </w:rPr>
      </w:pPr>
    </w:p>
    <w:p>
      <w:pPr>
        <w:ind w:left="660" w:hanging="328"/>
        <w:spacing w:after="0" w:line="250" w:lineRule="auto"/>
        <w:tabs>
          <w:tab w:leader="none" w:pos="648" w:val="left"/>
        </w:tabs>
        <w:numPr>
          <w:ilvl w:val="0"/>
          <w:numId w:val="63"/>
        </w:numPr>
        <w:rPr>
          <w:rFonts w:ascii="Arial" w:cs="Arial" w:eastAsia="Arial" w:hAnsi="Arial"/>
          <w:sz w:val="20"/>
          <w:szCs w:val="20"/>
          <w:color w:val="auto"/>
        </w:rPr>
      </w:pPr>
      <w:r>
        <w:rPr>
          <w:rFonts w:ascii="Arial" w:cs="Arial" w:eastAsia="Arial" w:hAnsi="Arial"/>
          <w:sz w:val="18"/>
          <w:szCs w:val="18"/>
          <w:color w:val="auto"/>
        </w:rPr>
        <w:t>The pandemic has resulted in a swift and material decline in global crude oil demand and crude oil prices, which we anticipate will lead to a significant reduction of domestic crude oil, NGL and natural gas production (whether due to reduced producer cash flow to fund drilling activities, the inability of producers to access capital,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34" w:lineRule="exact"/>
        <w:rPr>
          <w:rFonts w:ascii="Arial" w:cs="Arial" w:eastAsia="Arial" w:hAnsi="Arial"/>
          <w:sz w:val="20"/>
          <w:szCs w:val="20"/>
          <w:color w:val="auto"/>
        </w:rPr>
      </w:pPr>
    </w:p>
    <w:p>
      <w:pPr>
        <w:ind w:left="660" w:hanging="328"/>
        <w:spacing w:after="0" w:line="270" w:lineRule="auto"/>
        <w:tabs>
          <w:tab w:leader="none" w:pos="648" w:val="left"/>
        </w:tabs>
        <w:numPr>
          <w:ilvl w:val="0"/>
          <w:numId w:val="63"/>
        </w:numPr>
        <w:rPr>
          <w:rFonts w:ascii="Arial" w:cs="Arial" w:eastAsia="Arial" w:hAnsi="Arial"/>
          <w:sz w:val="19"/>
          <w:szCs w:val="19"/>
          <w:color w:val="auto"/>
        </w:rPr>
      </w:pPr>
      <w:r>
        <w:rPr>
          <w:rFonts w:ascii="Arial" w:cs="Arial" w:eastAsia="Arial" w:hAnsi="Arial"/>
          <w:sz w:val="17"/>
          <w:szCs w:val="17"/>
          <w:color w:val="auto"/>
        </w:rPr>
        <w:t>The significant decline in global crude oil demand has contributed to an oversupply of crude oil that has been exacerbated by the actions of foreign oil producers (most notably Saudi Arabia and Russia), who significantly increased crude oil production during the first quarter of 2020 and then subsequently announced in early April a temporary production cut of approximately ten million barrels per day.</w:t>
      </w:r>
    </w:p>
    <w:p>
      <w:pPr>
        <w:spacing w:after="0" w:line="218" w:lineRule="exact"/>
        <w:rPr>
          <w:rFonts w:ascii="Arial" w:cs="Arial" w:eastAsia="Arial" w:hAnsi="Arial"/>
          <w:sz w:val="19"/>
          <w:szCs w:val="19"/>
          <w:color w:val="auto"/>
        </w:rPr>
      </w:pPr>
    </w:p>
    <w:p>
      <w:pPr>
        <w:ind w:left="660" w:right="340" w:hanging="328"/>
        <w:spacing w:after="0" w:line="29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6"/>
          <w:szCs w:val="16"/>
          <w:color w:val="auto"/>
        </w:rPr>
        <w:t>Because global demand for crude oil has declined more rapidly than supply, storage facilities have been filling at an accelerated rate and will likely reach levels at or near maximum operating capacity during the second quarter of 2020. This will lead to an “overhang” of significant amounts of crude oil inventory stored in the United States and elsewhere, a factor that has contributed to a material decline in crude oil prices.</w:t>
      </w:r>
    </w:p>
    <w:p>
      <w:pPr>
        <w:spacing w:after="0" w:line="202" w:lineRule="exact"/>
        <w:rPr>
          <w:rFonts w:ascii="Arial" w:cs="Arial" w:eastAsia="Arial" w:hAnsi="Arial"/>
          <w:sz w:val="18"/>
          <w:szCs w:val="18"/>
          <w:color w:val="auto"/>
        </w:rPr>
      </w:pPr>
    </w:p>
    <w:p>
      <w:pPr>
        <w:ind w:left="660" w:hanging="328"/>
        <w:spacing w:after="0" w:line="300"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6"/>
          <w:szCs w:val="16"/>
          <w:color w:val="auto"/>
        </w:rPr>
        <w:t>The resulting macroeconomic environment of reduced crude oil demand, excess crude oil supply and low crude oil prices has caused producers throughout North America, including many of our customers in the Permian Basin and elsewhere, to begin cutting back on production levels and may eventually lead to the shutting in of production by such producers. This could have a material adverse effect on the demand for the midstream services we offer and the commercial opportunities that are available to us. In turn, such factors could have a material adverse impact on our financial performance during the current year and future periods. A turnaround of these adverse macroeconomic</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factors depends largely on an increase in global demand for crude oil, which will be driven primarily by the length of time it takes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The timing of any such easing of restrictions and resulting market recovery is highly uncertain and depends on a wide variety of factors that are outside of our control, including the development and effectiveness of COVID-19 testing protocols, treatments and vaccines; the capacity of our healthcare systems and public health infrastructure to manage current and future outbreaks; the availability and impact of new epidemiological information about the virus; and various political and economic considerations. Even once such restrictions are lifted, it is unknown whether consumption of petroleum products will return to pre-COVID levels, due to changes in consumer habits or preferences. As a result, we are unable to predict the timing of any such market recovery, including a return to market conditions that are more conducive to an increase in drilling and production activities in the United States and Canada.</w:t>
      </w:r>
    </w:p>
    <w:p>
      <w:pPr>
        <w:spacing w:after="0" w:line="209" w:lineRule="exact"/>
        <w:rPr>
          <w:sz w:val="20"/>
          <w:szCs w:val="20"/>
          <w:color w:val="auto"/>
        </w:rPr>
      </w:pPr>
    </w:p>
    <w:p>
      <w:pPr>
        <w:ind w:left="660" w:right="220" w:hanging="328"/>
        <w:spacing w:after="0" w:line="287"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6"/>
          <w:szCs w:val="16"/>
          <w:color w:val="auto"/>
        </w:rPr>
        <w:t>We anticipate an increased risk of nonpayment and nonperformance by customers or other counterparties. Our customers or counterparties may refuse or be unable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bankruptcy proceedings, governmental orders or guidance), the exercise of contractual or common law rights that allegedly excuse their performance (such as force majeure or similar claims) or other factors.</w:t>
      </w:r>
    </w:p>
    <w:p>
      <w:pPr>
        <w:spacing w:after="0" w:line="208" w:lineRule="exact"/>
        <w:rPr>
          <w:rFonts w:ascii="Arial" w:cs="Arial" w:eastAsia="Arial" w:hAnsi="Arial"/>
          <w:sz w:val="18"/>
          <w:szCs w:val="18"/>
          <w:color w:val="auto"/>
        </w:rPr>
      </w:pPr>
    </w:p>
    <w:p>
      <w:pPr>
        <w:ind w:left="660" w:right="180" w:hanging="328"/>
        <w:spacing w:after="0" w:line="250"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18"/>
          <w:szCs w:val="18"/>
          <w:color w:val="auto"/>
        </w:rPr>
        <w:t>We may face additional challenges maintaining our investment grade credit rating, which could in turn reduce our borrowing capacity and cause our counterparties to reduce the amount of open credit we receive from them. Disruptions to futures markets for crude oil, NGL and other petroleum products may also impair our ability to execute our commercial and hedging strategies.</w:t>
      </w:r>
    </w:p>
    <w:p>
      <w:pPr>
        <w:spacing w:after="0" w:line="233"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18"/>
          <w:szCs w:val="18"/>
          <w:color w:val="auto"/>
        </w:rPr>
        <w:t>Many of our support functions are operating remotely, which presents technical and communication challenges. As a result, we may be more vulnerable to cybersecurity breaches, risk management oversights or other delays in, or disruptions to, communications, which may in turn affect our ability to effectively manage our business.</w:t>
      </w:r>
    </w:p>
    <w:p>
      <w:pPr>
        <w:spacing w:after="0" w:line="233" w:lineRule="exact"/>
        <w:rPr>
          <w:rFonts w:ascii="Arial" w:cs="Arial" w:eastAsia="Arial" w:hAnsi="Arial"/>
          <w:sz w:val="20"/>
          <w:szCs w:val="20"/>
          <w:color w:val="auto"/>
        </w:rPr>
      </w:pPr>
    </w:p>
    <w:p>
      <w:pPr>
        <w:ind w:left="660" w:right="820" w:hanging="328"/>
        <w:spacing w:after="0" w:line="250"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18"/>
          <w:szCs w:val="18"/>
          <w:color w:val="auto"/>
        </w:rPr>
        <w:t>We may face operational difficulties due to physical distancing restrictions. Such restrictions may also place additional demands on our employees, which may in turn make it more challenging to retain or recruit talented labor.</w:t>
      </w:r>
    </w:p>
    <w:p>
      <w:pPr>
        <w:spacing w:after="0" w:line="233"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18"/>
          <w:szCs w:val="18"/>
          <w:color w:val="auto"/>
        </w:rPr>
        <w:t>We may have additional difficulties performing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233" w:lineRule="exact"/>
        <w:rPr>
          <w:rFonts w:ascii="Arial" w:cs="Arial" w:eastAsia="Arial" w:hAnsi="Arial"/>
          <w:sz w:val="20"/>
          <w:szCs w:val="20"/>
          <w:color w:val="auto"/>
        </w:rPr>
      </w:pPr>
    </w:p>
    <w:p>
      <w:pPr>
        <w:ind w:left="660" w:right="80" w:hanging="328"/>
        <w:spacing w:after="0" w:line="250"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18"/>
          <w:szCs w:val="18"/>
          <w:color w:val="auto"/>
        </w:rPr>
        <w:t>The COVID-19 pandemic has caused widespread supply chain disruptions, which may make it more challenging to obtain sufficient quantities of high quality materials at acceptable prices and in a timely manner. If we are unable to source such materials, it could materially and adversely affect our ability to construct new infrastructure and maintain our existing assets.</w:t>
      </w:r>
    </w:p>
    <w:p>
      <w:pPr>
        <w:spacing w:after="0" w:line="22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April 2020, we announced certain actions in response to the COVID-19 pandemic, including a reduction in distributions on our common units, planned reductions in capital expenditures, asset divestitures and other cost reductions throughout the organization and supply chain. However, we may be unable to reduce capital expenditures to the extent forecasted, effectively divest assets at attractive prices or realize anticipated cost savings. Even if we are able to execute our planned actions, they may be insufficient to maintain our liquidity and capital structure.</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all of these reasons, we cannot reasonably estimate with any degree of certainty the future impact COVID-19 may have on our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7" w:lineRule="exact"/>
        <w:rPr>
          <w:sz w:val="20"/>
          <w:szCs w:val="20"/>
          <w:color w:val="auto"/>
        </w:rPr>
      </w:pPr>
    </w:p>
    <w:p>
      <w:pPr>
        <w:ind w:left="220"/>
        <w:spacing w:after="0"/>
        <w:tabs>
          <w:tab w:leader="none" w:pos="606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06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4" w:lineRule="exact"/>
        <w:rPr>
          <w:sz w:val="20"/>
          <w:szCs w:val="20"/>
          <w:color w:val="auto"/>
        </w:rPr>
      </w:pPr>
    </w:p>
    <w:p>
      <w:pPr>
        <w:ind w:left="500"/>
        <w:spacing w:after="0"/>
        <w:tabs>
          <w:tab w:leader="none" w:pos="1380" w:val="left"/>
          <w:tab w:leader="none" w:pos="1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0000FF"/>
        </w:rPr>
        <w:t>Seventh Amended and Restated Agreement of Limited Partnership of Plains All American Pipeline, L.P., dated as of October 10,</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8"/>
          <w:szCs w:val="18"/>
          <w:u w:val="single" w:color="auto"/>
          <w:color w:val="0000FF"/>
        </w:rPr>
        <w:t>2017 (incorporated by reference to Exhibit 3.1 to our Current Report on Form 8-K filed October 12, 2017).</w:t>
      </w:r>
    </w:p>
    <w:p>
      <w:pPr>
        <w:spacing w:after="0" w:line="115" w:lineRule="exact"/>
        <w:rPr>
          <w:sz w:val="20"/>
          <w:szCs w:val="20"/>
          <w:color w:val="auto"/>
        </w:rPr>
      </w:pPr>
    </w:p>
    <w:p>
      <w:pPr>
        <w:ind w:left="1400" w:right="80" w:hanging="1270"/>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400" w:right="2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400" w:right="1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400" w:right="2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400" w:right="2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400" w:right="20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400" w:hanging="1270"/>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400" w:right="3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2013).</w:t>
        </w:r>
      </w:hyperlink>
    </w:p>
    <w:p>
      <w:pPr>
        <w:spacing w:after="0" w:line="80" w:lineRule="exact"/>
        <w:rPr>
          <w:rFonts w:ascii="Arial" w:cs="Arial" w:eastAsia="Arial" w:hAnsi="Arial"/>
          <w:sz w:val="18"/>
          <w:szCs w:val="18"/>
          <w:color w:val="auto"/>
        </w:rPr>
      </w:pPr>
    </w:p>
    <w:p>
      <w:pPr>
        <w:ind w:left="460"/>
        <w:spacing w:after="0"/>
        <w:tabs>
          <w:tab w:leader="none" w:pos="1380" w:val="left"/>
          <w:tab w:leader="none" w:pos="176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53">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spacing w:after="0" w:line="8" w:lineRule="exact"/>
        <w:rPr>
          <w:rFonts w:ascii="Arial" w:cs="Arial" w:eastAsia="Arial" w:hAnsi="Arial"/>
          <w:sz w:val="18"/>
          <w:szCs w:val="18"/>
          <w:color w:val="auto"/>
        </w:rPr>
      </w:pPr>
    </w:p>
    <w:p>
      <w:pPr>
        <w:ind w:left="178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400" w:right="300" w:hanging="1312"/>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400" w:right="2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79" w:lineRule="exact"/>
        <w:rPr>
          <w:sz w:val="20"/>
          <w:szCs w:val="20"/>
          <w:color w:val="auto"/>
        </w:rPr>
      </w:pPr>
    </w:p>
    <w:p>
      <w:pPr>
        <w:ind w:left="460"/>
        <w:spacing w:after="0"/>
        <w:tabs>
          <w:tab w:leader="none" w:pos="1380" w:val="left"/>
          <w:tab w:leader="none" w:pos="176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56">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spacing w:after="0" w:line="8" w:lineRule="exact"/>
        <w:rPr>
          <w:sz w:val="20"/>
          <w:szCs w:val="20"/>
          <w:color w:val="auto"/>
        </w:rPr>
      </w:pPr>
    </w:p>
    <w:p>
      <w:pPr>
        <w:ind w:left="178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400" w:right="200" w:hanging="1315"/>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60" w:right="820"/>
        <w:spacing w:after="0" w:line="258" w:lineRule="auto"/>
        <w:rPr>
          <w:rFonts w:ascii="Arial" w:cs="Arial" w:eastAsia="Arial" w:hAnsi="Arial"/>
          <w:sz w:val="17"/>
          <w:szCs w:val="17"/>
          <w:color w:val="0000FF"/>
        </w:rPr>
      </w:pPr>
      <w:r>
        <w:rPr>
          <w:rFonts w:ascii="Arial" w:cs="Arial" w:eastAsia="Arial" w:hAnsi="Arial"/>
          <w:sz w:val="17"/>
          <w:szCs w:val="17"/>
          <w:color w:val="auto"/>
        </w:rPr>
        <w:t xml:space="preserve">3.15       —  </w:t>
      </w:r>
      <w:hyperlink r:id="rId158">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58">
        <w:r>
          <w:rPr>
            <w:rFonts w:ascii="Arial" w:cs="Arial" w:eastAsia="Arial" w:hAnsi="Arial"/>
            <w:sz w:val="17"/>
            <w:szCs w:val="17"/>
            <w:u w:val="single" w:color="auto"/>
            <w:color w:val="0000FF"/>
          </w:rPr>
          <w:t>(incorporated by reference to Exhibit 3.11 to our Annual Report on Form 10-K for the year ended December 31, 2006)</w:t>
        </w:r>
        <w:r>
          <w:rPr>
            <w:rFonts w:ascii="Arial" w:cs="Arial" w:eastAsia="Arial" w:hAnsi="Arial"/>
            <w:sz w:val="17"/>
            <w:szCs w:val="17"/>
            <w:color w:val="0000FF"/>
          </w:rPr>
          <w:t>.</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400" w:right="24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400" w:right="70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62">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62">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400" w:right="2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400" w:right="28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400" w:right="8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 xml:space="preserve">— </w:t>
      </w:r>
      <w:hyperlink r:id="rId165">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65">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400" w:right="12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66">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400" w:right="10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67">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67">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400" w:right="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400" w:right="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69">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69">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400" w:right="180" w:hanging="1270"/>
        <w:spacing w:after="0" w:line="237"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70">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70">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400" w:right="80" w:hanging="1270"/>
        <w:spacing w:after="0" w:line="237"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Nineteenth Supplemental Indenture (5.00% Senior Notes due 2021) dated January 14, 2011 among Plains All American Pipeline,</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L.P., PAA Finance Corp., the Subsidiary Guarantors named therein and U.S. Bank National Association, as trustee (incorporated</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by reference to Exhibit 4.1 to our Current Report on Form 8-K filed January 11, 2011).</w:t>
        </w:r>
      </w:hyperlink>
    </w:p>
    <w:p>
      <w:pPr>
        <w:spacing w:after="0" w:line="109" w:lineRule="exact"/>
        <w:rPr>
          <w:rFonts w:ascii="Arial" w:cs="Arial" w:eastAsia="Arial" w:hAnsi="Arial"/>
          <w:sz w:val="17"/>
          <w:szCs w:val="17"/>
          <w:color w:val="auto"/>
        </w:rPr>
      </w:pPr>
    </w:p>
    <w:p>
      <w:pPr>
        <w:jc w:val="both"/>
        <w:ind w:left="1400" w:right="1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400" w:right="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400" w:right="4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400" w:right="5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Exhibit 4.3 to our Current Report on Form 8-K filed December 12, 2012).</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5"/>
              </w:rPr>
              <w:t>4.9</w:t>
            </w:r>
          </w:p>
        </w:tc>
        <w:tc>
          <w:tcPr>
            <w:tcW w:w="10000" w:type="dxa"/>
            <w:vAlign w:val="bottom"/>
            <w:gridSpan w:val="20"/>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77">
              <w:r>
                <w:rPr>
                  <w:rFonts w:ascii="Arial" w:cs="Arial" w:eastAsia="Arial" w:hAnsi="Arial"/>
                  <w:sz w:val="18"/>
                  <w:szCs w:val="18"/>
                  <w:color w:val="0000FF"/>
                  <w:w w:val="99"/>
                </w:rPr>
                <w:t>Twenty-Fourth Supplemental Indenture (3.85% Senior Notes due 2023) dated August 15, 2013, by and among Plains All</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19"/>
          </w:tcPr>
          <w:p>
            <w:pPr>
              <w:spacing w:after="0" w:line="156"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Exhibit 4.1 to our Current Report on Form 8-K filed August 15, 2013).</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4.10</w:t>
            </w:r>
          </w:p>
        </w:tc>
        <w:tc>
          <w:tcPr>
            <w:tcW w:w="10000" w:type="dxa"/>
            <w:vAlign w:val="bottom"/>
            <w:gridSpan w:val="20"/>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78">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19"/>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4.11</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8760" w:type="dxa"/>
            <w:vAlign w:val="bottom"/>
            <w:tcBorders>
              <w:bottom w:val="single" w:sz="8" w:color="0000FF"/>
            </w:tcBorders>
            <w:gridSpan w:val="10"/>
          </w:tcPr>
          <w:p>
            <w:pPr>
              <w:spacing w:after="0"/>
              <w:rPr>
                <w:rFonts w:ascii="Arial" w:cs="Arial" w:eastAsia="Arial" w:hAnsi="Arial"/>
                <w:sz w:val="18"/>
                <w:szCs w:val="18"/>
                <w:color w:val="0000FF"/>
                <w:w w:val="90"/>
              </w:rPr>
            </w:pPr>
            <w:hyperlink r:id="rId179">
              <w:r>
                <w:rPr>
                  <w:rFonts w:ascii="Arial" w:cs="Arial" w:eastAsia="Arial" w:hAnsi="Arial"/>
                  <w:sz w:val="18"/>
                  <w:szCs w:val="18"/>
                  <w:color w:val="0000FF"/>
                  <w:w w:val="90"/>
                </w:rPr>
                <w:t>Twenty-Sixth Supplemental Indenture (3.60% Senior Notes due 2024) dated September 9, 2014, by and among Plains All</w:t>
              </w:r>
            </w:hyperlink>
          </w:p>
        </w:tc>
        <w:tc>
          <w:tcPr>
            <w:tcW w:w="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60" w:type="dxa"/>
            <w:vAlign w:val="bottom"/>
            <w:gridSpan w:val="10"/>
          </w:tcPr>
          <w:p>
            <w:pPr>
              <w:spacing w:after="0" w:line="15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American Pipeline, L.P., PAA Finance Corp. and U.S. Bank National Association, as trustee (incorporated by reference to</w:t>
              </w:r>
            </w:hyperlink>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Exhibit 4.1 to our Current Report on Form 8-K filed September 11, 2014).</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4.12</w:t>
            </w:r>
          </w:p>
        </w:tc>
        <w:tc>
          <w:tcPr>
            <w:tcW w:w="10000" w:type="dxa"/>
            <w:vAlign w:val="bottom"/>
            <w:gridSpan w:val="20"/>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80">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4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American Pipeline, L.P., PAA Finance Corp. and U.S. Bank National Association, as trustee (incorporated by reference to</w:t>
              </w:r>
            </w:hyperlink>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Exhibit 4.3 to our Current Report on Form 8-K filed December 11, 2014).</w:t>
              </w:r>
            </w:hyperlink>
          </w:p>
        </w:tc>
        <w:tc>
          <w:tcPr>
            <w:tcW w:w="3440" w:type="dxa"/>
            <w:vAlign w:val="bottom"/>
            <w:tcBorders>
              <w:top w:val="single" w:sz="8" w:color="0000FF"/>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4.13</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18"/>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Twenty-Ninth Supplemental Indenture (4.65% Senior Notes due 2025) dated August 24, 2015, by and among Plains All American</w:t>
              </w:r>
            </w:hyperlink>
          </w:p>
        </w:tc>
        <w:tc>
          <w:tcPr>
            <w:tcW w:w="20" w:type="dxa"/>
            <w:vAlign w:val="bottom"/>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0" w:type="dxa"/>
            <w:vAlign w:val="bottom"/>
            <w:gridSpan w:val="18"/>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Current Report on Form 8-K filed August 26, 2015).</w:t>
              </w:r>
            </w:hyperlink>
          </w:p>
        </w:tc>
        <w:tc>
          <w:tcPr>
            <w:tcW w:w="8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4.14</w:t>
            </w:r>
          </w:p>
        </w:tc>
        <w:tc>
          <w:tcPr>
            <w:tcW w:w="10000" w:type="dxa"/>
            <w:vAlign w:val="bottom"/>
            <w:gridSpan w:val="20"/>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82">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19"/>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4.15</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15"/>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Thirty-First Supplemental Indenture (3.55% Senior Notes due 2029) dated September 16, 2019, and among Plains All American</w:t>
              </w:r>
            </w:hyperlink>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19"/>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Current Report on Form 8-K filed September 17, 2019).</w:t>
              </w:r>
            </w:hyperlink>
          </w:p>
        </w:tc>
        <w:tc>
          <w:tcPr>
            <w:tcW w:w="530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4.16</w:t>
            </w:r>
          </w:p>
        </w:tc>
        <w:tc>
          <w:tcPr>
            <w:tcW w:w="10000" w:type="dxa"/>
            <w:vAlign w:val="bottom"/>
            <w:gridSpan w:val="20"/>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84">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940" w:type="dxa"/>
            <w:vAlign w:val="bottom"/>
            <w:tcBorders>
              <w:top w:val="single" w:sz="8" w:color="0000FF"/>
            </w:tcBorders>
            <w:gridSpan w:val="13"/>
          </w:tcPr>
          <w:p>
            <w:pPr>
              <w:spacing w:after="0"/>
              <w:rPr>
                <w:rFonts w:ascii="Arial" w:cs="Arial" w:eastAsia="Arial" w:hAnsi="Arial"/>
                <w:sz w:val="18"/>
                <w:szCs w:val="18"/>
                <w:u w:val="single" w:color="auto"/>
                <w:color w:val="0000FF"/>
                <w:w w:val="93"/>
              </w:rPr>
            </w:pPr>
            <w:hyperlink r:id="rId184">
              <w:r>
                <w:rPr>
                  <w:rFonts w:ascii="Arial" w:cs="Arial" w:eastAsia="Arial" w:hAnsi="Arial"/>
                  <w:sz w:val="18"/>
                  <w:szCs w:val="18"/>
                  <w:u w:val="single" w:color="auto"/>
                  <w:color w:val="0000FF"/>
                  <w:w w:val="93"/>
                </w:rPr>
                <w:t>Storage LLC (incorporated by reference to Exhibit 4.1 to our Registration Statement on Form S-3, File No. 333-162477).</w:t>
              </w:r>
            </w:hyperlink>
          </w:p>
        </w:tc>
        <w:tc>
          <w:tcPr>
            <w:tcW w:w="2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gridSpan w:val="3"/>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4.17</w:t>
            </w:r>
          </w:p>
        </w:tc>
        <w:tc>
          <w:tcPr>
            <w:tcW w:w="10000" w:type="dxa"/>
            <w:vAlign w:val="bottom"/>
            <w:gridSpan w:val="20"/>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85">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32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therein (incorporated by reference to Exhibit 4.1 to our Current Report on Form 8-K filed February 2, 2016).</w:t>
              </w:r>
            </w:hyperlink>
          </w:p>
        </w:tc>
        <w:tc>
          <w:tcPr>
            <w:tcW w:w="100" w:type="dxa"/>
            <w:vAlign w:val="bottom"/>
            <w:gridSpan w:val="3"/>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4.18</w:t>
            </w:r>
          </w:p>
        </w:tc>
        <w:tc>
          <w:tcPr>
            <w:tcW w:w="10000" w:type="dxa"/>
            <w:vAlign w:val="bottom"/>
            <w:gridSpan w:val="2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86">
              <w:r>
                <w:rPr>
                  <w:rFonts w:ascii="Arial" w:cs="Arial" w:eastAsia="Arial" w:hAnsi="Arial"/>
                  <w:sz w:val="18"/>
                  <w:szCs w:val="18"/>
                  <w:color w:val="0000FF"/>
                </w:rPr>
                <w:t>Registration Rights Agreement by and among Plains All American Pipeline, L.P. and the Holders defined therein, dated</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Borders>
              <w:top w:val="single" w:sz="8" w:color="0000FF"/>
            </w:tcBorders>
            <w:gridSpan w:val="8"/>
          </w:tcPr>
          <w:p>
            <w:pPr>
              <w:spacing w:after="0"/>
              <w:rPr>
                <w:rFonts w:ascii="Arial" w:cs="Arial" w:eastAsia="Arial" w:hAnsi="Arial"/>
                <w:sz w:val="18"/>
                <w:szCs w:val="18"/>
                <w:u w:val="single" w:color="auto"/>
                <w:color w:val="0000FF"/>
                <w:w w:val="92"/>
              </w:rPr>
            </w:pPr>
            <w:hyperlink r:id="rId186">
              <w:r>
                <w:rPr>
                  <w:rFonts w:ascii="Arial" w:cs="Arial" w:eastAsia="Arial" w:hAnsi="Arial"/>
                  <w:sz w:val="18"/>
                  <w:szCs w:val="18"/>
                  <w:u w:val="single" w:color="auto"/>
                  <w:color w:val="0000FF"/>
                  <w:w w:val="92"/>
                </w:rPr>
                <w:t>November 15, 2016 (incorporated by reference to Exhibit 10.4 to our Current Report on Form 8-K filed November 21,</w:t>
              </w:r>
            </w:hyperlink>
          </w:p>
        </w:tc>
        <w:tc>
          <w:tcPr>
            <w:tcW w:w="580" w:type="dxa"/>
            <w:vAlign w:val="bottom"/>
            <w:gridSpan w:val="6"/>
          </w:tcPr>
          <w:p>
            <w:pPr>
              <w:jc w:val="right"/>
              <w:ind w:right="140"/>
              <w:spacing w:after="0"/>
              <w:rPr>
                <w:rFonts w:ascii="Arial" w:cs="Arial" w:eastAsia="Arial" w:hAnsi="Arial"/>
                <w:sz w:val="18"/>
                <w:szCs w:val="18"/>
                <w:u w:val="single" w:color="auto"/>
                <w:color w:val="0000FF"/>
                <w:w w:val="82"/>
              </w:rPr>
            </w:pPr>
            <w:hyperlink r:id="rId186">
              <w:r>
                <w:rPr>
                  <w:rFonts w:ascii="Arial" w:cs="Arial" w:eastAsia="Arial" w:hAnsi="Arial"/>
                  <w:sz w:val="18"/>
                  <w:szCs w:val="18"/>
                  <w:u w:val="single" w:color="auto"/>
                  <w:color w:val="0000FF"/>
                  <w:w w:val="82"/>
                </w:rPr>
                <w:t>2016).</w:t>
              </w:r>
            </w:hyperlink>
          </w:p>
        </w:tc>
        <w:tc>
          <w:tcPr>
            <w:tcW w:w="220" w:type="dxa"/>
            <w:vAlign w:val="bottom"/>
            <w:gridSpan w:val="5"/>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4.19</w:t>
            </w:r>
          </w:p>
        </w:tc>
        <w:tc>
          <w:tcPr>
            <w:tcW w:w="10000" w:type="dxa"/>
            <w:vAlign w:val="bottom"/>
            <w:gridSpan w:val="20"/>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7">
              <w:r>
                <w:rPr>
                  <w:rFonts w:ascii="Arial" w:cs="Arial" w:eastAsia="Arial" w:hAnsi="Arial"/>
                  <w:sz w:val="18"/>
                  <w:szCs w:val="18"/>
                  <w:color w:val="0000FF"/>
                  <w:w w:val="94"/>
                </w:rPr>
                <w:t>Description of Our Securities (incorporated by reference to Exhibit 4.19 to our Annual Report on Form 10-K for the year ended</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87">
              <w:r>
                <w:rPr>
                  <w:rFonts w:ascii="Arial" w:cs="Arial" w:eastAsia="Arial" w:hAnsi="Arial"/>
                  <w:sz w:val="18"/>
                  <w:szCs w:val="18"/>
                  <w:color w:val="0000FF"/>
                  <w:w w:val="88"/>
                </w:rPr>
                <w:t>December 31, 2019).</w:t>
              </w:r>
            </w:hyperlink>
          </w:p>
        </w:tc>
        <w:tc>
          <w:tcPr>
            <w:tcW w:w="7680" w:type="dxa"/>
            <w:vAlign w:val="bottom"/>
            <w:tcBorders>
              <w:top w:val="single" w:sz="8" w:color="0000FF"/>
            </w:tcBorders>
            <w:gridSpan w:val="13"/>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372"/>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31.1 †</w:t>
            </w:r>
          </w:p>
        </w:tc>
        <w:tc>
          <w:tcPr>
            <w:tcW w:w="10000" w:type="dxa"/>
            <w:vAlign w:val="bottom"/>
            <w:gridSpan w:val="2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1">
              <w:r>
                <w:rPr>
                  <w:rFonts w:ascii="Arial" w:cs="Arial" w:eastAsia="Arial" w:hAnsi="Arial"/>
                  <w:sz w:val="18"/>
                  <w:szCs w:val="18"/>
                  <w:u w:val="single" w:color="auto"/>
                  <w:color w:val="0000FF"/>
                </w:rPr>
                <w:t>Certification of Principal Executive Officer pursuant to Exchange Act Rules 13a-14(a) and 15d-14(a).</w:t>
              </w:r>
            </w:hyperlink>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31.2 †</w:t>
            </w:r>
          </w:p>
        </w:tc>
        <w:tc>
          <w:tcPr>
            <w:tcW w:w="10000" w:type="dxa"/>
            <w:vAlign w:val="bottom"/>
            <w:gridSpan w:val="2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u w:val="single" w:color="auto"/>
                  <w:color w:val="0000FF"/>
                </w:rPr>
                <w:t>Certification of Principal Financial Officer pursuant to Exchange Act Rules 13a-14(a) and 15d-14(a).</w:t>
              </w:r>
            </w:hyperlink>
          </w:p>
        </w:tc>
      </w:tr>
      <w:tr>
        <w:trPr>
          <w:trHeight w:val="37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10000" w:type="dxa"/>
            <w:vAlign w:val="bottom"/>
            <w:gridSpan w:val="2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3">
              <w:r>
                <w:rPr>
                  <w:rFonts w:ascii="Arial" w:cs="Arial" w:eastAsia="Arial" w:hAnsi="Arial"/>
                  <w:sz w:val="18"/>
                  <w:szCs w:val="18"/>
                  <w:u w:val="single" w:color="auto"/>
                  <w:color w:val="0000FF"/>
                </w:rPr>
                <w:t>Certification of Principal Executive Officer pursuant to 18 U.S.C. 1350.</w:t>
              </w:r>
            </w:hyperlink>
          </w:p>
        </w:tc>
      </w:tr>
      <w:tr>
        <w:trPr>
          <w:trHeight w:val="37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10000" w:type="dxa"/>
            <w:vAlign w:val="bottom"/>
            <w:gridSpan w:val="20"/>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4">
              <w:r>
                <w:rPr>
                  <w:rFonts w:ascii="Arial" w:cs="Arial" w:eastAsia="Arial" w:hAnsi="Arial"/>
                  <w:sz w:val="18"/>
                  <w:szCs w:val="18"/>
                  <w:u w:val="single" w:color="auto"/>
                  <w:color w:val="0000FF"/>
                </w:rPr>
                <w:t>Certification of Principal Financial Officer pursuant to 18 U.S.C. 1350.</w:t>
              </w:r>
            </w:hyperlink>
          </w:p>
        </w:tc>
      </w:tr>
      <w:tr>
        <w:trPr>
          <w:trHeight w:val="364"/>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0"/>
              </w:rPr>
              <w:t>101.INS†</w:t>
            </w:r>
          </w:p>
        </w:tc>
        <w:tc>
          <w:tcPr>
            <w:tcW w:w="10000" w:type="dxa"/>
            <w:vAlign w:val="bottom"/>
            <w:gridSpan w:val="20"/>
          </w:tcPr>
          <w:p>
            <w:pPr>
              <w:ind w:left="20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101.SCH†</w:t>
            </w:r>
          </w:p>
        </w:tc>
        <w:tc>
          <w:tcPr>
            <w:tcW w:w="10000" w:type="dxa"/>
            <w:vAlign w:val="bottom"/>
            <w:gridSpan w:val="20"/>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4"/>
              </w:rPr>
              <w:t>101.CAL†</w:t>
            </w:r>
          </w:p>
        </w:tc>
        <w:tc>
          <w:tcPr>
            <w:tcW w:w="10000" w:type="dxa"/>
            <w:vAlign w:val="bottom"/>
            <w:gridSpan w:val="20"/>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91"/>
              </w:rPr>
              <w:t>101.DEF†</w:t>
            </w: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6"/>
              </w:rPr>
              <w:t>101.LAB†</w:t>
            </w: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101.PRE†</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64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104†</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640" w:type="dxa"/>
            <w:vAlign w:val="bottom"/>
          </w:tcPr>
          <w:p>
            <w:pPr>
              <w:ind w:left="10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7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333"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546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w:t>
      </w:r>
    </w:p>
    <w:p>
      <w:pPr>
        <w:spacing w:after="0" w:line="46"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All American GP LLC</w:t>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333"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54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i w:val="1"/>
          <w:iCs w:val="1"/>
          <w:color w:val="auto"/>
        </w:rPr>
        <w:t>Senior Vice President and Chief Accounting Officer of Plains All</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5"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8, 2020</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8,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903"/>
    </w:lvl>
  </w:abstractNum>
  <w:abstractNum w:abstractNumId="20">
    <w:nsid w:val="38437FDB"/>
    <w:multiLevelType w:val="hybridMultilevel"/>
    <w:lvl w:ilvl="0">
      <w:lvlJc w:val="left"/>
      <w:lvlText w:val="(%1)"/>
      <w:numFmt w:val="decimal"/>
      <w:start w:val="17"/>
    </w:lvl>
  </w:abstractNum>
  <w:abstractNum w:abstractNumId="21">
    <w:nsid w:val="7644A45C"/>
    <w:multiLevelType w:val="hybridMultilevel"/>
    <w:lvl w:ilvl="0">
      <w:lvlJc w:val="left"/>
      <w:lvlText w:val="(%1)"/>
      <w:numFmt w:val="decimal"/>
      <w:start w:val="30"/>
    </w:lvl>
  </w:abstractNum>
  <w:abstractNum w:abstractNumId="22">
    <w:nsid w:val="32FFF902"/>
    <w:multiLevelType w:val="hybridMultilevel"/>
    <w:lvl w:ilvl="0">
      <w:lvlJc w:val="left"/>
      <w:lvlText w:val="(%1)"/>
      <w:numFmt w:val="decimal"/>
      <w:start w:val="115"/>
    </w:lvl>
  </w:abstractNum>
  <w:abstractNum w:abstractNumId="23">
    <w:nsid w:val="684A481A"/>
    <w:multiLevelType w:val="hybridMultilevel"/>
    <w:lvl w:ilvl="0">
      <w:lvlJc w:val="left"/>
      <w:lvlText w:val="2"/>
      <w:numFmt w:val="bullet"/>
      <w:start w:val="1"/>
    </w:lvl>
  </w:abstractNum>
  <w:abstractNum w:abstractNumId="24">
    <w:nsid w:val="579478FE"/>
    <w:multiLevelType w:val="hybridMultilevel"/>
    <w:lvl w:ilvl="0">
      <w:lvlJc w:val="left"/>
      <w:lvlText w:val="(%1)"/>
      <w:numFmt w:val="decimal"/>
      <w:start w:val="4"/>
    </w:lvl>
  </w:abstractNum>
  <w:abstractNum w:abstractNumId="25">
    <w:nsid w:val="749ABB43"/>
    <w:multiLevelType w:val="hybridMultilevel"/>
    <w:lvl w:ilvl="0">
      <w:lvlJc w:val="left"/>
      <w:lvlText w:val="%1"/>
      <w:numFmt w:val="decimal"/>
      <w:start w:val="13"/>
    </w:lvl>
    <w:lvl w:ilvl="1">
      <w:lvlJc w:val="left"/>
      <w:lvlText w:val="(%2)"/>
      <w:numFmt w:val="decimal"/>
      <w:start w:val="3"/>
    </w:lvl>
  </w:abstractNum>
  <w:abstractNum w:abstractNumId="26">
    <w:nsid w:val="3DC240FB"/>
    <w:multiLevelType w:val="hybridMultilevel"/>
    <w:lvl w:ilvl="0">
      <w:lvlJc w:val="left"/>
      <w:lvlText w:val="(%1)"/>
      <w:numFmt w:val="decimal"/>
      <w:start w:val="168"/>
    </w:lvl>
  </w:abstractNum>
  <w:abstractNum w:abstractNumId="27">
    <w:nsid w:val="1BA026FA"/>
    <w:multiLevelType w:val="hybridMultilevel"/>
    <w:lvl w:ilvl="0">
      <w:lvlJc w:val="left"/>
      <w:lvlText w:val="(%1)"/>
      <w:numFmt w:val="decimal"/>
      <w:start w:val="619"/>
    </w:lvl>
  </w:abstractNum>
  <w:abstractNum w:abstractNumId="28">
    <w:nsid w:val="79A1DEAA"/>
    <w:multiLevelType w:val="hybridMultilevel"/>
    <w:lvl w:ilvl="0">
      <w:lvlJc w:val="left"/>
      <w:lvlText w:val="(%1)"/>
      <w:numFmt w:val="decimal"/>
      <w:start w:val="22"/>
    </w:lvl>
  </w:abstractNum>
  <w:abstractNum w:abstractNumId="29">
    <w:nsid w:val="75C6C33A"/>
    <w:multiLevelType w:val="hybridMultilevel"/>
    <w:lvl w:ilvl="0">
      <w:lvlJc w:val="left"/>
      <w:lvlText w:val="(%1)"/>
      <w:numFmt w:val="decimal"/>
      <w:start w:val="108"/>
    </w:lvl>
  </w:abstractNum>
  <w:abstractNum w:abstractNumId="30">
    <w:nsid w:val="12E685FB"/>
    <w:multiLevelType w:val="hybridMultilevel"/>
    <w:lvl w:ilvl="0">
      <w:lvlJc w:val="left"/>
      <w:lvlText w:val="(%1)"/>
      <w:numFmt w:val="decimal"/>
      <w:start w:val="31"/>
    </w:lvl>
  </w:abstractNum>
  <w:abstractNum w:abstractNumId="31">
    <w:nsid w:val="70C6A529"/>
    <w:multiLevelType w:val="hybridMultilevel"/>
    <w:lvl w:ilvl="0">
      <w:lvlJc w:val="left"/>
      <w:lvlText w:val="(%1)"/>
      <w:numFmt w:val="decimal"/>
      <w:start w:val="21"/>
    </w:lvl>
  </w:abstractNum>
  <w:abstractNum w:abstractNumId="32">
    <w:nsid w:val="520EEDD1"/>
    <w:multiLevelType w:val="hybridMultilevel"/>
    <w:lvl w:ilvl="0">
      <w:lvlJc w:val="left"/>
      <w:lvlText w:val="(%1)"/>
      <w:numFmt w:val="decimal"/>
      <w:start w:val="2"/>
    </w:lvl>
  </w:abstractNum>
  <w:abstractNum w:abstractNumId="33">
    <w:nsid w:val="374A3FE6"/>
    <w:multiLevelType w:val="hybridMultilevel"/>
    <w:lvl w:ilvl="0">
      <w:lvlJc w:val="left"/>
      <w:lvlText w:val="(%1)"/>
      <w:numFmt w:val="decimal"/>
      <w:start w:val="4"/>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lowerRoman"/>
      <w:start w:val="2"/>
    </w:lvl>
  </w:abstractNum>
  <w:abstractNum w:abstractNumId="41">
    <w:nsid w:val="235BA861"/>
    <w:multiLevelType w:val="hybridMultilevel"/>
    <w:lvl w:ilvl="0">
      <w:lvlJc w:val="left"/>
      <w:lvlText w:val="(%1)"/>
      <w:numFmt w:val="lowerRoman"/>
      <w:start w:val="5"/>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1"/>
    </w:lvl>
  </w:abstractNum>
  <w:abstractNum w:abstractNumId="45">
    <w:nsid w:val="741226BB"/>
    <w:multiLevelType w:val="hybridMultilevel"/>
    <w:lvl w:ilvl="0">
      <w:lvlJc w:val="left"/>
      <w:lvlText w:val="(%1)"/>
      <w:numFmt w:val="decimal"/>
      <w:start w:val="3"/>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3"/>
    </w:lvl>
  </w:abstractNum>
  <w:abstractNum w:abstractNumId="48">
    <w:nsid w:val="3F6AB60F"/>
    <w:multiLevelType w:val="hybridMultilevel"/>
    <w:lvl w:ilvl="0">
      <w:lvlJc w:val="left"/>
      <w:lvlText w:val="(%1)"/>
      <w:numFmt w:val="lowerRoman"/>
      <w:start w:val="3"/>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59"/>
    </w:lvl>
  </w:abstractNum>
  <w:abstractNum w:abstractNumId="53">
    <w:nsid w:val="310C50B3"/>
    <w:multiLevelType w:val="hybridMultilevel"/>
    <w:lvl w:ilvl="0">
      <w:lvlJc w:val="left"/>
      <w:lvlText w:val="(%1)"/>
      <w:numFmt w:val="lowerRoman"/>
      <w:start w:val="4"/>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
    </w:lvl>
  </w:abstractNum>
  <w:abstractNum w:abstractNumId="56">
    <w:nsid w:val="25A70BF7"/>
    <w:multiLevelType w:val="hybridMultilevel"/>
    <w:lvl w:ilvl="0">
      <w:lvlJc w:val="left"/>
      <w:lvlText w:val="(%1)"/>
      <w:numFmt w:val="lowerRoman"/>
      <w:start w:val="4"/>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9" Type="http://schemas.openxmlformats.org/officeDocument/2006/relationships/image" Target="media/image138.png"/><Relationship Id="rId176"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45" Type="http://schemas.openxmlformats.org/officeDocument/2006/relationships/hyperlink" Target="http://www.sec.gov/Archives/edgar/data/1070423/000104746904016502/a2135501zex-3_2.htm" TargetMode="External"/><Relationship Id="rId146" Type="http://schemas.openxmlformats.org/officeDocument/2006/relationships/hyperlink" Target="http://www.sec.gov/Archives/edgar/data/1070423/000110465911010359/a11-2319_1ex3d9.htm" TargetMode="External"/><Relationship Id="rId147" Type="http://schemas.openxmlformats.org/officeDocument/2006/relationships/hyperlink" Target="http://www.sec.gov/Archives/edgar/data/1070423/000110465911010359/a11-2319_1ex3d10.htm" TargetMode="External"/><Relationship Id="rId148" Type="http://schemas.openxmlformats.org/officeDocument/2006/relationships/hyperlink" Target="http://www.sec.gov/Archives/edgar/data/1070423/000110465914014322/a13-25941_1ex3d7.htm" TargetMode="External"/><Relationship Id="rId149" Type="http://schemas.openxmlformats.org/officeDocument/2006/relationships/hyperlink" Target="http://www.sec.gov/Archives/edgar/data/1070423/000110465914014322/a13-25941_1ex3d8.htm" TargetMode="External"/><Relationship Id="rId150" Type="http://schemas.openxmlformats.org/officeDocument/2006/relationships/hyperlink" Target="http://www.sec.gov/Archives/edgar/data/1070423/000107042320000004/paa201910-kexhibit37.htm" TargetMode="External"/><Relationship Id="rId151" Type="http://schemas.openxmlformats.org/officeDocument/2006/relationships/hyperlink" Target="http://www.sec.gov/Archives/edgar/data/1070423/000104746904016502/a2135501zex-3_3.htm" TargetMode="External"/><Relationship Id="rId152" Type="http://schemas.openxmlformats.org/officeDocument/2006/relationships/hyperlink" Target="http://www.sec.gov/Archives/edgar/data/1070423/000110465914014322/a13-25941_1ex3d10.htm" TargetMode="External"/><Relationship Id="rId153" Type="http://schemas.openxmlformats.org/officeDocument/2006/relationships/hyperlink" Target="http://www.sec.gov/Archives/edgar/data/1070423/000110465916158355/a16-21841_1ex3d3.htm" TargetMode="External"/><Relationship Id="rId154" Type="http://schemas.openxmlformats.org/officeDocument/2006/relationships/hyperlink" Target="http://www.sec.gov/Archives/edgar/data/1070423/000110465916158355/a16-21841_1ex3d4.htm" TargetMode="External"/><Relationship Id="rId155" Type="http://schemas.openxmlformats.org/officeDocument/2006/relationships/hyperlink" Target="http://www.sec.gov/Archives/edgar/data/1070423/000110465918060011/a18-36196_1ex3d1.htm" TargetMode="External"/><Relationship Id="rId156" Type="http://schemas.openxmlformats.org/officeDocument/2006/relationships/hyperlink" Target="http://www.sec.gov/Archives/edgar/data/1070423/000110465919032810/a19-10856_1ex3d1.htm" TargetMode="External"/><Relationship Id="rId157" Type="http://schemas.openxmlformats.org/officeDocument/2006/relationships/hyperlink" Target="http://www.sec.gov/Archives/edgar/data/1070423/000095012907001096/h43224exv3w10.htm" TargetMode="External"/><Relationship Id="rId158" Type="http://schemas.openxmlformats.org/officeDocument/2006/relationships/hyperlink" Target="http://www.sec.gov/Archives/edgar/data/1070423/000095012907001096/h43224exv3w11.htm" TargetMode="External"/><Relationship Id="rId160" Type="http://schemas.openxmlformats.org/officeDocument/2006/relationships/hyperlink" Target="http://www.sec.gov/Archives/edgar/data/1070423/000095012908000071/h52770exv3w3.htm" TargetMode="External"/><Relationship Id="rId161" Type="http://schemas.openxmlformats.org/officeDocument/2006/relationships/hyperlink" Target="http://www.sec.gov/Archives/edgar/data/1581990/000104746913007875/a2216069zex-3_1.htm" TargetMode="External"/><Relationship Id="rId162" Type="http://schemas.openxmlformats.org/officeDocument/2006/relationships/hyperlink" Target="http://www.sec.gov/Archives/edgar/data/1581990/000110465916158356/a16-21845_1ex3d2.htm" TargetMode="External"/><Relationship Id="rId163" Type="http://schemas.openxmlformats.org/officeDocument/2006/relationships/hyperlink" Target="http://www.sec.gov/Archives/edgar/data/1581990/000104746913007875/a2216069zex-3_3.htm" TargetMode="External"/><Relationship Id="rId164" Type="http://schemas.openxmlformats.org/officeDocument/2006/relationships/hyperlink" Target="http://www.sec.gov/Archives/edgar/data/1070423/000110465917010601/a17-6891_1ex3d1.htm" TargetMode="External"/><Relationship Id="rId165" Type="http://schemas.openxmlformats.org/officeDocument/2006/relationships/hyperlink" Target="http://www.sec.gov/Archives/edgar/data/1070423/000110465918052848/a18-18381_3ex3d1.htm" TargetMode="External"/><Relationship Id="rId166" Type="http://schemas.openxmlformats.org/officeDocument/2006/relationships/hyperlink" Target="http://www.sec.gov/Archives/edgar/data/1070423/000110465918072384/a18-41341_1ex3d1.htm" TargetMode="External"/><Relationship Id="rId167" Type="http://schemas.openxmlformats.org/officeDocument/2006/relationships/hyperlink" Target="http://www.sec.gov/Archives/edgar/data/1070423/000110465919067782/tm1923979d1_ex3-1.htm" TargetMode="External"/><Relationship Id="rId168" Type="http://schemas.openxmlformats.org/officeDocument/2006/relationships/hyperlink" Target="http://www.sec.gov/Archives/edgar/data/1070423/000089924302002834/dex41.txt" TargetMode="External"/><Relationship Id="rId169" Type="http://schemas.openxmlformats.org/officeDocument/2006/relationships/hyperlink" Target="http://www.sec.gov/Archives/edgar/data/1070423/000110465906034368/a06-11663_1ex4d1.htm" TargetMode="External"/><Relationship Id="rId170" Type="http://schemas.openxmlformats.org/officeDocument/2006/relationships/hyperlink" Target="http://www.sec.gov/Archives/edgar/data/1070423/000095012906009235/h40667exv4w2.htm" TargetMode="External"/><Relationship Id="rId171" Type="http://schemas.openxmlformats.org/officeDocument/2006/relationships/hyperlink" Target="http://www.sec.gov/Archives/edgar/data/1070423/000095012311002051/h78739exv4w1.htm" TargetMode="External"/><Relationship Id="rId172" Type="http://schemas.openxmlformats.org/officeDocument/2006/relationships/hyperlink" Target="http://www.sec.gov/Archives/edgar/data/1070423/000119312512132295/d321017dex41.htm" TargetMode="External"/><Relationship Id="rId173" Type="http://schemas.openxmlformats.org/officeDocument/2006/relationships/hyperlink" Target="http://www.sec.gov/Archives/edgar/data/1070423/000119312512132295/d321017dex43.htm" TargetMode="External"/><Relationship Id="rId174" Type="http://schemas.openxmlformats.org/officeDocument/2006/relationships/hyperlink" Target="http://www.sec.gov/Archives/edgar/data/1070423/000119312512499932/d453762dex41.htm" TargetMode="External"/><Relationship Id="rId175" Type="http://schemas.openxmlformats.org/officeDocument/2006/relationships/hyperlink" Target="http://www.sec.gov/Archives/edgar/data/1070423/000119312512499932/d453762dex43.htm" TargetMode="External"/><Relationship Id="rId177" Type="http://schemas.openxmlformats.org/officeDocument/2006/relationships/hyperlink" Target="http://www.sec.gov/Archives/edgar/data/1070423/000119312513336066/d581734dex41.htm" TargetMode="External"/><Relationship Id="rId178" Type="http://schemas.openxmlformats.org/officeDocument/2006/relationships/hyperlink" Target="http://www.sec.gov/Archives/edgar/data/1070423/000119312514164183/d713938dex41.htm" TargetMode="External"/><Relationship Id="rId179" Type="http://schemas.openxmlformats.org/officeDocument/2006/relationships/hyperlink" Target="http://www.sec.gov/Archives/edgar/data/1070423/000119312514338289/d787160dex41.htm" TargetMode="External"/><Relationship Id="rId180" Type="http://schemas.openxmlformats.org/officeDocument/2006/relationships/hyperlink" Target="http://www.sec.gov/Archives/edgar/data/1070423/000119312514440007/d833885dex43.htm" TargetMode="External"/><Relationship Id="rId181" Type="http://schemas.openxmlformats.org/officeDocument/2006/relationships/hyperlink" Target="http://www.sec.gov/Archives/edgar/data/1070423/000119312515302829/d45393dex41.htm" TargetMode="External"/><Relationship Id="rId182" Type="http://schemas.openxmlformats.org/officeDocument/2006/relationships/hyperlink" Target="http://www.sec.gov/Archives/edgar/data/1070423/000110465916159593/a16-22232_1ex4d1.htm" TargetMode="External"/><Relationship Id="rId183" Type="http://schemas.openxmlformats.org/officeDocument/2006/relationships/hyperlink" Target="http://www.sec.gov/Archives/edgar/data/1070423/000141057819001281/tv529555_ex4-1.htm" TargetMode="External"/><Relationship Id="rId184" Type="http://schemas.openxmlformats.org/officeDocument/2006/relationships/hyperlink" Target="http://www.sec.gov/Archives/edgar/data/1070423/000095012309050401/h68193exv4w1.htm" TargetMode="External"/><Relationship Id="rId185" Type="http://schemas.openxmlformats.org/officeDocument/2006/relationships/hyperlink" Target="http://www.sec.gov/Archives/edgar/data/1070423/000110465916093299/a16-3362_1ex4d1.htm" TargetMode="External"/><Relationship Id="rId186" Type="http://schemas.openxmlformats.org/officeDocument/2006/relationships/hyperlink" Target="http://www.sec.gov/Archives/edgar/data/1070423/000110465916158355/a16-21841_1ex10d4.htm" TargetMode="External"/><Relationship Id="rId187" Type="http://schemas.openxmlformats.org/officeDocument/2006/relationships/hyperlink" Target="http://www.sec.gov/Archives/edgar/data/1070423/000107042320000004/paa2019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2020-05-08T12:43:14Z</dcterms:created>
  <dcterms:modified xsi:type="dcterms:W3CDTF">2020-05-08T12:43:14Z</dcterms:modified>
</cp:coreProperties>
</file>