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1-14569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ALL AMERICAN PIPELINE,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76-0582150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Clay Street, Suite 1600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77002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 646-4100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October 31, 2025, there were 705,497,770 Common Units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9"/>
        <w:gridCol w:w="3081"/>
        <w:gridCol w:w="3093"/>
        <w:gridCol w:w="149"/>
        <w:gridCol w:w="149"/>
        <w:gridCol w:w="214"/>
      </w:tblGrid>
      <w:tr>
        <w:trPr/>
        <w:tc>
          <w:tcPr>
            <w:tcW w:w="3519"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9a905161dd64cdb968dbc606bd49e76_10">
              <w:r>
                <w:rPr>
                  <w:rStyle w:val="InternetLink"/>
                  <w:rFonts w:ascii="Times New Roman;serif" w:hAnsi="Times New Roman;serif"/>
                  <w:b/>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3">
              <w:r>
                <w:rPr>
                  <w:rStyle w:val="InternetLink"/>
                  <w:rFonts w:ascii="Times New Roman;serif" w:hAnsi="Times New Roman;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6">
              <w:r>
                <w:rPr>
                  <w:rStyle w:val="InternetLink"/>
                  <w:rFonts w:ascii="Times New Roman;serif" w:hAnsi="Times New Roman;serif"/>
                  <w:b w:val="false"/>
                  <w:color w:val="000080"/>
                  <w:sz w:val="20"/>
                  <w:u w:val="single"/>
                </w:rPr>
                <w:t xml:space="preserve">Condensed Consolidated Balance Sheets: As of </w:t>
              </w:r>
            </w:hyperlink>
            <w:hyperlink w:anchor="i29a905161dd64cdb968dbc606bd49e76_16">
              <w:r>
                <w:rPr>
                  <w:rStyle w:val="InternetLink"/>
                  <w:rFonts w:ascii="Times New Roman;serif" w:hAnsi="Times New Roman;serif"/>
                  <w:b w:val="false"/>
                  <w:color w:val="000080"/>
                  <w:sz w:val="20"/>
                  <w:u w:val="single"/>
                </w:rPr>
                <w:t>September</w:t>
              </w:r>
            </w:hyperlink>
            <w:hyperlink w:anchor="i29a905161dd64cdb968dbc606bd49e76_16">
              <w:r>
                <w:rPr>
                  <w:rStyle w:val="InternetLink"/>
                  <w:rFonts w:ascii="Times New Roman;serif" w:hAnsi="Times New Roman;serif"/>
                  <w:b w:val="false"/>
                  <w:color w:val="000080"/>
                  <w:sz w:val="20"/>
                  <w:u w:val="single"/>
                </w:rPr>
                <w:t xml:space="preserve"> 30, 2025 and December 31,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6">
              <w:r>
                <w:rPr>
                  <w:rStyle w:val="InternetLink"/>
                  <w:rFonts w:ascii="Times New Roman;serif" w:hAnsi="Times New Roman;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a905161dd64cdb968dbc606bd49e76_22">
              <w:r>
                <w:rPr>
                  <w:rStyle w:val="InternetLink"/>
                  <w:rFonts w:ascii="Times New Roman;serif" w:hAnsi="Times New Roman;serif"/>
                  <w:b w:val="false"/>
                  <w:color w:val="000080"/>
                  <w:sz w:val="20"/>
                  <w:u w:val="single"/>
                </w:rPr>
                <w:t xml:space="preserve">Condensed Consolidated Statements of Operations: For the three and </w:t>
              </w:r>
            </w:hyperlink>
            <w:hyperlink w:anchor="i29a905161dd64cdb968dbc606bd49e76_22">
              <w:r>
                <w:rPr>
                  <w:rStyle w:val="InternetLink"/>
                  <w:rFonts w:ascii="Times New Roman;serif" w:hAnsi="Times New Roman;serif"/>
                  <w:b w:val="false"/>
                  <w:color w:val="000080"/>
                  <w:sz w:val="20"/>
                  <w:u w:val="single"/>
                </w:rPr>
                <w:t>nine</w:t>
              </w:r>
            </w:hyperlink>
            <w:hyperlink w:anchor="i29a905161dd64cdb968dbc606bd49e76_22">
              <w:r>
                <w:rPr>
                  <w:rStyle w:val="InternetLink"/>
                  <w:rFonts w:ascii="Times New Roman;serif" w:hAnsi="Times New Roman;serif"/>
                  <w:b w:val="false"/>
                  <w:color w:val="000080"/>
                  <w:sz w:val="20"/>
                  <w:u w:val="single"/>
                </w:rPr>
                <w:t xml:space="preserve"> months ended </w:t>
              </w:r>
            </w:hyperlink>
            <w:hyperlink w:anchor="i29a905161dd64cdb968dbc606bd49e76_22">
              <w:r>
                <w:rPr>
                  <w:rStyle w:val="InternetLink"/>
                  <w:rFonts w:ascii="Times New Roman;serif" w:hAnsi="Times New Roman;serif"/>
                  <w:b w:val="false"/>
                  <w:color w:val="000080"/>
                  <w:sz w:val="20"/>
                  <w:u w:val="single"/>
                </w:rPr>
                <w:t>September</w:t>
              </w:r>
            </w:hyperlink>
            <w:hyperlink w:anchor="i29a905161dd64cdb968dbc606bd49e76_22">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22">
              <w:r>
                <w:rPr>
                  <w:rStyle w:val="InternetLink"/>
                  <w:rFonts w:ascii="Times New Roman;serif" w:hAnsi="Times New Roman;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a905161dd64cdb968dbc606bd49e76_25">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29a905161dd64cdb968dbc606bd49e76_25">
              <w:r>
                <w:rPr>
                  <w:rStyle w:val="InternetLink"/>
                  <w:rFonts w:ascii="Times New Roman;serif" w:hAnsi="Times New Roman;serif"/>
                  <w:b w:val="false"/>
                  <w:color w:val="000080"/>
                  <w:sz w:val="20"/>
                  <w:u w:val="single"/>
                </w:rPr>
                <w:t>nine</w:t>
              </w:r>
            </w:hyperlink>
            <w:hyperlink w:anchor="i29a905161dd64cdb968dbc606bd49e76_25">
              <w:r>
                <w:rPr>
                  <w:rStyle w:val="InternetLink"/>
                  <w:rFonts w:ascii="Times New Roman;serif" w:hAnsi="Times New Roman;serif"/>
                  <w:b w:val="false"/>
                  <w:color w:val="000080"/>
                  <w:sz w:val="20"/>
                  <w:u w:val="single"/>
                </w:rPr>
                <w:t xml:space="preserve"> months ended </w:t>
              </w:r>
            </w:hyperlink>
            <w:hyperlink w:anchor="i29a905161dd64cdb968dbc606bd49e76_25">
              <w:r>
                <w:rPr>
                  <w:rStyle w:val="InternetLink"/>
                  <w:rFonts w:ascii="Times New Roman;serif" w:hAnsi="Times New Roman;serif"/>
                  <w:b w:val="false"/>
                  <w:color w:val="000080"/>
                  <w:sz w:val="20"/>
                  <w:u w:val="single"/>
                </w:rPr>
                <w:t>September</w:t>
              </w:r>
            </w:hyperlink>
            <w:hyperlink w:anchor="i29a905161dd64cdb968dbc606bd49e76_25">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25">
              <w:r>
                <w:rPr>
                  <w:rStyle w:val="InternetLink"/>
                  <w:rFonts w:ascii="Times New Roman;serif" w:hAnsi="Times New Roman;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a905161dd64cdb968dbc606bd49e76_28">
              <w:r>
                <w:rPr>
                  <w:rStyle w:val="InternetLink"/>
                  <w:rFonts w:ascii="Times New Roman;serif" w:hAnsi="Times New Roman;serif"/>
                  <w:b w:val="false"/>
                  <w:color w:val="000080"/>
                  <w:sz w:val="20"/>
                  <w:u w:val="single"/>
                </w:rPr>
                <w:t xml:space="preserve">Condensed Consolidated Statements of Changes in Accumulated Other Comprehensive Income/(Loss): For the </w:t>
              </w:r>
            </w:hyperlink>
            <w:hyperlink w:anchor="i29a905161dd64cdb968dbc606bd49e76_28">
              <w:r>
                <w:rPr>
                  <w:rStyle w:val="InternetLink"/>
                  <w:rFonts w:ascii="Times New Roman;serif" w:hAnsi="Times New Roman;serif"/>
                  <w:b w:val="false"/>
                  <w:color w:val="000080"/>
                  <w:sz w:val="20"/>
                  <w:u w:val="single"/>
                </w:rPr>
                <w:t>nine</w:t>
              </w:r>
            </w:hyperlink>
            <w:hyperlink w:anchor="i29a905161dd64cdb968dbc606bd49e76_28">
              <w:r>
                <w:rPr>
                  <w:rStyle w:val="InternetLink"/>
                  <w:rFonts w:ascii="Times New Roman;serif" w:hAnsi="Times New Roman;serif"/>
                  <w:b w:val="false"/>
                  <w:color w:val="000080"/>
                  <w:sz w:val="20"/>
                  <w:u w:val="single"/>
                </w:rPr>
                <w:t xml:space="preserve"> months ended </w:t>
              </w:r>
            </w:hyperlink>
            <w:hyperlink w:anchor="i29a905161dd64cdb968dbc606bd49e76_28">
              <w:r>
                <w:rPr>
                  <w:rStyle w:val="InternetLink"/>
                  <w:rFonts w:ascii="Times New Roman;serif" w:hAnsi="Times New Roman;serif"/>
                  <w:b w:val="false"/>
                  <w:color w:val="000080"/>
                  <w:sz w:val="20"/>
                  <w:u w:val="single"/>
                </w:rPr>
                <w:t>September</w:t>
              </w:r>
            </w:hyperlink>
            <w:hyperlink w:anchor="i29a905161dd64cdb968dbc606bd49e76_28">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28">
              <w:r>
                <w:rPr>
                  <w:rStyle w:val="InternetLink"/>
                  <w:rFonts w:ascii="Times New Roman;serif" w:hAnsi="Times New Roman;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34">
              <w:r>
                <w:rPr>
                  <w:rStyle w:val="InternetLink"/>
                  <w:rFonts w:ascii="Times New Roman;serif" w:hAnsi="Times New Roman;serif"/>
                  <w:b w:val="false"/>
                  <w:color w:val="000080"/>
                  <w:sz w:val="20"/>
                  <w:u w:val="single"/>
                </w:rPr>
                <w:t xml:space="preserve">Condensed Consolidated Statements of Cash Flows: For the </w:t>
              </w:r>
            </w:hyperlink>
            <w:hyperlink w:anchor="i29a905161dd64cdb968dbc606bd49e76_34">
              <w:r>
                <w:rPr>
                  <w:rStyle w:val="InternetLink"/>
                  <w:rFonts w:ascii="Times New Roman;serif" w:hAnsi="Times New Roman;serif"/>
                  <w:b w:val="false"/>
                  <w:color w:val="000080"/>
                  <w:sz w:val="20"/>
                  <w:u w:val="single"/>
                </w:rPr>
                <w:t>nine</w:t>
              </w:r>
            </w:hyperlink>
            <w:hyperlink w:anchor="i29a905161dd64cdb968dbc606bd49e76_34">
              <w:r>
                <w:rPr>
                  <w:rStyle w:val="InternetLink"/>
                  <w:rFonts w:ascii="Times New Roman;serif" w:hAnsi="Times New Roman;serif"/>
                  <w:b w:val="false"/>
                  <w:color w:val="000080"/>
                  <w:sz w:val="20"/>
                  <w:u w:val="single"/>
                </w:rPr>
                <w:t xml:space="preserve"> months ended </w:t>
              </w:r>
            </w:hyperlink>
            <w:hyperlink w:anchor="i29a905161dd64cdb968dbc606bd49e76_34">
              <w:r>
                <w:rPr>
                  <w:rStyle w:val="InternetLink"/>
                  <w:rFonts w:ascii="Times New Roman;serif" w:hAnsi="Times New Roman;serif"/>
                  <w:b w:val="false"/>
                  <w:color w:val="000080"/>
                  <w:sz w:val="20"/>
                  <w:u w:val="single"/>
                </w:rPr>
                <w:t>September</w:t>
              </w:r>
            </w:hyperlink>
            <w:hyperlink w:anchor="i29a905161dd64cdb968dbc606bd49e76_34">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34">
              <w:r>
                <w:rPr>
                  <w:rStyle w:val="InternetLink"/>
                  <w:rFonts w:ascii="Times New Roman;serif" w:hAnsi="Times New Roman;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9a905161dd64cdb968dbc606bd49e76_37">
              <w:r>
                <w:rPr>
                  <w:rStyle w:val="InternetLink"/>
                  <w:rFonts w:ascii="Times New Roman;serif" w:hAnsi="Times New Roman;serif"/>
                  <w:b w:val="false"/>
                  <w:color w:val="000080"/>
                  <w:sz w:val="20"/>
                  <w:u w:val="single"/>
                </w:rPr>
                <w:t xml:space="preserve">Condensed Consolidated Statements of Changes in Partners’ Capital: For the three and </w:t>
              </w:r>
            </w:hyperlink>
            <w:hyperlink w:anchor="i29a905161dd64cdb968dbc606bd49e76_37">
              <w:r>
                <w:rPr>
                  <w:rStyle w:val="InternetLink"/>
                  <w:rFonts w:ascii="Times New Roman;serif" w:hAnsi="Times New Roman;serif"/>
                  <w:b w:val="false"/>
                  <w:color w:val="000080"/>
                  <w:sz w:val="20"/>
                  <w:u w:val="single"/>
                </w:rPr>
                <w:t>nine</w:t>
              </w:r>
            </w:hyperlink>
            <w:hyperlink w:anchor="i29a905161dd64cdb968dbc606bd49e76_37">
              <w:r>
                <w:rPr>
                  <w:rStyle w:val="InternetLink"/>
                  <w:rFonts w:ascii="Times New Roman;serif" w:hAnsi="Times New Roman;serif"/>
                  <w:b w:val="false"/>
                  <w:color w:val="000080"/>
                  <w:sz w:val="20"/>
                  <w:u w:val="single"/>
                </w:rPr>
                <w:t xml:space="preserve"> months ended </w:t>
              </w:r>
            </w:hyperlink>
            <w:hyperlink w:anchor="i29a905161dd64cdb968dbc606bd49e76_37">
              <w:r>
                <w:rPr>
                  <w:rStyle w:val="InternetLink"/>
                  <w:rFonts w:ascii="Times New Roman;serif" w:hAnsi="Times New Roman;serif"/>
                  <w:b w:val="false"/>
                  <w:color w:val="000080"/>
                  <w:sz w:val="20"/>
                  <w:u w:val="single"/>
                </w:rPr>
                <w:t>September</w:t>
              </w:r>
            </w:hyperlink>
            <w:hyperlink w:anchor="i29a905161dd64cdb968dbc606bd49e76_37">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37">
              <w:r>
                <w:rPr>
                  <w:rStyle w:val="InternetLink"/>
                  <w:rFonts w:ascii="Times New Roman;serif" w:hAnsi="Times New Roman;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40">
              <w:r>
                <w:rPr>
                  <w:rStyle w:val="InternetLink"/>
                  <w:rFonts w:ascii="Times New Roman;serif" w:hAnsi="Times New Roman;serif"/>
                  <w:b w:val="false"/>
                  <w:color w:val="0000FF"/>
                  <w:sz w:val="20"/>
                  <w:u w:val="single"/>
                </w:rPr>
                <w:t>Notes to the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43">
              <w:r>
                <w:rPr>
                  <w:rStyle w:val="InternetLink"/>
                  <w:rFonts w:ascii="Times New Roman;serif" w:hAnsi="Times New Roman;serif"/>
                  <w:b w:val="false"/>
                  <w:color w:val="0000FF"/>
                  <w:sz w:val="20"/>
                  <w:u w:val="single"/>
                </w:rPr>
                <w:t>1. Organization and Basis of Consolidation and Presentation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43">
              <w:r>
                <w:rPr>
                  <w:rStyle w:val="InternetLink"/>
                  <w:rFonts w:ascii="Times New Roman;serif" w:hAnsi="Times New Roman;serif"/>
                  <w:b w:val="false"/>
                  <w:color w:val="0000FF"/>
                  <w:sz w:val="20"/>
                  <w:u w:val="single"/>
                </w:rPr>
                <w:t>9</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49">
              <w:r>
                <w:rPr>
                  <w:rStyle w:val="InternetLink"/>
                  <w:rFonts w:ascii="Times New Roman;serif" w:hAnsi="Times New Roman;serif"/>
                  <w:b w:val="false"/>
                  <w:color w:val="0000FF"/>
                  <w:sz w:val="20"/>
                  <w:u w:val="single"/>
                </w:rPr>
                <w:t>2. Discontinued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49">
              <w:r>
                <w:rPr>
                  <w:rStyle w:val="InternetLink"/>
                  <w:rFonts w:ascii="Times New Roman;serif" w:hAnsi="Times New Roman;serif"/>
                  <w:b w:val="false"/>
                  <w:color w:val="0000FF"/>
                  <w:sz w:val="20"/>
                  <w:u w:val="single"/>
                </w:rPr>
                <w:t>12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52">
              <w:r>
                <w:rPr>
                  <w:rStyle w:val="InternetLink"/>
                  <w:rFonts w:ascii="Times New Roman;serif" w:hAnsi="Times New Roman;serif"/>
                  <w:b w:val="false"/>
                  <w:color w:val="0000FF"/>
                  <w:sz w:val="20"/>
                  <w:u w:val="single"/>
                </w:rPr>
                <w:t>3. Revenues and Accounts Receivable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52">
              <w:r>
                <w:rPr>
                  <w:rStyle w:val="InternetLink"/>
                  <w:rFonts w:ascii="Times New Roman;serif" w:hAnsi="Times New Roman;serif"/>
                  <w:b w:val="false"/>
                  <w:color w:val="0000FF"/>
                  <w:sz w:val="20"/>
                  <w:u w:val="single"/>
                </w:rPr>
                <w:t>13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55">
              <w:r>
                <w:rPr>
                  <w:rStyle w:val="InternetLink"/>
                  <w:rFonts w:ascii="Times New Roman;serif" w:hAnsi="Times New Roman;serif"/>
                  <w:b w:val="false"/>
                  <w:color w:val="0000FF"/>
                  <w:sz w:val="20"/>
                  <w:u w:val="single"/>
                </w:rPr>
                <w:t>4. Net Income Per Common Unit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55">
              <w:r>
                <w:rPr>
                  <w:rStyle w:val="InternetLink"/>
                  <w:rFonts w:ascii="Times New Roman;serif" w:hAnsi="Times New Roman;serif"/>
                  <w:b w:val="false"/>
                  <w:color w:val="0000FF"/>
                  <w:sz w:val="20"/>
                  <w:u w:val="singl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58">
              <w:r>
                <w:rPr>
                  <w:rStyle w:val="InternetLink"/>
                  <w:rFonts w:ascii="Times New Roman;serif" w:hAnsi="Times New Roman;serif"/>
                  <w:b w:val="false"/>
                  <w:color w:val="0000FF"/>
                  <w:sz w:val="20"/>
                  <w:u w:val="single"/>
                </w:rPr>
                <w:t>5. Inventory, Linefill and Long-term Inventory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58">
              <w:r>
                <w:rPr>
                  <w:rStyle w:val="InternetLink"/>
                  <w:rFonts w:ascii="Times New Roman;serif" w:hAnsi="Times New Roman;serif"/>
                  <w:b w:val="false"/>
                  <w:color w:val="0000FF"/>
                  <w:sz w:val="20"/>
                  <w:u w:val="single"/>
                </w:rPr>
                <w:t>19</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61">
              <w:r>
                <w:rPr>
                  <w:rStyle w:val="InternetLink"/>
                  <w:rFonts w:ascii="Times New Roman;serif" w:hAnsi="Times New Roman;serif"/>
                  <w:b w:val="false"/>
                  <w:color w:val="0000FF"/>
                  <w:sz w:val="20"/>
                  <w:u w:val="single"/>
                </w:rPr>
                <w:t>6. Debt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61">
              <w:r>
                <w:rPr>
                  <w:rStyle w:val="InternetLink"/>
                  <w:rFonts w:ascii="Times New Roman;serif" w:hAnsi="Times New Roman;serif"/>
                  <w:b w:val="false"/>
                  <w:color w:val="0000FF"/>
                  <w:sz w:val="20"/>
                  <w:u w:val="single"/>
                </w:rPr>
                <w:t>20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64">
              <w:r>
                <w:rPr>
                  <w:rStyle w:val="InternetLink"/>
                  <w:rFonts w:ascii="Times New Roman;serif" w:hAnsi="Times New Roman;serif"/>
                  <w:b w:val="false"/>
                  <w:color w:val="0000FF"/>
                  <w:sz w:val="20"/>
                  <w:u w:val="single"/>
                </w:rPr>
                <w:t>7. Partners’ Capital and Distributions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64">
              <w:r>
                <w:rPr>
                  <w:rStyle w:val="InternetLink"/>
                  <w:rFonts w:ascii="Times New Roman;serif" w:hAnsi="Times New Roman;serif"/>
                  <w:b w:val="false"/>
                  <w:color w:val="0000FF"/>
                  <w:sz w:val="20"/>
                  <w:u w:val="single"/>
                </w:rPr>
                <w:t>21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67">
              <w:r>
                <w:rPr>
                  <w:rStyle w:val="InternetLink"/>
                  <w:rFonts w:ascii="Times New Roman;serif" w:hAnsi="Times New Roman;serif"/>
                  <w:b w:val="false"/>
                  <w:color w:val="0000FF"/>
                  <w:sz w:val="20"/>
                  <w:u w:val="single"/>
                </w:rPr>
                <w:t>8. Derivatives and Risk Management Activities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67">
              <w:r>
                <w:rPr>
                  <w:rStyle w:val="InternetLink"/>
                  <w:rFonts w:ascii="Times New Roman;serif" w:hAnsi="Times New Roman;serif"/>
                  <w:b w:val="false"/>
                  <w:color w:val="0000FF"/>
                  <w:sz w:val="20"/>
                  <w:u w:val="single"/>
                </w:rPr>
                <w:t>23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70">
              <w:r>
                <w:rPr>
                  <w:rStyle w:val="InternetLink"/>
                  <w:rFonts w:ascii="Times New Roman;serif" w:hAnsi="Times New Roman;serif"/>
                  <w:b w:val="false"/>
                  <w:color w:val="0000FF"/>
                  <w:sz w:val="20"/>
                  <w:u w:val="single"/>
                </w:rPr>
                <w:t>9. Related Party Transactions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70">
              <w:r>
                <w:rPr>
                  <w:rStyle w:val="InternetLink"/>
                  <w:rFonts w:ascii="Times New Roman;serif" w:hAnsi="Times New Roman;serif"/>
                  <w:b w:val="false"/>
                  <w:color w:val="0000FF"/>
                  <w:sz w:val="20"/>
                  <w:u w:val="single"/>
                </w:rPr>
                <w:t>27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73">
              <w:r>
                <w:rPr>
                  <w:rStyle w:val="InternetLink"/>
                  <w:rFonts w:ascii="Times New Roman;serif" w:hAnsi="Times New Roman;serif"/>
                  <w:b w:val="false"/>
                  <w:color w:val="0000FF"/>
                  <w:sz w:val="20"/>
                  <w:u w:val="single"/>
                </w:rPr>
                <w:t>10. Commitments and Contingencies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73">
              <w:r>
                <w:rPr>
                  <w:rStyle w:val="InternetLink"/>
                  <w:rFonts w:ascii="Times New Roman;serif" w:hAnsi="Times New Roman;serif"/>
                  <w:b w:val="false"/>
                  <w:color w:val="0000FF"/>
                  <w:sz w:val="20"/>
                  <w:u w:val="single"/>
                </w:rPr>
                <w:t>28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76">
              <w:r>
                <w:rPr>
                  <w:rStyle w:val="InternetLink"/>
                  <w:rFonts w:ascii="Times New Roman;serif" w:hAnsi="Times New Roman;serif"/>
                  <w:b w:val="false"/>
                  <w:color w:val="0000FF"/>
                  <w:sz w:val="20"/>
                  <w:u w:val="single"/>
                </w:rPr>
                <w:t>11. Segment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76">
              <w:r>
                <w:rPr>
                  <w:rStyle w:val="InternetLink"/>
                  <w:rFonts w:ascii="Times New Roman;serif" w:hAnsi="Times New Roman;serif"/>
                  <w:b w:val="false"/>
                  <w:color w:val="0000FF"/>
                  <w:sz w:val="20"/>
                  <w:u w:val="single"/>
                </w:rPr>
                <w:t>31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79">
              <w:r>
                <w:rPr>
                  <w:rStyle w:val="InternetLink"/>
                  <w:rFonts w:ascii="Times New Roman;serif" w:hAnsi="Times New Roman;serif"/>
                  <w:b w:val="false"/>
                  <w:color w:val="0000FF"/>
                  <w:sz w:val="20"/>
                  <w:u w:val="single"/>
                </w:rPr>
                <w:t>12. Acquisitions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79">
              <w:r>
                <w:rPr>
                  <w:rStyle w:val="InternetLink"/>
                  <w:rFonts w:ascii="Times New Roman;serif" w:hAnsi="Times New Roman;serif"/>
                  <w:b w:val="false"/>
                  <w:color w:val="0000FF"/>
                  <w:sz w:val="20"/>
                  <w:u w:val="single"/>
                </w:rPr>
                <w:t>38</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29a905161dd64cdb968dbc606bd49e76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85">
              <w:r>
                <w:rPr>
                  <w:rStyle w:val="InternetLink"/>
                  <w:rFonts w:ascii="Times New Roman;serif" w:hAnsi="Times New Roman;serif"/>
                  <w:b w:val="false"/>
                  <w:color w:val="0000FF"/>
                  <w:sz w:val="20"/>
                  <w:u w:val="single"/>
                </w:rPr>
                <w:t>41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18">
              <w:r>
                <w:rPr>
                  <w:rStyle w:val="InternetLink"/>
                  <w:rFonts w:ascii="Times New Roman;serif" w:hAnsi="Times New Roman;serif"/>
                  <w:b w:val="false"/>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18">
              <w:r>
                <w:rPr>
                  <w:rStyle w:val="InternetLink"/>
                  <w:rFonts w:ascii="Times New Roman;serif" w:hAnsi="Times New Roman;serif"/>
                  <w:b w:val="false"/>
                  <w:color w:val="0000FF"/>
                  <w:sz w:val="20"/>
                  <w:u w:val="single"/>
                </w:rPr>
                <w:t>62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21">
              <w:r>
                <w:rPr>
                  <w:rStyle w:val="InternetLink"/>
                  <w:rFonts w:ascii="Times New Roman;serif" w:hAnsi="Times New Roman;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21">
              <w:r>
                <w:rPr>
                  <w:rStyle w:val="InternetLink"/>
                  <w:rFonts w:ascii="Times New Roman;serif" w:hAnsi="Times New Roman;serif"/>
                  <w:b w:val="false"/>
                  <w:color w:val="0000FF"/>
                  <w:sz w:val="20"/>
                  <w:u w:val="single"/>
                </w:rPr>
                <w:t>63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24">
              <w:r>
                <w:rPr>
                  <w:rStyle w:val="InternetLink"/>
                  <w:rFonts w:ascii="Times New Roman;serif" w:hAnsi="Times New Roman;serif"/>
                  <w:b/>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27">
              <w:r>
                <w:rPr>
                  <w:rStyle w:val="InternetLink"/>
                  <w:rFonts w:ascii="Times New Roman;serif" w:hAnsi="Times New Roman;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27">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30">
              <w:r>
                <w:rPr>
                  <w:rStyle w:val="InternetLink"/>
                  <w:rFonts w:ascii="Times New Roman;serif" w:hAnsi="Times New Roman;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30">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33">
              <w:r>
                <w:rPr>
                  <w:rStyle w:val="InternetLink"/>
                  <w:rFonts w:ascii="Times New Roman;serif" w:hAnsi="Times New Roman;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33">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36">
              <w:r>
                <w:rPr>
                  <w:rStyle w:val="InternetLink"/>
                  <w:rFonts w:ascii="Times New Roman;serif" w:hAnsi="Times New Roman;serif"/>
                  <w:b w:val="false"/>
                  <w:color w:val="0000FF"/>
                  <w:sz w:val="20"/>
                  <w:u w:val="singl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36">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39">
              <w:r>
                <w:rPr>
                  <w:rStyle w:val="InternetLink"/>
                  <w:rFonts w:ascii="Times New Roman;serif" w:hAnsi="Times New Roman;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39">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42">
              <w:r>
                <w:rPr>
                  <w:rStyle w:val="InternetLink"/>
                  <w:rFonts w:ascii="Times New Roman;serif" w:hAnsi="Times New Roman;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42">
              <w:r>
                <w:rPr>
                  <w:rStyle w:val="InternetLink"/>
                  <w:rFonts w:ascii="Times New Roman;serif" w:hAnsi="Times New Roman;serif"/>
                  <w:b w:val="false"/>
                  <w:color w:val="0000FF"/>
                  <w:sz w:val="20"/>
                  <w:u w:val="single"/>
                </w:rPr>
                <w:t>65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45">
              <w:r>
                <w:rPr>
                  <w:rStyle w:val="InternetLink"/>
                  <w:rFonts w:ascii="Times New Roman;serif" w:hAnsi="Times New Roman;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45">
              <w:r>
                <w:rPr>
                  <w:rStyle w:val="InternetLink"/>
                  <w:rFonts w:ascii="Times New Roman;serif" w:hAnsi="Times New Roman;serif"/>
                  <w:b w:val="false"/>
                  <w:color w:val="0000FF"/>
                  <w:sz w:val="20"/>
                  <w:u w:val="single"/>
                </w:rPr>
                <w:t>66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a905161dd64cdb968dbc606bd49e76_151">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a905161dd64cdb968dbc606bd49e76_151">
              <w:r>
                <w:rPr>
                  <w:rStyle w:val="InternetLink"/>
                  <w:rFonts w:ascii="Times New Roman;serif" w:hAnsi="Times New Roman;serif"/>
                  <w:b w:val="false"/>
                  <w:color w:val="0000FF"/>
                  <w:sz w:val="20"/>
                  <w:u w:val="single"/>
                </w:rPr>
                <w:t>70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unit data)</w:t>
      </w:r>
    </w:p>
    <w:tbl>
      <w:tblPr>
        <w:tblW w:w="10091" w:type="dxa"/>
        <w:jc w:val="center"/>
        <w:tblInd w:w="0" w:type="dxa"/>
        <w:tblLayout w:type="fixed"/>
        <w:tblCellMar>
          <w:top w:w="28" w:type="dxa"/>
          <w:left w:w="28" w:type="dxa"/>
          <w:bottom w:w="28" w:type="dxa"/>
          <w:right w:w="28" w:type="dxa"/>
        </w:tblCellMar>
      </w:tblPr>
      <w:tblGrid>
        <w:gridCol w:w="2706"/>
        <w:gridCol w:w="2379"/>
        <w:gridCol w:w="2400"/>
        <w:gridCol w:w="231"/>
        <w:gridCol w:w="790"/>
        <w:gridCol w:w="119"/>
        <w:gridCol w:w="109"/>
        <w:gridCol w:w="109"/>
        <w:gridCol w:w="109"/>
        <w:gridCol w:w="221"/>
        <w:gridCol w:w="757"/>
        <w:gridCol w:w="161"/>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 and other receivables,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assets of discontinued operations (Note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 AND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(5,535)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ASSETS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unconsolidated entities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Linefill</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right-of-use assets,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inventory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assets of discontinued operations (Note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PARTNERS’ CAPITAL</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liabilities of discontinued operations (Note 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Senior notes,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debt,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liabilities of discontinued operations (Note 2)</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 and deferred credits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long-term liabilities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10)</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PARTNERS’ CAPITAL</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A preferred unitholders (58,411,908 and 71,090,468 units outstanding, respectively)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B preferred unitholders (800,000 and 800,000 units outstanding, respectively)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unitholders (705,497,770 and 703,770,300 units outstanding, respectively)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 excluding noncontrolling interests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partners’ capital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millions, except per unit data)</w:t>
      </w:r>
    </w:p>
    <w:tbl>
      <w:tblPr>
        <w:tblW w:w="10205" w:type="dxa"/>
        <w:jc w:val="left"/>
        <w:tblInd w:w="0" w:type="dxa"/>
        <w:tblLayout w:type="fixed"/>
        <w:tblCellMar>
          <w:top w:w="28" w:type="dxa"/>
          <w:left w:w="28" w:type="dxa"/>
          <w:bottom w:w="28" w:type="dxa"/>
          <w:right w:w="28" w:type="dxa"/>
        </w:tblCellMar>
      </w:tblPr>
      <w:tblGrid>
        <w:gridCol w:w="1998"/>
        <w:gridCol w:w="1683"/>
        <w:gridCol w:w="169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6"/>
      </w:tblGrid>
      <w:tr>
        <w:trPr/>
        <w:tc>
          <w:tcPr>
            <w:tcW w:w="199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operating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(Gains)/losses on asset sales,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INCOME/(EXPENSE)</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 (net of capitalized interest of $4, $2, $9 and $7,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FROM CONTINUING OPERATIONS BEFORE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income tax expense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(expense)/benefit from continuing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INCOME FROM CONTINUING OPERATIONS,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INCOME FROM DISCONTINUED OPERATIONS, NET OF TAX (NOTE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PER COMMON UNIT (NOTE 4):</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unitholders — Basic and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weighted average common units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income per common unit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7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tbl>
      <w:tblPr>
        <w:tblW w:w="9554" w:type="dxa"/>
        <w:jc w:val="left"/>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539"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11"/>
        <w:gridCol w:w="691"/>
        <w:gridCol w:w="109"/>
        <w:gridCol w:w="109"/>
        <w:gridCol w:w="109"/>
        <w:gridCol w:w="109"/>
        <w:gridCol w:w="211"/>
        <w:gridCol w:w="406"/>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84"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7207" w:type="dxa"/>
        <w:jc w:val="left"/>
        <w:tblInd w:w="0" w:type="dxa"/>
        <w:tblLayout w:type="fixed"/>
        <w:tblCellMar>
          <w:top w:w="28" w:type="dxa"/>
          <w:left w:w="28" w:type="dxa"/>
          <w:bottom w:w="28" w:type="dxa"/>
          <w:right w:w="28" w:type="dxa"/>
        </w:tblCellMar>
      </w:tblPr>
      <w:tblGrid>
        <w:gridCol w:w="1894"/>
        <w:gridCol w:w="1666"/>
        <w:gridCol w:w="1675"/>
        <w:gridCol w:w="196"/>
        <w:gridCol w:w="556"/>
        <w:gridCol w:w="109"/>
        <w:gridCol w:w="109"/>
        <w:gridCol w:w="109"/>
        <w:gridCol w:w="109"/>
        <w:gridCol w:w="200"/>
        <w:gridCol w:w="430"/>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(Gains)/losses on asset sales,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(Gain)/loss on foreign currency revaluation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terminated interest rate hedging instruments (Note 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earnings from unconsolidated entities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 (Note 12)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connection with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equipment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purchases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related party notes (Note 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repayments under commercial paper program (Note 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senior notes (Note 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related party notes (Note 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Series A preferred units (Note 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Series A preferred unitholders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Series B preferred unitholders (Note 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common unitholders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noncontrolling interests (Note 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continuing operations</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amounts refunded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0"/>
        <w:gridCol w:w="488"/>
        <w:gridCol w:w="491"/>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61"/>
        <w:gridCol w:w="1059"/>
        <w:gridCol w:w="188"/>
        <w:gridCol w:w="109"/>
        <w:gridCol w:w="109"/>
        <w:gridCol w:w="109"/>
        <w:gridCol w:w="300"/>
        <w:gridCol w:w="878"/>
        <w:gridCol w:w="156"/>
        <w:gridCol w:w="109"/>
        <w:gridCol w:w="109"/>
        <w:gridCol w:w="109"/>
        <w:gridCol w:w="211"/>
        <w:gridCol w:w="721"/>
        <w:gridCol w:w="159"/>
      </w:tblGrid>
      <w:tr>
        <w:trPr/>
        <w:tc>
          <w:tcPr>
            <w:tcW w:w="8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3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9"/>
        <w:gridCol w:w="481"/>
        <w:gridCol w:w="484"/>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29"/>
        <w:gridCol w:w="1127"/>
        <w:gridCol w:w="172"/>
        <w:gridCol w:w="109"/>
        <w:gridCol w:w="109"/>
        <w:gridCol w:w="109"/>
        <w:gridCol w:w="301"/>
        <w:gridCol w:w="882"/>
        <w:gridCol w:w="157"/>
        <w:gridCol w:w="109"/>
        <w:gridCol w:w="109"/>
        <w:gridCol w:w="109"/>
        <w:gridCol w:w="211"/>
        <w:gridCol w:w="721"/>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Natural Gas Liquids (“NGL”). See Note 11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non-economic general partner interest is held by PAA GP LLC (“PAA GP”), a Delaware limited liability company, whose sole member is Plains AAP, L.P. (“AAP”), a Delaware limited partnership. In addition to its ownership of PAA GP, as of September 30, 2025, AAP also owned a limited partner interest in us through its ownership of approximately 233.0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September 30, 2025, owned an approximate 85% limited partner interest in AAP. PAA GP Holdings LLC (“PAGP GP”) is the general partner of PAGP.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our “general partner,” as the context requires, include any or all of PAGP GP, PAGP, GP LLC, AAP and PAA GP. References to “Plains entities,” as the context requires, include any or all of PAA and its subsidiaries and our general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defined terms may be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Organisation for Economic Co-operation and Development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and related notes thereto should be read in conjunction with our 2024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and nine months ended September 30,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the first quarter of 2026, subject to the satisfaction or waiver of customary closing conditions, including receipt of regulatory approvals.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w:t>
      </w:r>
      <w:r>
        <w:rPr>
          <w:rFonts w:ascii="Times New Roman;serif" w:hAnsi="Times New Roman;serif"/>
          <w:b w:val="false"/>
          <w:color w:val="000000"/>
          <w:sz w:val="20"/>
          <w:shd w:fill="FFFFFF" w:val="clear"/>
        </w:rPr>
        <w:t xml:space="preserve">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w:t>
      </w:r>
      <w:r>
        <w:rPr>
          <w:rFonts w:ascii="Times New Roman;serif" w:hAnsi="Times New Roman;serif"/>
          <w:b w:val="false"/>
          <w:color w:val="000000"/>
          <w:sz w:val="20"/>
        </w:rPr>
        <w:t>See Note 2 for additional information regarding discontinued operations. All significant intercompany balances and transactions between the Canadian NGL Business and our continuing operations have been eliminated.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will divest the Canadian NGL Business as part of the sale, we will retain substantially all NGL assets in the United States and will also retain all crude oil assets in Canada.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forward currency instrument to hedge currency exchange risk associated with anticipated proceeds from the pending sale of our Canadian NGL Business. See Note 8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the first quarter of 2026, based on existing contracts to be transferred and current market conditions as of September 30, 2025, we would recognize a liability of approximately $45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discussed in our 2024 Annual Report on Form 10-K, there have been no new accounting pronouncements that have become effective or have been issued during the nine months ended September 30, 2025 that are of significance or potential significance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of discontinued operations (in millions):</w:t>
      </w:r>
    </w:p>
    <w:p>
      <w:pPr>
        <w:pStyle w:val="TextBody"/>
        <w:bidi w:val="0"/>
        <w:spacing w:before="0" w:after="0"/>
        <w:jc w:val="left"/>
        <w:rPr/>
      </w:pPr>
      <w:r>
        <w:rPr/>
      </w:r>
    </w:p>
    <w:tbl>
      <w:tblPr>
        <w:tblW w:w="7045" w:type="dxa"/>
        <w:jc w:val="left"/>
        <w:tblInd w:w="0" w:type="dxa"/>
        <w:tblLayout w:type="fixed"/>
        <w:tblCellMar>
          <w:top w:w="28" w:type="dxa"/>
          <w:left w:w="28" w:type="dxa"/>
          <w:bottom w:w="28" w:type="dxa"/>
          <w:right w:w="28" w:type="dxa"/>
        </w:tblCellMar>
      </w:tblPr>
      <w:tblGrid>
        <w:gridCol w:w="1599"/>
        <w:gridCol w:w="1411"/>
        <w:gridCol w:w="1429"/>
        <w:gridCol w:w="257"/>
        <w:gridCol w:w="750"/>
        <w:gridCol w:w="132"/>
        <w:gridCol w:w="109"/>
        <w:gridCol w:w="109"/>
        <w:gridCol w:w="109"/>
        <w:gridCol w:w="245"/>
        <w:gridCol w:w="716"/>
        <w:gridCol w:w="179"/>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(1)</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 of discontinued operations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 of discontinued operations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net of accumulated depreciation of $866 million and $794 million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line items comprising pretax income from discontinued operations to income from discontinued operations, net of tax (in millions):</w:t>
      </w:r>
    </w:p>
    <w:p>
      <w:pPr>
        <w:pStyle w:val="TextBody"/>
        <w:bidi w:val="0"/>
        <w:spacing w:before="0" w:after="0"/>
        <w:jc w:val="left"/>
        <w:rPr/>
      </w:pPr>
      <w:r>
        <w:rPr/>
      </w:r>
    </w:p>
    <w:tbl>
      <w:tblPr>
        <w:tblW w:w="8174" w:type="dxa"/>
        <w:jc w:val="left"/>
        <w:tblInd w:w="0" w:type="dxa"/>
        <w:tblLayout w:type="fixed"/>
        <w:tblCellMar>
          <w:top w:w="28" w:type="dxa"/>
          <w:left w:w="28" w:type="dxa"/>
          <w:bottom w:w="28" w:type="dxa"/>
          <w:right w:w="28" w:type="dxa"/>
        </w:tblCellMar>
      </w:tblPr>
      <w:tblGrid>
        <w:gridCol w:w="1449"/>
        <w:gridCol w:w="1274"/>
        <w:gridCol w:w="128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(Gains)/losses on asset sales,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3—Revenues and Accounts Receivable</w:t>
      </w:r>
      <w:r>
        <w:rPr>
          <w:color w:val="3051F2"/>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revenues by segment and type of activity. These categories depict how the nature, amount, timing and uncertainty of revenues and cash flows are affected by economic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 from Contracts with Customers.</w:t>
      </w:r>
      <w:r>
        <w:rPr>
          <w:color w:val="000000"/>
        </w:rPr>
        <w:t xml:space="preserve"> </w:t>
      </w:r>
      <w:r>
        <w:rPr>
          <w:rFonts w:ascii="Times New Roman;serif" w:hAnsi="Times New Roman;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789" w:type="dxa"/>
        <w:jc w:val="left"/>
        <w:tblInd w:w="0" w:type="dxa"/>
        <w:tblLayout w:type="fixed"/>
        <w:tblCellMar>
          <w:top w:w="28" w:type="dxa"/>
          <w:left w:w="28" w:type="dxa"/>
          <w:bottom w:w="28" w:type="dxa"/>
          <w:right w:w="28" w:type="dxa"/>
        </w:tblCellMar>
      </w:tblPr>
      <w:tblGrid>
        <w:gridCol w:w="1785"/>
        <w:gridCol w:w="1572"/>
        <w:gridCol w:w="1577"/>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46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NGL segment revenues from contracts with customers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NGL segment revenues from contracts with customers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Sales Revenues.</w:t>
      </w:r>
      <w:r>
        <w:rPr>
          <w:color w:val="000000"/>
        </w:rPr>
        <w:t xml:space="preserve"> </w:t>
      </w:r>
      <w:r>
        <w:rPr>
          <w:rFonts w:ascii="Times New Roman;serif" w:hAnsi="Times New Roman;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Transportation Revenues.</w:t>
      </w:r>
      <w:r>
        <w:rPr>
          <w:color w:val="000000"/>
        </w:rPr>
        <w:t xml:space="preserve"> </w:t>
      </w:r>
      <w:r>
        <w:rPr>
          <w:rFonts w:ascii="Times New Roman;serif" w:hAnsi="Times New Roman;serif"/>
          <w:b w:val="false"/>
          <w:color w:val="000000"/>
          <w:sz w:val="20"/>
        </w:rPr>
        <w:t xml:space="preserve">Transportation revenues include revenues from transporting crude oil on pipelines and 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Terminalling, Storage and Other Revenues.</w:t>
      </w:r>
      <w:r>
        <w:rPr>
          <w:color w:val="000000"/>
        </w:rPr>
        <w:t xml:space="preserve"> </w:t>
      </w:r>
      <w:r>
        <w:rPr>
          <w:rFonts w:ascii="Times New Roman;serif" w:hAnsi="Times New Roman;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Reconciliation to Total Revenues of Reportable Segments. </w:t>
      </w:r>
      <w:r>
        <w:rPr>
          <w:rFonts w:ascii="Times New Roman;serif" w:hAnsi="Times New Roman;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tbl>
      <w:tblPr>
        <w:tblW w:w="7269" w:type="dxa"/>
        <w:jc w:val="left"/>
        <w:tblInd w:w="0" w:type="dxa"/>
        <w:tblLayout w:type="fixed"/>
        <w:tblCellMar>
          <w:top w:w="28" w:type="dxa"/>
          <w:left w:w="28" w:type="dxa"/>
          <w:bottom w:w="28" w:type="dxa"/>
          <w:right w:w="28" w:type="dxa"/>
        </w:tblCellMar>
      </w:tblPr>
      <w:tblGrid>
        <w:gridCol w:w="1223"/>
        <w:gridCol w:w="1074"/>
        <w:gridCol w:w="1078"/>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Minimum Volume Commitments. </w:t>
      </w:r>
      <w:r>
        <w:rPr>
          <w:rFonts w:ascii="Times New Roman;serif" w:hAnsi="Times New Roman;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848"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352"/>
        <w:gridCol w:w="603"/>
        <w:gridCol w:w="184"/>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pPr>
      <w:r>
        <w:rPr>
          <w:rFonts w:ascii="Times New Roman;serif" w:hAnsi="Times New Roman;serif"/>
          <w:b w:val="false"/>
          <w:i/>
          <w:color w:val="000000"/>
          <w:sz w:val="20"/>
        </w:rPr>
        <w:t>Contract Balances</w:t>
      </w:r>
      <w:r>
        <w:rPr>
          <w:rFonts w:ascii="Times New Roman;serif" w:hAnsi="Times New Roman;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7"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452"/>
        <w:gridCol w:w="775"/>
        <w:gridCol w:w="33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Remaining Performance Obligations</w:t>
      </w:r>
      <w:r>
        <w:rPr>
          <w:rFonts w:ascii="Times New Roman;serif" w:hAnsi="Times New Roman;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2025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39"/>
        <w:gridCol w:w="972"/>
        <w:gridCol w:w="974"/>
        <w:gridCol w:w="290"/>
        <w:gridCol w:w="643"/>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2"/>
        <w:gridCol w:w="646"/>
        <w:gridCol w:w="219"/>
      </w:tblGrid>
      <w:tr>
        <w:trPr/>
        <w:tc>
          <w:tcPr>
            <w:tcW w:w="1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2030 and Thereafter</w:t>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Pipeline revenues supported by minimum volume commitments and capacity agreements </w:t>
            </w:r>
            <w:r>
              <w:rPr>
                <w:rFonts w:ascii="Times New Roman;serif" w:hAnsi="Times New Roman;serif"/>
                <w:b w:val="false"/>
                <w:color w:val="000000"/>
                <w:sz w:val="13"/>
              </w:rPr>
              <w:t>(1)</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 agreement revenues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Contracts within the scope of ASC Topic 842, </w:t>
      </w:r>
      <w:r>
        <w:rPr>
          <w:rFonts w:ascii="Times New Roman;serif" w:hAnsi="Times New Roman;serif"/>
          <w:b w:val="false"/>
          <w:i/>
          <w:color w:val="000000"/>
          <w:sz w:val="20"/>
        </w:rPr>
        <w:t>Leases</w:t>
      </w:r>
      <w:r>
        <w:rPr>
          <w:rFonts w:ascii="Times New Roman;serif" w:hAnsi="Times New Roman;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Contracts within the scope of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9085" w:type="dxa"/>
        <w:jc w:val="left"/>
        <w:tblInd w:w="0" w:type="dxa"/>
        <w:tblLayout w:type="fixed"/>
        <w:tblCellMar>
          <w:top w:w="28" w:type="dxa"/>
          <w:left w:w="28" w:type="dxa"/>
          <w:bottom w:w="28" w:type="dxa"/>
          <w:right w:w="28" w:type="dxa"/>
        </w:tblCellMar>
      </w:tblPr>
      <w:tblGrid>
        <w:gridCol w:w="2348"/>
        <w:gridCol w:w="2057"/>
        <w:gridCol w:w="2074"/>
        <w:gridCol w:w="257"/>
        <w:gridCol w:w="750"/>
        <w:gridCol w:w="132"/>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arising from revenues from contracts with customers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trade accounts receivable and other receivables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due to contractual rights of offset with counterparties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4—Net Income Per Common Unit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basic and diluted net income per common unit by dividing income from continuing operations attributable to PAA (after deducting amounts allocated to the preferred unitholders and participating securities) and income from discontinued operations by the basic and diluted weighted average number of common units outstanding during the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2024 Annual Report on Form 10-K for a discussion of our Series A preferred units and equity-indexed compensation plan awards. When applying the if-converted method prescribed by FASB guidance, on a weighted-average basis, for the three and nine months ended September 30, 2025, the possible conversion of approximately 58 million and 60 million Series A preferred units, respectively, and for each of the three and nine months ended September 30, 2024, the possible conversion of approximately 71 million Series A preferred units were excluded from the calculation of diluted net income per common unit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4"/>
        <w:gridCol w:w="1641"/>
        <w:gridCol w:w="1647"/>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492"/>
      </w:tblGrid>
      <w:tr>
        <w:trPr/>
        <w:tc>
          <w:tcPr>
            <w:tcW w:w="212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4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Income per Common Unit</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attributable to PAA</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Distributions to Series A preferred unitholders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Distributions to Series B preferred unitholders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participating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from repurchase of Series A preferred units </w:t>
            </w:r>
            <w:r>
              <w:rPr>
                <w:rFonts w:ascii="Times New Roman;serif" w:hAnsi="Times New Roman;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from continuing operations allocated to common unitholders - Basic and Diluted </w:t>
            </w:r>
            <w:r>
              <w:rPr>
                <w:rFonts w:ascii="Times New Roman;serif" w:hAnsi="Times New Roman;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20"/>
              </w:rPr>
              <w:t xml:space="preserve">Net income from discontinued operations allocated to common unitholders - Basic and Diluted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Net income allocated to common unitholders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units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5412"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repurchased approximately 12.7 million Series A preferred units on January 31, 2025. See Note 7 for additional information. The difference between the cash we paid for the repurchase of such units and their carrying value on our balance sheet is considered a return to Series A preferred unitholders for the calculation of net income allocated to common unitholders.</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Net income from discontinued operations allocated to common unitholders is Income from discontinued operations, net of tax as presented on our Condensed Consolidated Statements of Operations.</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linefill and long-term inventory consisted of the following (barrels in thousands and carrying value in millions):</w:t>
      </w:r>
    </w:p>
    <w:p>
      <w:pPr>
        <w:pStyle w:val="TextBody"/>
        <w:bidi w:val="0"/>
        <w:spacing w:before="0" w:after="0"/>
        <w:jc w:val="left"/>
        <w:rPr/>
      </w:pPr>
      <w:r>
        <w:rPr/>
      </w:r>
    </w:p>
    <w:tbl>
      <w:tblPr>
        <w:tblW w:w="10807" w:type="dxa"/>
        <w:jc w:val="left"/>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61"/>
        <w:gridCol w:w="2429"/>
        <w:gridCol w:w="2433"/>
        <w:gridCol w:w="253"/>
        <w:gridCol w:w="740"/>
        <w:gridCol w:w="130"/>
        <w:gridCol w:w="109"/>
        <w:gridCol w:w="109"/>
        <w:gridCol w:w="109"/>
        <w:gridCol w:w="242"/>
        <w:gridCol w:w="709"/>
        <w:gridCol w:w="181"/>
      </w:tblGrid>
      <w:tr>
        <w:trPr/>
        <w:tc>
          <w:tcPr>
            <w:tcW w:w="2761"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erif" w:hAnsi="Times New Roman;serif"/>
                <w:b w:val="false"/>
                <w:color w:val="000000"/>
                <w:sz w:val="20"/>
              </w:rPr>
              <w:t xml:space="preserve">Commercial paper notes, bearing a weighted-average interest rate of 4.6% </w:t>
            </w:r>
            <w:r>
              <w:rPr>
                <w:rFonts w:ascii="Times New Roman;serif" w:hAnsi="Times New Roman;serif"/>
                <w:b w:val="false"/>
                <w:color w:val="000000"/>
                <w:sz w:val="13"/>
              </w:rPr>
              <w:t>(1)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4.65% senior notes due October 2025</w:t>
            </w:r>
            <w:r>
              <w:rPr>
                <w:color w:val="000000"/>
              </w:rPr>
              <w:t xml:space="preserve"> </w:t>
            </w:r>
            <w:r>
              <w:rPr>
                <w:rFonts w:ascii="Times New Roman;serif" w:hAnsi="Times New Roman;serif"/>
                <w:b w:val="false"/>
                <w:color w:val="000000"/>
                <w:sz w:val="13"/>
              </w:rPr>
              <w:t>(2)</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Senior notes, net of unamortized discounts and debt issuance costs of $62 and $42, respectively</w:t>
            </w:r>
            <w:r>
              <w:rPr>
                <w:color w:val="000000"/>
              </w:rPr>
              <w:t xml:space="preserve"> </w:t>
            </w:r>
            <w:r>
              <w:rPr>
                <w:rFonts w:ascii="Times New Roman;serif" w:hAnsi="Times New Roman;serif"/>
                <w:b w:val="false"/>
                <w:color w:val="000000"/>
                <w:sz w:val="13"/>
              </w:rPr>
              <w:t>(2)</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classified these commercial paper notes as short-term as of December 31, 2024, as these notes were primarily designated as working capital borrowings, were required to be repaid within one year and were primarily for hedged inventory and NYMEX and ICE margin deposits.</w:t>
      </w:r>
    </w:p>
    <w:p>
      <w:pPr>
        <w:pStyle w:val="TextBody"/>
        <w:bidi w:val="0"/>
        <w:spacing w:lineRule="auto" w:line="288" w:before="12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As of December 31, 2024, we classified our $1.0 billion, 4.65% senior notes due October 2025 as long-term based on our ability and intent to refinance the notes on a long-term basis at that time. We redeemed these senior notes on October 3, 2025.</w:t>
      </w:r>
    </w:p>
    <w:p>
      <w:pPr>
        <w:pStyle w:val="TextBody"/>
        <w:bidi w:val="0"/>
        <w:spacing w:lineRule="auto" w:line="288" w:before="120" w:after="283"/>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Our fixed-rate senior notes had a face value of approximately $9.4 billion and $7.2 billion as of September 30, 2025 and December 31, 2024, respectively. We estimated the aggregate fair value of these notes as of September 30, 2025 and December 31, 2024 to be approximately $9.2 billion and $6.7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we completed the offering of $1.0 billion, 5.95% senior notes due June 2035 at a public offering price of 99.761%. Interest payments are due on June 15 and December 15 of each year, commencing on June 15,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we completed the offering of $700 million, 4.70% senior notes due January 2031 and $550 million, 5.60% senior notes due January 2036 at a public offering price of 99.865% and 99.798%, respectively. Interest payments on these notes are due on January 15 and July 15 of each year, commencing on January 15,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borrowings under our commercial paper program for the nine months ended September 30, 2025 and 2024 were approximately $38.7 billion and $20.7 billion, respectively. Total repayments under our commercial paper program were approximately $39.1 billion and $21.1 billion for the nine months ended September 30, 2025 and 2024,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2025 and December 31, 2024, we had outstanding letters of credit of $70 million and $90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Units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activity for our preferred and common units: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0"/>
        <w:gridCol w:w="1432"/>
        <w:gridCol w:w="1440"/>
        <w:gridCol w:w="619"/>
        <w:gridCol w:w="549"/>
        <w:gridCol w:w="517"/>
        <w:gridCol w:w="109"/>
        <w:gridCol w:w="109"/>
        <w:gridCol w:w="109"/>
        <w:gridCol w:w="516"/>
        <w:gridCol w:w="513"/>
        <w:gridCol w:w="515"/>
        <w:gridCol w:w="109"/>
        <w:gridCol w:w="109"/>
        <w:gridCol w:w="109"/>
        <w:gridCol w:w="593"/>
        <w:gridCol w:w="593"/>
        <w:gridCol w:w="514"/>
      </w:tblGrid>
      <w:tr>
        <w:trPr/>
        <w:tc>
          <w:tcPr>
            <w:tcW w:w="17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r>
      <w:tr>
        <w:trPr/>
        <w:tc>
          <w:tcPr>
            <w:tcW w:w="46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703,770,300 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w:t>
            </w:r>
          </w:p>
        </w:tc>
        <w:tc>
          <w:tcPr>
            <w:tcW w:w="11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(12,678,560)</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703,775,950 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cancellation of common units under the Common Equity Repurchase Program</w:t>
            </w:r>
          </w:p>
        </w:tc>
        <w:tc>
          <w:tcPr>
            <w:tcW w:w="11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(476,695)</w:t>
            </w:r>
          </w:p>
        </w:tc>
        <w:tc>
          <w:tcPr>
            <w:tcW w:w="5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703,304,452 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2,193,318 </w:t>
            </w:r>
          </w:p>
        </w:tc>
        <w:tc>
          <w:tcPr>
            <w:tcW w:w="5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1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58,411,908 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705,497,770 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701,008,749 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62,282 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March 31, 2024</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701,071,031 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2024</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701,081,299 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2,587,760 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71,090,468 </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703,669,059 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Repurchase of Series A Preferred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we repurchased approximately 12.7 million of our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the board of directors of PAGP GP.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 The difference between the cash we paid for the repurchase of such units and their carrying value on our balance sheet was $43 million. Such amount was considered a return to Series A preferred unitholders and thus reduced amounts attributable to our common unitholders in our Condensed Consolidated Statement of Changes in Partners’ Capital and the calculation of net income per common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A Preferred Unit Distributions</w:t>
      </w:r>
      <w:r>
        <w:rPr>
          <w:rFonts w:ascii="Times New Roman;serif" w:hAnsi="Times New Roman;serif"/>
          <w:b w:val="false"/>
          <w:color w:val="000000"/>
          <w:sz w:val="20"/>
        </w:rPr>
        <w:t>. Distributions on the Series A preferred units accumulate and are payable quarterly within 45 days following the end of each quarter. See Note 11 to our Consolidated Financial Statements included in Part IV of our 2024 Annual Report on Form 10-K for additional information regarding Series A preferred unit distributions. The following table details distributions to our Series A preferred unitholders paid during or pertaining to the first nine months of 2025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9"/>
        <w:gridCol w:w="614"/>
        <w:gridCol w:w="616"/>
        <w:gridCol w:w="109"/>
        <w:gridCol w:w="109"/>
        <w:gridCol w:w="109"/>
        <w:gridCol w:w="441"/>
        <w:gridCol w:w="397"/>
        <w:gridCol w:w="400"/>
        <w:gridCol w:w="109"/>
        <w:gridCol w:w="109"/>
        <w:gridCol w:w="109"/>
        <w:gridCol w:w="908"/>
        <w:gridCol w:w="908"/>
        <w:gridCol w:w="911"/>
        <w:gridCol w:w="109"/>
        <w:gridCol w:w="109"/>
        <w:gridCol w:w="109"/>
        <w:gridCol w:w="381"/>
        <w:gridCol w:w="653"/>
        <w:gridCol w:w="198"/>
        <w:gridCol w:w="110"/>
        <w:gridCol w:w="110"/>
        <w:gridCol w:w="110"/>
        <w:gridCol w:w="110"/>
        <w:gridCol w:w="110"/>
        <w:gridCol w:w="110"/>
        <w:gridCol w:w="307"/>
        <w:gridCol w:w="899"/>
        <w:gridCol w:w="232"/>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Unitholders</w:t>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November 14, 2025</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2025 through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2025 through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2024 through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Payable to unitholders of record at the close of business on the applicable Record Date. </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September 30, 2025, such amount was accrued as distributions payable in “Other current liabilities” on our Condensed Consolidated Balance Sheet.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 Distributions</w:t>
      </w:r>
      <w:r>
        <w:rPr>
          <w:rFonts w:ascii="Times New Roman;serif" w:hAnsi="Times New Roman;serif"/>
          <w:b w:val="false"/>
          <w:color w:val="000000"/>
          <w:sz w:val="20"/>
        </w:rPr>
        <w:t>. Distributions on the Series B preferred units accumulate and are payable quarterly in arrears on the 15th day of February, May, August and November. See Note 11 to our Consolidated Financial Statements included in Part IV of our 2024 Annual Report on Form 10-K for additional information regarding Series B preferred unit distributions. The following table details distributions paid or to be paid to our Series B preferred unitholders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1"/>
        <w:gridCol w:w="607"/>
        <w:gridCol w:w="609"/>
        <w:gridCol w:w="109"/>
        <w:gridCol w:w="109"/>
        <w:gridCol w:w="109"/>
        <w:gridCol w:w="475"/>
        <w:gridCol w:w="453"/>
        <w:gridCol w:w="400"/>
        <w:gridCol w:w="109"/>
        <w:gridCol w:w="109"/>
        <w:gridCol w:w="109"/>
        <w:gridCol w:w="897"/>
        <w:gridCol w:w="897"/>
        <w:gridCol w:w="900"/>
        <w:gridCol w:w="109"/>
        <w:gridCol w:w="109"/>
        <w:gridCol w:w="109"/>
        <w:gridCol w:w="382"/>
        <w:gridCol w:w="655"/>
        <w:gridCol w:w="198"/>
        <w:gridCol w:w="109"/>
        <w:gridCol w:w="109"/>
        <w:gridCol w:w="109"/>
        <w:gridCol w:w="109"/>
        <w:gridCol w:w="109"/>
        <w:gridCol w:w="109"/>
        <w:gridCol w:w="299"/>
        <w:gridCol w:w="876"/>
        <w:gridCol w:w="231"/>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Preferred Unitholders</w:t>
            </w:r>
          </w:p>
        </w:tc>
      </w:tr>
      <w:tr>
        <w:trPr/>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Distribution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November 17, 2025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15, 2025 through 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15, 2025 through 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15, 2025 through May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15, 2024 through February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September 30, 2025, approximately $9 million of accrued distributions payable to our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Common Unit Distributions</w:t>
      </w:r>
      <w:r>
        <w:rPr>
          <w:rFonts w:ascii="Times New Roman;serif" w:hAnsi="Times New Roman;serif"/>
          <w:b w:val="false"/>
          <w:color w:val="000000"/>
          <w:sz w:val="20"/>
        </w:rPr>
        <w:t>. The following table details distributions to our common unitholders paid during or pertaining to the first nine months of 2025 (in millions, except per unit data):</w:t>
      </w:r>
    </w:p>
    <w:tbl>
      <w:tblPr>
        <w:tblW w:w="10205" w:type="dxa"/>
        <w:jc w:val="left"/>
        <w:tblInd w:w="0" w:type="dxa"/>
        <w:tblLayout w:type="fixed"/>
        <w:tblCellMar>
          <w:top w:w="28" w:type="dxa"/>
          <w:left w:w="28" w:type="dxa"/>
          <w:bottom w:w="28" w:type="dxa"/>
          <w:right w:w="28" w:type="dxa"/>
        </w:tblCellMar>
      </w:tblPr>
      <w:tblGrid>
        <w:gridCol w:w="633"/>
        <w:gridCol w:w="556"/>
        <w:gridCol w:w="558"/>
        <w:gridCol w:w="109"/>
        <w:gridCol w:w="109"/>
        <w:gridCol w:w="109"/>
        <w:gridCol w:w="359"/>
        <w:gridCol w:w="260"/>
        <w:gridCol w:w="261"/>
        <w:gridCol w:w="109"/>
        <w:gridCol w:w="109"/>
        <w:gridCol w:w="109"/>
        <w:gridCol w:w="481"/>
        <w:gridCol w:w="481"/>
        <w:gridCol w:w="483"/>
        <w:gridCol w:w="109"/>
        <w:gridCol w:w="109"/>
        <w:gridCol w:w="109"/>
        <w:gridCol w:w="211"/>
        <w:gridCol w:w="466"/>
        <w:gridCol w:w="109"/>
        <w:gridCol w:w="109"/>
        <w:gridCol w:w="109"/>
        <w:gridCol w:w="109"/>
        <w:gridCol w:w="211"/>
        <w:gridCol w:w="361"/>
        <w:gridCol w:w="109"/>
        <w:gridCol w:w="109"/>
        <w:gridCol w:w="109"/>
        <w:gridCol w:w="109"/>
        <w:gridCol w:w="300"/>
        <w:gridCol w:w="663"/>
        <w:gridCol w:w="156"/>
        <w:gridCol w:w="109"/>
        <w:gridCol w:w="109"/>
        <w:gridCol w:w="109"/>
        <w:gridCol w:w="109"/>
        <w:gridCol w:w="109"/>
        <w:gridCol w:w="109"/>
        <w:gridCol w:w="300"/>
        <w:gridCol w:w="729"/>
        <w:gridCol w:w="229"/>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Common Unit</w:t>
            </w:r>
          </w:p>
        </w:tc>
      </w:tr>
      <w:tr>
        <w:trPr/>
        <w:tc>
          <w:tcPr>
            <w:tcW w:w="17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2025 through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2025 through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2025 through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2024 through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noncontrolling interests in our subsidiaries consisted of (i) a 35% interest in Plains Oryx Permian Basin LLC (the “Permian JV”), (ii) a 30% interest in Cactus II Pipeline LLC (“Cactus II”) and (iii) a 33% interest in Red River Pipeline Company LLC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paid to noncontrolling interests during the periods presented (in millions):</w:t>
      </w:r>
    </w:p>
    <w:p>
      <w:pPr>
        <w:pStyle w:val="TextBody"/>
        <w:bidi w:val="0"/>
        <w:spacing w:before="0" w:after="0"/>
        <w:jc w:val="left"/>
        <w:rPr/>
      </w:pPr>
      <w:r>
        <w:rPr/>
      </w:r>
    </w:p>
    <w:tbl>
      <w:tblPr>
        <w:tblW w:w="5422" w:type="dxa"/>
        <w:jc w:val="left"/>
        <w:tblInd w:w="0" w:type="dxa"/>
        <w:tblLayout w:type="fixed"/>
        <w:tblCellMar>
          <w:top w:w="28" w:type="dxa"/>
          <w:left w:w="28" w:type="dxa"/>
          <w:bottom w:w="28" w:type="dxa"/>
          <w:right w:w="28" w:type="dxa"/>
        </w:tblCellMar>
      </w:tblPr>
      <w:tblGrid>
        <w:gridCol w:w="375"/>
        <w:gridCol w:w="328"/>
        <w:gridCol w:w="33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operations, we purchase and sell commodities. We use derivatives to manage the associated risks and, in certain circumstances, to optimize profits. As of September 30, 2025,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net long position of 9.4 million barrels associated with our crude oil purchases, which will be unwound ratably through December 2025 to match monthly average pricing.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time spread position of 2.1 million barrels, which hedges a portion of our anticipated crude oil lease gathering purchases through April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crude oil basis spread position of 2.5 million barrels at multiple locations through December 2026.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position of 5.7 million barrels through December 2029 related to anticipated net sales of crude oil inventory.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long position of 0.5 TWh through December 2030 related to anticipated power supply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8400" w:type="dxa"/>
        <w:jc w:val="left"/>
        <w:tblInd w:w="0" w:type="dxa"/>
        <w:tblLayout w:type="fixed"/>
        <w:tblCellMar>
          <w:top w:w="28" w:type="dxa"/>
          <w:left w:w="28" w:type="dxa"/>
          <w:bottom w:w="28" w:type="dxa"/>
          <w:right w:w="28" w:type="dxa"/>
        </w:tblCellMar>
      </w:tblPr>
      <w:tblGrid>
        <w:gridCol w:w="1600"/>
        <w:gridCol w:w="1409"/>
        <w:gridCol w:w="1416"/>
        <w:gridCol w:w="211"/>
        <w:gridCol w:w="361"/>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pStyle w:val="TextBody"/>
        <w:bidi w:val="0"/>
        <w:spacing w:before="0" w:after="0"/>
        <w:jc w:val="left"/>
        <w:rPr/>
      </w:pPr>
      <w:r>
        <w:rPr/>
      </w:r>
    </w:p>
    <w:tbl>
      <w:tblPr>
        <w:tblW w:w="5545" w:type="dxa"/>
        <w:jc w:val="left"/>
        <w:tblInd w:w="0" w:type="dxa"/>
        <w:tblLayout w:type="fixed"/>
        <w:tblCellMar>
          <w:top w:w="28" w:type="dxa"/>
          <w:left w:w="28" w:type="dxa"/>
          <w:bottom w:w="28" w:type="dxa"/>
          <w:right w:w="28" w:type="dxa"/>
        </w:tblCellMar>
      </w:tblPr>
      <w:tblGrid>
        <w:gridCol w:w="1064"/>
        <w:gridCol w:w="935"/>
        <w:gridCol w:w="940"/>
        <w:gridCol w:w="352"/>
        <w:gridCol w:w="603"/>
        <w:gridCol w:w="184"/>
        <w:gridCol w:w="109"/>
        <w:gridCol w:w="109"/>
        <w:gridCol w:w="109"/>
        <w:gridCol w:w="331"/>
        <w:gridCol w:w="567"/>
        <w:gridCol w:w="242"/>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margin</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Variation margin posted/(returned)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Net broker receivable</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297"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51"/>
        <w:gridCol w:w="429"/>
        <w:gridCol w:w="131"/>
        <w:gridCol w:w="109"/>
        <w:gridCol w:w="109"/>
        <w:gridCol w:w="109"/>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terms of our outstanding interest rate derivatives as of September 30, 2025 (notional amounts in millions):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67"/>
        <w:gridCol w:w="675"/>
        <w:gridCol w:w="676"/>
        <w:gridCol w:w="109"/>
        <w:gridCol w:w="109"/>
        <w:gridCol w:w="109"/>
        <w:gridCol w:w="630"/>
        <w:gridCol w:w="630"/>
        <w:gridCol w:w="632"/>
        <w:gridCol w:w="109"/>
        <w:gridCol w:w="109"/>
        <w:gridCol w:w="109"/>
        <w:gridCol w:w="211"/>
        <w:gridCol w:w="466"/>
        <w:gridCol w:w="109"/>
        <w:gridCol w:w="109"/>
        <w:gridCol w:w="109"/>
        <w:gridCol w:w="109"/>
        <w:gridCol w:w="465"/>
        <w:gridCol w:w="465"/>
        <w:gridCol w:w="466"/>
        <w:gridCol w:w="109"/>
        <w:gridCol w:w="109"/>
        <w:gridCol w:w="109"/>
        <w:gridCol w:w="370"/>
        <w:gridCol w:w="370"/>
        <w:gridCol w:w="371"/>
        <w:gridCol w:w="109"/>
        <w:gridCol w:w="109"/>
        <w:gridCol w:w="109"/>
        <w:gridCol w:w="369"/>
        <w:gridCol w:w="369"/>
        <w:gridCol w:w="529"/>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Accounting</w:t>
              <w:br/>
              <w:t>Treatment</w:t>
            </w:r>
          </w:p>
        </w:tc>
      </w:tr>
      <w:tr>
        <w:trPr/>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 forward starting swaps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flow hedge</w:t>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terminated $200 million of notional hedging instruments for proceeds of $7 million, which was recorded in AOCI. As of September 30, 2025, there was a net loss of $31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September 30, 2025;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unrealized gain/(loss) recognized in AOCI for derivatives (in millions):</w:t>
      </w:r>
    </w:p>
    <w:p>
      <w:pPr>
        <w:pStyle w:val="TextBody"/>
        <w:bidi w:val="0"/>
        <w:spacing w:before="0" w:after="0"/>
        <w:jc w:val="left"/>
        <w:rPr/>
      </w:pPr>
      <w:r>
        <w:rPr/>
      </w:r>
    </w:p>
    <w:tbl>
      <w:tblPr>
        <w:tblW w:w="5841" w:type="dxa"/>
        <w:jc w:val="left"/>
        <w:tblInd w:w="0" w:type="dxa"/>
        <w:tblLayout w:type="fixed"/>
        <w:tblCellMar>
          <w:top w:w="28" w:type="dxa"/>
          <w:left w:w="28" w:type="dxa"/>
          <w:bottom w:w="28" w:type="dxa"/>
          <w:right w:w="28" w:type="dxa"/>
        </w:tblCellMar>
      </w:tblPr>
      <w:tblGrid>
        <w:gridCol w:w="853"/>
        <w:gridCol w:w="749"/>
        <w:gridCol w:w="753"/>
        <w:gridCol w:w="218"/>
        <w:gridCol w:w="264"/>
        <w:gridCol w:w="112"/>
        <w:gridCol w:w="112"/>
        <w:gridCol w:w="112"/>
        <w:gridCol w:w="112"/>
        <w:gridCol w:w="218"/>
        <w:gridCol w:w="342"/>
        <w:gridCol w:w="112"/>
        <w:gridCol w:w="109"/>
        <w:gridCol w:w="109"/>
        <w:gridCol w:w="109"/>
        <w:gridCol w:w="216"/>
        <w:gridCol w:w="262"/>
        <w:gridCol w:w="111"/>
        <w:gridCol w:w="111"/>
        <w:gridCol w:w="111"/>
        <w:gridCol w:w="111"/>
        <w:gridCol w:w="216"/>
        <w:gridCol w:w="262"/>
        <w:gridCol w:w="157"/>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net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the net fair value of our interest rate hedges, which was included in “Other current assets” on our Condensed Consolidated Balance Sheet, totaled $29 million. At December 31, 2024, the net fair value of our interest rate hedges, which was included in “Other long-term assets, net” on our Condensed Consolidated Balance Sheet, totaled $27 million.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Exchange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September 30, 2025, the sale of the Canadian NGL Business is probable and the fair value of the instrument is a $41 million asset, presented in “Other current assets” on our Condensed Consolidated Balance Sheet. For the three and nine months ended September 30, 2025, we recognized the gains of $90 million and $41 million, respectively, which was included in “(Gains)/losses on asset sales, net” on our Condensed Consolidated Statements of Operations. As of September 30, 2025, for the periods covered by the instrument, the average fixed USD to CAD rate of the instrument is $1.37 and the average forward USD to CAD rate is $1.38. See Note 1 for additional information regarding the pending sale of the Canadian NGL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0"/>
        <w:gridCol w:w="905"/>
        <w:gridCol w:w="907"/>
        <w:gridCol w:w="109"/>
        <w:gridCol w:w="109"/>
        <w:gridCol w:w="109"/>
        <w:gridCol w:w="109"/>
        <w:gridCol w:w="109"/>
        <w:gridCol w:w="410"/>
        <w:gridCol w:w="702"/>
        <w:gridCol w:w="211"/>
        <w:gridCol w:w="211"/>
        <w:gridCol w:w="211"/>
        <w:gridCol w:w="211"/>
        <w:gridCol w:w="211"/>
        <w:gridCol w:w="109"/>
        <w:gridCol w:w="211"/>
        <w:gridCol w:w="361"/>
        <w:gridCol w:w="109"/>
        <w:gridCol w:w="117"/>
        <w:gridCol w:w="117"/>
        <w:gridCol w:w="117"/>
        <w:gridCol w:w="117"/>
        <w:gridCol w:w="117"/>
        <w:gridCol w:w="117"/>
        <w:gridCol w:w="227"/>
        <w:gridCol w:w="389"/>
        <w:gridCol w:w="117"/>
        <w:gridCol w:w="117"/>
        <w:gridCol w:w="117"/>
        <w:gridCol w:w="117"/>
        <w:gridCol w:w="227"/>
        <w:gridCol w:w="448"/>
        <w:gridCol w:w="117"/>
        <w:gridCol w:w="109"/>
        <w:gridCol w:w="109"/>
        <w:gridCol w:w="109"/>
        <w:gridCol w:w="109"/>
        <w:gridCol w:w="109"/>
        <w:gridCol w:w="211"/>
        <w:gridCol w:w="361"/>
        <w:gridCol w:w="166"/>
      </w:tblGrid>
      <w:tr>
        <w:trPr/>
        <w:tc>
          <w:tcPr>
            <w:tcW w:w="10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2024</w:t>
            </w:r>
          </w:p>
        </w:tc>
        <w:tc>
          <w:tcPr>
            <w:tcW w:w="1283" w:type="dxa"/>
            <w:gridSpan w:val="8"/>
            <w:tcBorders/>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Recurring Fair Value Measures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16 to our Consolidated Financial Statements included in Part IV of our 2024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Promissory Notes with our General Partner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consolidated subsidiary issued an additional unsecured promissory note to PAGP with a face value of CAD$473 million (approximately $330 million). Concurrently, PAGP issued an unsecured promissory note to us for the same face value amount. These notes are due June 2035 and bear interest at a rate of 5.75% per annum, payable semi-annually. The interest rate for such notes was determined in accordance with the arm’s-length principle set forth in the OECD Guidelines and the transfer pricing provisions of Section 247 of Canada’s Income Tax Act. In connection with the issuance of these related party notes, we received cash from PAGP of approximately $330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Condensed Consolidated Statement of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and unpaid interest receivable/payable was $7 million and $27 million as of September 30, 2025 and December 31, 2024, respectively. Interest income/expense on the related party notes totaled $23 million and $65 million for the three and nine months ended September 30, 2025, respectively, and $16 million and $31 million for the three and nine months ended September 30,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our outstanding related party notes receivable and related party notes payable balances were as follows (in millions):</w:t>
      </w:r>
    </w:p>
    <w:p>
      <w:pPr>
        <w:pStyle w:val="TextBody"/>
        <w:bidi w:val="0"/>
        <w:spacing w:before="0" w:after="0"/>
        <w:jc w:val="left"/>
        <w:rPr/>
      </w:pPr>
      <w:r>
        <w:rPr/>
      </w:r>
    </w:p>
    <w:tbl>
      <w:tblPr>
        <w:tblW w:w="5395" w:type="dxa"/>
        <w:jc w:val="left"/>
        <w:tblInd w:w="0" w:type="dxa"/>
        <w:tblLayout w:type="fixed"/>
        <w:tblCellMar>
          <w:top w:w="28" w:type="dxa"/>
          <w:left w:w="28" w:type="dxa"/>
          <w:bottom w:w="28" w:type="dxa"/>
          <w:right w:w="28" w:type="dxa"/>
        </w:tblCellMar>
      </w:tblPr>
      <w:tblGrid>
        <w:gridCol w:w="1010"/>
        <w:gridCol w:w="888"/>
        <w:gridCol w:w="891"/>
        <w:gridCol w:w="257"/>
        <w:gridCol w:w="750"/>
        <w:gridCol w:w="132"/>
        <w:gridCol w:w="109"/>
        <w:gridCol w:w="109"/>
        <w:gridCol w:w="109"/>
        <w:gridCol w:w="289"/>
        <w:gridCol w:w="639"/>
        <w:gridCol w:w="212"/>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Related party notes receivable </w:t>
            </w:r>
            <w:r>
              <w:rPr>
                <w:rFonts w:ascii="Times New Roman;serif" w:hAnsi="Times New Roman;serif"/>
                <w:b w:val="false"/>
                <w:color w:val="000000"/>
                <w:sz w:val="13"/>
              </w:rPr>
              <w:t>(1)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Related party notes payable </w:t>
            </w:r>
            <w:r>
              <w:rPr>
                <w:rFonts w:ascii="Times New Roman;serif" w:hAnsi="Times New Roman;serif"/>
                <w:b w:val="false"/>
                <w:color w:val="000000"/>
                <w:sz w:val="13"/>
              </w:rPr>
              <w:t>(1)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have elected to present our related party notes with the same counterparty on a net basis on our Condensed Consolidated Balance Sheet because there is a legal right to offset and we intend to offset with the counterparty.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and 2024,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to our Condensed Consolidated Statements of Operations from these transactions is included below (in millions):</w:t>
      </w:r>
    </w:p>
    <w:tbl>
      <w:tblPr>
        <w:tblW w:w="7979" w:type="dxa"/>
        <w:jc w:val="left"/>
        <w:tblInd w:w="0" w:type="dxa"/>
        <w:tblLayout w:type="fixed"/>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receivable and payable amounts with these related parties as reflected on our Condensed Consolidated Balance Sheets were as follows (in millions):</w:t>
      </w:r>
    </w:p>
    <w:p>
      <w:pPr>
        <w:pStyle w:val="TextBody"/>
        <w:bidi w:val="0"/>
        <w:spacing w:before="0" w:after="0"/>
        <w:jc w:val="left"/>
        <w:rPr/>
      </w:pPr>
      <w:r>
        <w:rPr/>
      </w:r>
    </w:p>
    <w:tbl>
      <w:tblPr>
        <w:tblW w:w="8771" w:type="dxa"/>
        <w:jc w:val="left"/>
        <w:tblInd w:w="0" w:type="dxa"/>
        <w:tblLayout w:type="fixed"/>
        <w:tblCellMar>
          <w:top w:w="28" w:type="dxa"/>
          <w:left w:w="28" w:type="dxa"/>
          <w:bottom w:w="28" w:type="dxa"/>
          <w:right w:w="28" w:type="dxa"/>
        </w:tblCellMar>
      </w:tblPr>
      <w:tblGrid>
        <w:gridCol w:w="2230"/>
        <w:gridCol w:w="1962"/>
        <w:gridCol w:w="1973"/>
        <w:gridCol w:w="352"/>
        <w:gridCol w:w="603"/>
        <w:gridCol w:w="184"/>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receivable and other receivables, net from related parties </w:t>
            </w:r>
            <w:r>
              <w:rPr>
                <w:rFonts w:ascii="Times New Roman;serif" w:hAnsi="Times New Roman;serif"/>
                <w:b w:val="false"/>
                <w:color w:val="000000"/>
                <w:sz w:val="13"/>
              </w:rPr>
              <w:t>(1)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payable to related parties </w:t>
            </w:r>
            <w:r>
              <w:rPr>
                <w:rFonts w:ascii="Times New Roman;serif" w:hAnsi="Times New Roman;serif"/>
                <w:b w:val="false"/>
                <w:color w:val="000000"/>
                <w:sz w:val="13"/>
              </w:rPr>
              <w:t>(1) (2)</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amounts related to transportation and storage services and amounts owed to us or advanced to us related to investment capital projects of equity method investees where we serve as construction manager. </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undiscounted reserves for environmental liabilities (excluding liabilities related to the Line 901 incident, as discussed further below) were reflected on our Condensed Consolidated Balance Sheets as follows (in millions): </w:t>
      </w:r>
    </w:p>
    <w:p>
      <w:pPr>
        <w:pStyle w:val="TextBody"/>
        <w:bidi w:val="0"/>
        <w:spacing w:before="0" w:after="0"/>
        <w:jc w:val="left"/>
        <w:rPr/>
      </w:pPr>
      <w:r>
        <w:rPr/>
      </w:r>
    </w:p>
    <w:tbl>
      <w:tblPr>
        <w:tblW w:w="6476" w:type="dxa"/>
        <w:jc w:val="left"/>
        <w:tblInd w:w="0" w:type="dxa"/>
        <w:tblLayout w:type="fixed"/>
        <w:tblCellMar>
          <w:top w:w="28" w:type="dxa"/>
          <w:left w:w="28" w:type="dxa"/>
          <w:bottom w:w="28" w:type="dxa"/>
          <w:right w:w="28" w:type="dxa"/>
        </w:tblCellMar>
      </w:tblPr>
      <w:tblGrid>
        <w:gridCol w:w="1400"/>
        <w:gridCol w:w="1233"/>
        <w:gridCol w:w="1237"/>
        <w:gridCol w:w="352"/>
        <w:gridCol w:w="603"/>
        <w:gridCol w:w="184"/>
        <w:gridCol w:w="109"/>
        <w:gridCol w:w="109"/>
        <w:gridCol w:w="109"/>
        <w:gridCol w:w="331"/>
        <w:gridCol w:w="567"/>
        <w:gridCol w:w="242"/>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Specific Legal, Environmental or Regulatory Matters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901 Incident</w:t>
      </w:r>
      <w:r>
        <w:rPr>
          <w:rFonts w:ascii="Times New Roman;serif" w:hAnsi="Times New Roman;serif"/>
          <w:b w:val="false"/>
          <w:color w:val="000000"/>
          <w:sz w:val="20"/>
        </w:rPr>
        <w:t>. In May 2015 we experienced a release of crude oil from our Las Flores to Gaviota Pipeline (Line 901) in Santa Barbara County, California. Effective as of September 30,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did not recognize any costs related to the Line 901 incident. During the nine months ended September 30, 2024, we recognized costs, net of amounts probable of recovery from insurance (as applicable) of $120 million. As of September 30, 2025 and December 31, 2024, we had a remaining undiscounted gross liability of approximately $3 million and $5 million, respectively, related to the Line 901 incident, which aggregate amounts are reflected in “Current liabilities”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 which is subject to certain exclusions and deductibles, in the event of such liabilities. To date, we have collected approximately $275 million of the $500 million available under our 2015 insurance program. We have submitted insurance claims seeking reimbursement for additional legal fees and settlements relating to the Line 901 incident. Such claims, in the aggregate, exceed the $215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September 30, 2025 and December 31,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L48 Pipeline Release. </w:t>
      </w:r>
      <w:r>
        <w:rPr>
          <w:rFonts w:ascii="Times New Roman;serif" w:hAnsi="Times New Roman;serif"/>
          <w:b w:val="false"/>
          <w:color w:val="000000"/>
          <w:sz w:val="20"/>
        </w:rPr>
        <w:t>In March of 2025, our subsidiary, Pacific Pipeline System LLC, experienced a crude oil release of approximately 125 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September 30, 2025, we incurred $12 million in connection with clean-up and remediation activities.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Other Litigation Matters: Hartree. </w:t>
      </w:r>
      <w:r>
        <w:rPr>
          <w:rFonts w:ascii="Times New Roman;serif" w:hAnsi="Times New Roman;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Louisiana Coastal Erosion Lawsuit. </w:t>
      </w:r>
      <w:r>
        <w:rPr>
          <w:rFonts w:ascii="Times New Roman;serif" w:hAnsi="Times New Roman;serif"/>
          <w:b w:val="false"/>
          <w:color w:val="000000"/>
          <w:sz w:val="20"/>
        </w:rPr>
        <w:t>Various coastal parishes, the State of Louisiana and some of its departments have filed lawsuits in Louisiana 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In October 2025, the court limited the time period for which LADWF may pursue damages to the period of its ownership of the subject property, which began in 2014. We believe the claims in the lawsuit lack merit and intend to vigorously defend this lawsuit in coordination with the other Defendants.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four NGL assets located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data from continuing operations for each segment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9"/>
        <w:gridCol w:w="1632"/>
        <w:gridCol w:w="1636"/>
        <w:gridCol w:w="211"/>
        <w:gridCol w:w="721"/>
        <w:gridCol w:w="109"/>
        <w:gridCol w:w="109"/>
        <w:gridCol w:w="109"/>
        <w:gridCol w:w="109"/>
        <w:gridCol w:w="211"/>
        <w:gridCol w:w="435"/>
        <w:gridCol w:w="109"/>
        <w:gridCol w:w="109"/>
        <w:gridCol w:w="109"/>
        <w:gridCol w:w="109"/>
        <w:gridCol w:w="390"/>
        <w:gridCol w:w="500"/>
        <w:gridCol w:w="202"/>
        <w:gridCol w:w="109"/>
        <w:gridCol w:w="109"/>
        <w:gridCol w:w="109"/>
        <w:gridCol w:w="211"/>
        <w:gridCol w:w="721"/>
        <w:gridCol w:w="109"/>
        <w:gridCol w:w="158"/>
      </w:tblGrid>
      <w:tr>
        <w:trPr/>
        <w:tc>
          <w:tcPr>
            <w:tcW w:w="186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5"/>
        <w:gridCol w:w="1629"/>
        <w:gridCol w:w="1633"/>
        <w:gridCol w:w="211"/>
        <w:gridCol w:w="721"/>
        <w:gridCol w:w="109"/>
        <w:gridCol w:w="109"/>
        <w:gridCol w:w="109"/>
        <w:gridCol w:w="109"/>
        <w:gridCol w:w="211"/>
        <w:gridCol w:w="435"/>
        <w:gridCol w:w="109"/>
        <w:gridCol w:w="109"/>
        <w:gridCol w:w="109"/>
        <w:gridCol w:w="109"/>
        <w:gridCol w:w="330"/>
        <w:gridCol w:w="590"/>
        <w:gridCol w:w="172"/>
        <w:gridCol w:w="109"/>
        <w:gridCol w:w="109"/>
        <w:gridCol w:w="109"/>
        <w:gridCol w:w="211"/>
        <w:gridCol w:w="721"/>
        <w:gridCol w:w="109"/>
        <w:gridCol w:w="158"/>
      </w:tblGrid>
      <w:tr>
        <w:trPr/>
        <w:tc>
          <w:tcPr>
            <w:tcW w:w="187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69"/>
        <w:gridCol w:w="1632"/>
        <w:gridCol w:w="1636"/>
        <w:gridCol w:w="211"/>
        <w:gridCol w:w="721"/>
        <w:gridCol w:w="109"/>
        <w:gridCol w:w="109"/>
        <w:gridCol w:w="109"/>
        <w:gridCol w:w="109"/>
        <w:gridCol w:w="211"/>
        <w:gridCol w:w="435"/>
        <w:gridCol w:w="109"/>
        <w:gridCol w:w="109"/>
        <w:gridCol w:w="109"/>
        <w:gridCol w:w="109"/>
        <w:gridCol w:w="390"/>
        <w:gridCol w:w="500"/>
        <w:gridCol w:w="202"/>
        <w:gridCol w:w="109"/>
        <w:gridCol w:w="109"/>
        <w:gridCol w:w="109"/>
        <w:gridCol w:w="211"/>
        <w:gridCol w:w="721"/>
        <w:gridCol w:w="109"/>
        <w:gridCol w:w="158"/>
      </w:tblGrid>
      <w:tr>
        <w:trPr/>
        <w:tc>
          <w:tcPr>
            <w:tcW w:w="186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Line 901 incident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61"/>
        <w:gridCol w:w="1621"/>
        <w:gridCol w:w="1625"/>
        <w:gridCol w:w="211"/>
        <w:gridCol w:w="721"/>
        <w:gridCol w:w="109"/>
        <w:gridCol w:w="109"/>
        <w:gridCol w:w="109"/>
        <w:gridCol w:w="109"/>
        <w:gridCol w:w="211"/>
        <w:gridCol w:w="466"/>
        <w:gridCol w:w="109"/>
        <w:gridCol w:w="109"/>
        <w:gridCol w:w="109"/>
        <w:gridCol w:w="109"/>
        <w:gridCol w:w="330"/>
        <w:gridCol w:w="590"/>
        <w:gridCol w:w="172"/>
        <w:gridCol w:w="109"/>
        <w:gridCol w:w="109"/>
        <w:gridCol w:w="109"/>
        <w:gridCol w:w="211"/>
        <w:gridCol w:w="721"/>
        <w:gridCol w:w="109"/>
        <w:gridCol w:w="157"/>
      </w:tblGrid>
      <w:tr>
        <w:trPr/>
        <w:tc>
          <w:tcPr>
            <w:tcW w:w="18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Line 901 incident </w:t>
            </w:r>
            <w:r>
              <w:rPr>
                <w:rFonts w:ascii="Times New Roman;serif" w:hAnsi="Times New Roman;serif"/>
                <w:b w:val="false"/>
                <w:color w:val="000000"/>
                <w:sz w:val="13"/>
              </w:rPr>
              <w:t>(13)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Segment amounts attributable to noncontrolling interests </w:t>
            </w:r>
            <w:r>
              <w:rPr>
                <w:rFonts w:ascii="Times New Roman;serif" w:hAnsi="Times New Roman;serif"/>
                <w:b w:val="false"/>
                <w:color w:val="000000"/>
                <w:sz w:val="13"/>
              </w:rPr>
              <w:t>(10)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(11)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utilized by our CODM in the evaluation of segment results.</w:t>
      </w:r>
    </w:p>
    <w:p>
      <w:pPr>
        <w:pStyle w:val="TextBody"/>
        <w:bidi w:val="0"/>
        <w:spacing w:lineRule="auto" w:line="288" w:before="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Primarily related to acquisitions completed during the first nine months of 2025. See Note 12 for information regarding these transactions.</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Investment capital and acquisition capital expenditures, including investments in unconsolidated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These amounts combined represent total capital expenditures.</w:t>
      </w:r>
    </w:p>
    <w:p>
      <w:pPr>
        <w:pStyle w:val="TextBody"/>
        <w:bidi w:val="0"/>
        <w:spacing w:lineRule="auto" w:line="288" w:before="0" w:after="120"/>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Includes costs recognized during the period related to the Line 901 incident that occurred in May 2015, net of amounts we believe are probable of recovery from insurance. See Note 10 for additional information regarding the Line 901 incident.</w:t>
      </w:r>
    </w:p>
    <w:p>
      <w:pPr>
        <w:pStyle w:val="TextBody"/>
        <w:bidi w:val="0"/>
        <w:spacing w:before="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Income from continuing operations, net of tax (in millions):</w:t>
      </w:r>
    </w:p>
    <w:p>
      <w:pPr>
        <w:pStyle w:val="TextBody"/>
        <w:bidi w:val="0"/>
        <w:spacing w:before="0" w:after="0"/>
        <w:ind w:left="0" w:right="0" w:firstLine="720"/>
        <w:jc w:val="left"/>
        <w:rPr/>
      </w:pPr>
      <w:r>
        <w:rPr/>
      </w:r>
    </w:p>
    <w:tbl>
      <w:tblPr>
        <w:tblW w:w="8759" w:type="dxa"/>
        <w:jc w:val="left"/>
        <w:tblInd w:w="0" w:type="dxa"/>
        <w:tblLayout w:type="fixed"/>
        <w:tblCellMar>
          <w:top w:w="28" w:type="dxa"/>
          <w:left w:w="28" w:type="dxa"/>
          <w:bottom w:w="28" w:type="dxa"/>
          <w:right w:w="28" w:type="dxa"/>
        </w:tblCellMar>
      </w:tblPr>
      <w:tblGrid>
        <w:gridCol w:w="1554"/>
        <w:gridCol w:w="1362"/>
        <w:gridCol w:w="1373"/>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segment items </w:t>
            </w:r>
            <w:r>
              <w:rPr>
                <w:rFonts w:ascii="Times New Roman;serif" w:hAnsi="Times New Roman;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(Gains)/losses on asset sales,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footnotes to the segment financial data tables above for a more detailed discussion of Other segment items.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Ironwood Midstream</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Ironwood Midstream</w:t>
      </w:r>
      <w:r>
        <w:rPr>
          <w:rFonts w:ascii="Times New Roman;serif" w:hAnsi="Times New Roman;serif"/>
          <w:b w:val="false"/>
          <w:color w:val="000000"/>
          <w:sz w:val="20"/>
        </w:rPr>
        <w:t>. On January 31, 2025, we acquired Ironwood Midstream Energy Partners II, LLC (“Ironwood Midstream”), which owns a 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7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and $3 million during the three and nine months ended September 30, 2025, respectively, and the future amortization expense for the remainder of 2025 through 2029 is estimated as follows (in millions):</w:t>
      </w:r>
    </w:p>
    <w:p>
      <w:pPr>
        <w:pStyle w:val="TextBody"/>
        <w:bidi w:val="0"/>
        <w:spacing w:before="0" w:after="0"/>
        <w:ind w:left="0" w:right="0" w:firstLine="720"/>
        <w:jc w:val="left"/>
        <w:rPr/>
      </w:pPr>
      <w:r>
        <w:rPr/>
      </w:r>
    </w:p>
    <w:tbl>
      <w:tblPr>
        <w:tblW w:w="3282"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109"/>
        <w:gridCol w:w="109"/>
        <w:gridCol w:w="109"/>
        <w:gridCol w:w="109"/>
        <w:gridCol w:w="109"/>
        <w:gridCol w:w="109"/>
        <w:gridCol w:w="211"/>
        <w:gridCol w:w="25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Medallion Midstream</w:t>
      </w:r>
      <w:r>
        <w:rPr>
          <w:rFonts w:ascii="Times New Roman;serif" w:hAnsi="Times New Roman;serif"/>
          <w:b w:val="false"/>
          <w:color w:val="000000"/>
          <w:sz w:val="20"/>
        </w:rPr>
        <w:t>. In January 2025, we acquired EMG Medallion 2 Holdings, LLC and its subsidiaries, which own a crude oil gathering and transportation business in the Delaware Basin, for $163 million (approximately $106 million net to our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the board of directors of PAGP GP.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Cheyenne Pipeline</w:t>
      </w:r>
      <w:r>
        <w:rPr>
          <w:rFonts w:ascii="Times New Roman;serif" w:hAnsi="Times New Roman;serif"/>
          <w:b w:val="false"/>
          <w:color w:val="000000"/>
          <w:sz w:val="20"/>
        </w:rPr>
        <w:t>. In February 2025, through a non-monetary transaction, we acquired the remaining 50% interest in Cheyenne Pipeline LLC (“Cheyenne”)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Black Knight Midstream. </w:t>
      </w:r>
      <w:r>
        <w:rPr>
          <w:rFonts w:ascii="Times New Roman;serif" w:hAnsi="Times New Roman;serif"/>
          <w:b w:val="false"/>
          <w:color w:val="000000"/>
          <w:sz w:val="20"/>
        </w:rPr>
        <w:t>During the second quarter of 2025, we acquired Black Knight Midstream, LLC (“Black Knight Midstream”), which owns a crude oil gathering business in the Permian Basin, for $59 million (approximately $38 million net to our 65% interest in the Permian JV), subject to certain adjustments. The Black Knight Midstream assets are accounted for in our Crude Oil segment.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BridgeTex Pipeline</w:t>
      </w:r>
      <w:r>
        <w:rPr>
          <w:rFonts w:ascii="Times New Roman;serif" w:hAnsi="Times New Roman;serif"/>
          <w:b w:val="false"/>
          <w:color w:val="000000"/>
          <w:sz w:val="20"/>
        </w:rPr>
        <w:t>. In July 2025, we acquired an additional 20% interest in BridgeTex Pipeline Company, LLC (“BridgeTex”) for approximately $180 million. As a result of this transaction, we now own a 40% interest in BridgeTex and continue to account for our interest in BridgeTex, which is reported in our Crude Oil segment, as an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AMERICAN PIPELINE,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EPIC Pipeline</w:t>
      </w:r>
      <w:r>
        <w:rPr>
          <w:rFonts w:ascii="Times New Roman;serif" w:hAnsi="Times New Roman;serif"/>
          <w:b w:val="false"/>
          <w:color w:val="000000"/>
          <w:sz w:val="20"/>
        </w:rPr>
        <w:t>. On October 31, 2025, we purchased an aggregate 55% equity interest in EPIC Crude Holdings, LP (“EPIC Crude Holdings”), which owns the EPIC Crude Oil Pipeline (“EPIC Pipeline”), from subsidiaries of Diamondback Energy, Inc. and Kinetik Holdings Inc., for approximately $1.57 billion, subject to certain adjustments and inclusive of approximately $600 million of debt assumed. We also agreed to a potential earnout payment of $193 million contingent upon the formal sanctioning before the end of 2027 of one or more expansions of EPIC Pipeline that in the aggregate will increase the capacity of the pipeline to at least 900,000 barrels per day. In a separate transaction, effective November 1, 2025, we acquired the remaining 45% equity interest in EPIC Crude Holdings from a portfolio company of Ares Private Equity funds for approximately $1.33 billion, subject to certain adjustments and inclusive of approximately $500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these two transactions (collectively, the “EPIC acquisition”), we now own 100% of EPIC Crude Holdings and are the operator of record for the EPIC Pipeline, which provides long-haul crude oil takeaway from the Permian and Eagle Ford basins to the Gulf Coast market at Corpus Christi. We believe this acquisition is highly synergistic and strategic to our existing footprint. The EPIC acquisition will be accounted for in our Crude Oil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to a lesser extent, NGL.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While we will divest the Canadian NGL Business as part of the sale, we will retain substantially all NGL assets in the United States and will also retain all crude oil assets in Canada. This transaction is expected to close in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w:t>
      </w:r>
      <w:r>
        <w:rPr>
          <w:color w:val="000000"/>
        </w:rPr>
        <w:t xml:space="preserve"> </w:t>
      </w:r>
      <w:r>
        <w:rPr>
          <w:rFonts w:ascii="Times New Roman;serif" w:hAnsi="Times New Roman;serif"/>
          <w:b w:val="false"/>
          <w:color w:val="000000"/>
          <w:sz w:val="20"/>
        </w:rPr>
        <w:t>Note 2 to our Condensed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discussion below relates to our continuing operations and excludes amounts related to discontinued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PAA of $1.093 billion for the nine months ended September 30, 2025 compared to net income attributable to PAA of $736 million for the first nine months of 2024. See the “Results of Operations” section below for discussion of significant drivers of our results from continuing operations.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an overview of our consolidated financial results calculated in accordance with GAAP (in millions, except per unit data): </w:t>
      </w:r>
    </w:p>
    <w:p>
      <w:pPr>
        <w:pStyle w:val="TextBody"/>
        <w:bidi w:val="0"/>
        <w:spacing w:before="0" w:after="0"/>
        <w:ind w:left="0" w:right="0" w:firstLine="720"/>
        <w:jc w:val="left"/>
        <w:rPr/>
      </w:pPr>
      <w:r>
        <w:rPr/>
      </w:r>
    </w:p>
    <w:tbl>
      <w:tblPr>
        <w:tblW w:w="11402" w:type="dxa"/>
        <w:jc w:val="left"/>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230"/>
        <w:gridCol w:w="236"/>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6"/>
        <w:gridCol w:w="190"/>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Gains/(losses)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net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Income from discontinued operations, net of tax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unit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68" w:before="0" w:after="0"/>
        <w:ind w:left="0" w:right="0" w:hanging="72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Interest expense, net” and “Other income, net” each include $23 million and $65 million for the three and nine months ended September 30, 2025, respectively, and $16 million and $31 million for the three and nine months ended September 30, 2024, respectively, related to interest on promissory notes by and among us and certain Plains entities.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See Note 2 to our Condensed Consolidated Financial Statements for a reconciliation of the line items comprising income from discontinued operations, net of tax.</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focuses on our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our crude oil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6276" w:type="dxa"/>
        <w:jc w:val="left"/>
        <w:tblInd w:w="0" w:type="dxa"/>
        <w:tblLayout w:type="fixed"/>
        <w:tblCellMar>
          <w:top w:w="28" w:type="dxa"/>
          <w:left w:w="28" w:type="dxa"/>
          <w:bottom w:w="28" w:type="dxa"/>
          <w:right w:w="28" w:type="dxa"/>
        </w:tblCellMar>
      </w:tblPr>
      <w:tblGrid>
        <w:gridCol w:w="1264"/>
        <w:gridCol w:w="1113"/>
        <w:gridCol w:w="1117"/>
        <w:gridCol w:w="211"/>
        <w:gridCol w:w="361"/>
        <w:gridCol w:w="109"/>
        <w:gridCol w:w="109"/>
        <w:gridCol w:w="109"/>
        <w:gridCol w:w="109"/>
        <w:gridCol w:w="211"/>
        <w:gridCol w:w="361"/>
        <w:gridCol w:w="109"/>
        <w:gridCol w:w="109"/>
        <w:gridCol w:w="109"/>
        <w:gridCol w:w="109"/>
        <w:gridCol w:w="222"/>
        <w:gridCol w:w="380"/>
        <w:gridCol w:w="164"/>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NYMEX Price</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revenues (including the impact of derivative mark-to-market valuations) and purchases decreased for the three and nine months ended September 30, 2025 compared to the same periods in 2024 primarily due to lower commodity prices in the 2025 periods, partially offset by higher crude oil sales volumes in the 2025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Services revenues for the nine months ended September 30, 2025 increased compared to the same period in 2024 primarily due to higher pipeline volumes and tariff escalations, as well as the impact of recently completed acquisitions, partially offset by the impact from lower commodity prices in the 2025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further discussion of our net revenues (defined as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general and administrative expenses for the nine months ended September 30, 2025 compared to the same periods in 2024 was primarily due to transaction costs associated with our recent acquisitions, partially offset by lower information systems costs due to the completion of certain systems conversion and integration work, which was also the primarily driver of the decrease in general and administrative expenses for the comparative three-month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for the nine months ended September 30, 2025 compared to the same periods in 2024 was largely driven by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Gains/Losses on Asset Sales,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pending sale of the Canadian NGL Business, we entered into a deal-contingent forward currency instrument to hedge the currency exchange risk associated with the sale in CAD. The 2025 periods were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Investments in Unconsolidated Entities,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a net gain of $31 million related to our acquisition of the remaining 50% interest in Cheyenne in the first quarter of 2025. See Note 12 to our Condensed Consolidated Financial Statements for additional information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Expense, Net and Other Income,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are presented on a net basis in the reconciliation of these metrics to Net Income. See the “—Non-GAAP Financial Measures”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8877" w:type="dxa"/>
        <w:jc w:val="left"/>
        <w:tblInd w:w="0" w:type="dxa"/>
        <w:tblLayout w:type="fixed"/>
        <w:tblCellMar>
          <w:top w:w="28" w:type="dxa"/>
          <w:left w:w="28" w:type="dxa"/>
          <w:bottom w:w="28" w:type="dxa"/>
          <w:right w:w="28" w:type="dxa"/>
        </w:tblCellMar>
      </w:tblPr>
      <w:tblGrid>
        <w:gridCol w:w="1586"/>
        <w:gridCol w:w="1395"/>
        <w:gridCol w:w="139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third-party borrowings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related party promissory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increase in interest expense for the three-month 2025 period compared to the same period in 2024 was primarily driven by the issuances of (i) $1.0 billion, 5.95% senior notes in January 2025 and (ii) $700 million, 4.70% senior notes and $550 million, 5.60% senior notes in September 2025, partially offset by the repayment of (iii) $750 million, 3.60% senior notes in November 2024. The increase for the nine-month comparative period was further impacted by the issuance of $650 million, 5.70% senior notes in June 2024. See Note 6 to our Condensed Consolidated Financial Statements for additional information regarding our senior notes.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interest expense associated with promissory notes by and among us and certain Plains entities,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Other income, net (in millions):</w:t>
      </w:r>
    </w:p>
    <w:p>
      <w:pPr>
        <w:pStyle w:val="TextBody"/>
        <w:bidi w:val="0"/>
        <w:spacing w:before="0" w:after="0"/>
        <w:ind w:left="0" w:right="0" w:firstLine="720"/>
        <w:jc w:val="left"/>
        <w:rPr/>
      </w:pPr>
      <w:r>
        <w:rPr/>
      </w:r>
    </w:p>
    <w:tbl>
      <w:tblPr>
        <w:tblW w:w="8396" w:type="dxa"/>
        <w:jc w:val="left"/>
        <w:tblInd w:w="0" w:type="dxa"/>
        <w:tblLayout w:type="fixed"/>
        <w:tblCellMar>
          <w:top w:w="28" w:type="dxa"/>
          <w:left w:w="28" w:type="dxa"/>
          <w:bottom w:w="28" w:type="dxa"/>
          <w:right w:w="28" w:type="dxa"/>
        </w:tblCellMar>
      </w:tblPr>
      <w:tblGrid>
        <w:gridCol w:w="1565"/>
        <w:gridCol w:w="1375"/>
        <w:gridCol w:w="137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on related party promissory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interest income associated with promissory notes by and among us and certain Plains entities, as described above.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Primarily includes interest income from other sources and gains and losses on foreign revaluation related to the impact from the change in the CAD to USD exchange rate on the portion of our intercompany net investment that is not long-term in nature.</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favorable income tax variance for the nine months ended September 30, 2025 compared to the same period in 2024 was primarily due to the impact of (i) lower income tax expense in 2025 associated with Canadian withholding tax on dividends from our Canadian entities to other Plains entities, partially offset by (ii) higher year-over-year income within our Canadian operations as impacted by fluctuations of derivative mark-to-market valuations.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Discontinued Operations.</w:t>
      </w:r>
      <w:r>
        <w:rPr>
          <w:color w:val="000000"/>
        </w:rPr>
        <w:t xml:space="preserve"> </w:t>
      </w:r>
      <w:r>
        <w:rPr>
          <w:rFonts w:ascii="Times New Roman;serif" w:hAnsi="Times New Roman;serif"/>
          <w:b w:val="false"/>
          <w:color w:val="000000"/>
          <w:sz w:val="20"/>
        </w:rPr>
        <w:t>Management believes that the presentation of certain Non-GAAP financial performance measures, such as Adjusted EBITDA, Adjusted EBITDA attributable to PAA, Implied DCF,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reconciliation of the non-GAAP financial performance measures Adjusted EBITDA, Adjusted EBITDA attributable to PAA and Implied DCF to Net Income (in millions): </w:t>
      </w:r>
    </w:p>
    <w:p>
      <w:pPr>
        <w:pStyle w:val="TextBody"/>
        <w:bidi w:val="0"/>
        <w:spacing w:before="0" w:after="0"/>
        <w:ind w:left="0" w:right="0" w:firstLine="720"/>
        <w:jc w:val="left"/>
        <w:rPr/>
      </w:pPr>
      <w:r>
        <w:rPr/>
      </w:r>
    </w:p>
    <w:tbl>
      <w:tblPr>
        <w:tblW w:w="10919" w:type="dxa"/>
        <w:jc w:val="left"/>
        <w:tblInd w:w="0" w:type="dxa"/>
        <w:tblLayout w:type="fixed"/>
        <w:tblCellMar>
          <w:top w:w="28" w:type="dxa"/>
          <w:left w:w="28" w:type="dxa"/>
          <w:bottom w:w="28" w:type="dxa"/>
          <w:right w:w="28" w:type="dxa"/>
        </w:tblCellMar>
      </w:tblPr>
      <w:tblGrid>
        <w:gridCol w:w="1171"/>
        <w:gridCol w:w="172"/>
        <w:gridCol w:w="173"/>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9"/>
        <w:gridCol w:w="242"/>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7"/>
        <w:gridCol w:w="189"/>
        <w:gridCol w:w="316"/>
      </w:tblGrid>
      <w:tr>
        <w:trPr/>
        <w:tc>
          <w:tcPr>
            <w:tcW w:w="1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Interest expense, net of certain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Income tax expense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(Gains)/losses on asset sales, net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(Gains)/losses on asset sales, net from discontinued operations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Derivative activities and inventory valuation adjustments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inventory costing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Rail fleet amortization expense related to discontinued operations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Equity-indexed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 - Segment Adjusted EBITDA</w:t>
            </w:r>
            <w:r>
              <w:rPr>
                <w:color w:val="000000"/>
              </w:rPr>
              <w:t xml:space="preserve"> </w:t>
            </w:r>
            <w:r>
              <w:rPr>
                <w:rFonts w:ascii="Times New Roman;serif" w:hAnsi="Times New Roman;serif"/>
                <w:b w:val="false"/>
                <w:color w:val="000000"/>
                <w:sz w:val="13"/>
              </w:rPr>
              <w:t>(1)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EBITDA </w:t>
            </w:r>
            <w:r>
              <w:rPr>
                <w:rFonts w:ascii="Times New Roman;serif" w:hAnsi="Times New Roman;serif"/>
                <w:b w:val="false"/>
                <w:color w:val="000000"/>
                <w:sz w:val="13"/>
              </w:rPr>
              <w:t>(1)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Adjusted EBITDA attributable to noncontrolling interests </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37"/>
        <w:gridCol w:w="219"/>
        <w:gridCol w:w="220"/>
        <w:gridCol w:w="109"/>
        <w:gridCol w:w="109"/>
        <w:gridCol w:w="109"/>
        <w:gridCol w:w="211"/>
        <w:gridCol w:w="466"/>
        <w:gridCol w:w="109"/>
        <w:gridCol w:w="109"/>
        <w:gridCol w:w="109"/>
        <w:gridCol w:w="109"/>
        <w:gridCol w:w="211"/>
        <w:gridCol w:w="466"/>
        <w:gridCol w:w="109"/>
        <w:gridCol w:w="109"/>
        <w:gridCol w:w="109"/>
        <w:gridCol w:w="109"/>
        <w:gridCol w:w="211"/>
        <w:gridCol w:w="271"/>
        <w:gridCol w:w="109"/>
        <w:gridCol w:w="109"/>
        <w:gridCol w:w="109"/>
        <w:gridCol w:w="109"/>
        <w:gridCol w:w="203"/>
        <w:gridCol w:w="203"/>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361"/>
        <w:gridCol w:w="109"/>
        <w:gridCol w:w="109"/>
        <w:gridCol w:w="109"/>
        <w:gridCol w:w="109"/>
        <w:gridCol w:w="188"/>
        <w:gridCol w:w="188"/>
        <w:gridCol w:w="317"/>
      </w:tblGrid>
      <w:tr>
        <w:trPr/>
        <w:tc>
          <w:tcPr>
            <w:tcW w:w="7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(8)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Interest expense, net of certain non-cash and other items </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Maintenance capital from continuing operations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Maintenance capital from discontinued operations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Investment capital of noncontrolling interests </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Current income tax expense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Current income tax expense from discontinued operations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Distributions from unconsolidated entities in excess of/(less than) adjusted equity earnings</w:t>
            </w:r>
            <w:r>
              <w:rPr>
                <w:color w:val="000000"/>
              </w:rPr>
              <w:t xml:space="preserve"> </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Distributions to noncontrolling interests </w:t>
            </w:r>
            <w:r>
              <w:rPr>
                <w:rFonts w:ascii="Times New Roman;serif" w:hAnsi="Times New Roman;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Preferred unit distributions </w:t>
            </w:r>
            <w:r>
              <w:rPr>
                <w:rFonts w:ascii="Times New Roman;serif" w:hAnsi="Times New Roman;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Available to Common Unitholders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Common unit cash distributions </w:t>
            </w:r>
            <w:r>
              <w:rPr>
                <w:rFonts w:ascii="Times New Roman;serif" w:hAnsi="Times New Roman;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Implied DCF Excess </w:t>
            </w:r>
            <w:r>
              <w:rPr>
                <w:rFonts w:ascii="Times New Roman;serif" w:hAnsi="Times New Roman;serif"/>
                <w:b w:val="false"/>
                <w:color w:val="000000"/>
                <w:sz w:val="13"/>
              </w:rPr>
              <w:t>(1)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“Interest expense, net” as reported on our Condensed Consolidated Statements of Operations, net of interest income associated with promissory notes by and among us and certain Plains entities.</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See Note 2 to our Condensed Consolidated Financial Statements for additional information.</w:t>
      </w:r>
    </w:p>
    <w:p>
      <w:pPr>
        <w:pStyle w:val="TextBody"/>
        <w:bidi w:val="0"/>
        <w:spacing w:lineRule="auto" w:line="288" w:before="6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Condensed Consolidated Financial Statements for additional information regarding the pending sale of the Canadian NGL Business. Also see the “—Non-GAAP Financial Measures” section above.</w:t>
      </w:r>
    </w:p>
    <w:p>
      <w:pPr>
        <w:pStyle w:val="TextBody"/>
        <w:bidi w:val="0"/>
        <w:spacing w:lineRule="auto" w:line="288" w:before="6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For a more detailed discussion of these selected items impacting comparability, see the footnotes to the segment financial data tables in Note 11 to our Condensed Consolidated Financial Statements.</w:t>
      </w:r>
    </w:p>
    <w:p>
      <w:pPr>
        <w:pStyle w:val="TextBody"/>
        <w:bidi w:val="0"/>
        <w:spacing w:lineRule="auto" w:line="288" w:before="6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erif" w:hAnsi="Times New Roman;serif"/>
          <w:b w:val="false"/>
          <w:color w:val="000000"/>
          <w:sz w:val="13"/>
        </w:rPr>
        <w:t>(8)</w:t>
      </w:r>
      <w:r>
        <w:rPr>
          <w:color w:val="000000"/>
        </w:rPr>
        <w:t>“</w:t>
      </w:r>
      <w:r>
        <w:rPr>
          <w:rFonts w:ascii="Times New Roman;serif" w:hAnsi="Times New Roman;serif"/>
          <w:b w:val="false"/>
          <w:color w:val="000000"/>
          <w:sz w:val="20"/>
        </w:rPr>
        <w:t>Other income, net” on our Condensed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See the table above for a reconciliation from Net Income to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Amount excludes certain non-cash items impacting interest expense such as amortization of debt issuance costs and terminated interest rate swaps and is net of interest income associated with promissory notes by and among us and certain Plains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0" w:after="120"/>
        <w:ind w:left="0" w:right="0" w:hanging="720"/>
        <w:jc w:val="left"/>
        <w:rPr/>
      </w:pPr>
      <w:r>
        <w:rPr>
          <w:rFonts w:ascii="Times New Roman;serif" w:hAnsi="Times New Roman;serif"/>
          <w:b w:val="false"/>
          <w:color w:val="000000"/>
          <w:sz w:val="13"/>
        </w:rPr>
        <w:t>(13)</w:t>
      </w:r>
      <w:r>
        <w:rPr>
          <w:rFonts w:ascii="Times New Roman;serif" w:hAnsi="Times New Roman;serif"/>
          <w:b w:val="false"/>
          <w:color w:val="000000"/>
          <w:sz w:val="20"/>
        </w:rPr>
        <w:t>Investment capital expenditures attributable to noncontrolling interests that reduce Implied DCF available to PAA common unitholders.</w:t>
      </w:r>
    </w:p>
    <w:p>
      <w:pPr>
        <w:pStyle w:val="TextBody"/>
        <w:bidi w:val="0"/>
        <w:spacing w:lineRule="auto" w:line="288" w:before="0" w:after="120"/>
        <w:ind w:left="0" w:right="0" w:hanging="720"/>
        <w:jc w:val="left"/>
        <w:rPr/>
      </w:pPr>
      <w:r>
        <w:rPr>
          <w:rFonts w:ascii="Times New Roman;serif" w:hAnsi="Times New Roman;serif"/>
          <w:b w:val="false"/>
          <w:color w:val="000000"/>
          <w:sz w:val="13"/>
        </w:rPr>
        <w:t>(14)</w:t>
      </w:r>
      <w:r>
        <w:rPr>
          <w:rFonts w:ascii="Times New Roman;serif" w:hAnsi="Times New Roman;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TextBody"/>
        <w:bidi w:val="0"/>
        <w:spacing w:lineRule="auto" w:line="288" w:before="0" w:after="120"/>
        <w:ind w:left="0" w:right="0" w:hanging="720"/>
        <w:jc w:val="left"/>
        <w:rPr/>
      </w:pPr>
      <w:r>
        <w:rPr>
          <w:rFonts w:ascii="Times New Roman;serif" w:hAnsi="Times New Roman;serif"/>
          <w:b w:val="false"/>
          <w:color w:val="000000"/>
          <w:sz w:val="13"/>
        </w:rPr>
        <w:t>(15)</w:t>
      </w:r>
      <w:r>
        <w:rPr>
          <w:rFonts w:ascii="Times New Roman;serif" w:hAnsi="Times New Roman;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erif" w:hAnsi="Times New Roman;serif"/>
          <w:b w:val="false"/>
          <w:color w:val="000000"/>
          <w:sz w:val="13"/>
        </w:rPr>
        <w:t>(16)</w:t>
      </w:r>
      <w:r>
        <w:rPr>
          <w:rFonts w:ascii="Times New Roman;serif" w:hAnsi="Times New Roman;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19 to our Consolidated Financial Statements included in Part IV of our 2024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from our Crude Oil segment:</w:t>
      </w:r>
    </w:p>
    <w:p>
      <w:pPr>
        <w:pStyle w:val="TextBody"/>
        <w:bidi w:val="0"/>
        <w:spacing w:before="0" w:after="0"/>
        <w:jc w:val="left"/>
        <w:rPr/>
      </w:pPr>
      <w:r>
        <w:rPr/>
      </w:r>
    </w:p>
    <w:tbl>
      <w:tblPr>
        <w:tblW w:w="11894" w:type="dxa"/>
        <w:jc w:val="left"/>
        <w:tblInd w:w="0" w:type="dxa"/>
        <w:tblLayout w:type="fixed"/>
        <w:tblCellMar>
          <w:top w:w="28" w:type="dxa"/>
          <w:left w:w="28" w:type="dxa"/>
          <w:bottom w:w="28" w:type="dxa"/>
          <w:right w:w="28" w:type="dxa"/>
        </w:tblCellMar>
      </w:tblPr>
      <w:tblGrid>
        <w:gridCol w:w="700"/>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481"/>
        <w:gridCol w:w="109"/>
        <w:gridCol w:w="109"/>
        <w:gridCol w:w="109"/>
        <w:gridCol w:w="109"/>
        <w:gridCol w:w="186"/>
        <w:gridCol w:w="190"/>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7"/>
        <w:gridCol w:w="189"/>
        <w:gridCol w:w="316"/>
      </w:tblGrid>
      <w:tr>
        <w:trPr/>
        <w:tc>
          <w:tcPr>
            <w:tcW w:w="7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amounts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09"/>
        <w:gridCol w:w="303"/>
        <w:gridCol w:w="305"/>
        <w:gridCol w:w="109"/>
        <w:gridCol w:w="109"/>
        <w:gridCol w:w="109"/>
        <w:gridCol w:w="308"/>
        <w:gridCol w:w="308"/>
        <w:gridCol w:w="115"/>
        <w:gridCol w:w="114"/>
        <w:gridCol w:w="114"/>
        <w:gridCol w:w="114"/>
        <w:gridCol w:w="308"/>
        <w:gridCol w:w="308"/>
        <w:gridCol w:w="115"/>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308"/>
        <w:gridCol w:w="308"/>
        <w:gridCol w:w="133"/>
        <w:gridCol w:w="113"/>
        <w:gridCol w:w="113"/>
        <w:gridCol w:w="113"/>
        <w:gridCol w:w="308"/>
        <w:gridCol w:w="308"/>
        <w:gridCol w:w="133"/>
        <w:gridCol w:w="109"/>
        <w:gridCol w:w="109"/>
        <w:gridCol w:w="109"/>
        <w:gridCol w:w="240"/>
        <w:gridCol w:w="240"/>
        <w:gridCol w:w="241"/>
        <w:gridCol w:w="109"/>
        <w:gridCol w:w="109"/>
        <w:gridCol w:w="109"/>
        <w:gridCol w:w="180"/>
        <w:gridCol w:w="181"/>
        <w:gridCol w:w="323"/>
      </w:tblGrid>
      <w:tr>
        <w:trPr/>
        <w:tc>
          <w:tcPr>
            <w:tcW w:w="9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Crude oil pipeline tariff (by region)</w:t>
            </w:r>
            <w:r>
              <w:rPr>
                <w:color w:val="000000"/>
              </w:rPr>
              <w:t xml:space="preserve">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 Texas / 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adjustments included in the performance measure utilized by our CODM in the evaluation of segment results. See Note 11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 </w:t>
      </w:r>
    </w:p>
    <w:p>
      <w:pPr>
        <w:pStyle w:val="TextBody"/>
        <w:bidi w:val="0"/>
        <w:spacing w:lineRule="auto" w:line="288" w:before="0" w:after="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Includes volumes (attributable to our interest) from assets owned by unconsolidated entities.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for the three and nine months ended September 30, 2025 increased versus comparable results for the three and nine months ended September 30, 2024. The benefit to the 2025 period from higher tariff volumes on our pipelines, tariff escalations and contributions from recently completed acquisitions was largely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more detailed discussion of the significant factors impacting Segment Adjusted EBITDA for the three and nine months ended September 30, 2025 compared to the same periods in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Revenues and Equity Earnings. </w:t>
      </w:r>
      <w:r>
        <w:rPr>
          <w:rFonts w:ascii="Times New Roman;serif" w:hAnsi="Times New Roman;serif"/>
          <w:b w:val="false"/>
          <w:color w:val="000000"/>
          <w:sz w:val="20"/>
        </w:rPr>
        <w:t>Our results were favorably impacted by (i) volume growth across our pipeline systems largely driven by increased production in the Permian Basin region, (ii) contributions from recently completed acquisitions in the Permian Basin and South Texas regions and (iii) the benefit of tariff escalations. These favorable impacts were partially offset by (iv) fewer market-based opportunities, (v) lower commodity prices, which resulted in lower revenues from pipeline loss allowance in the 2025 periods, and (vi) the impact from certain Permian long-haul contract rates resetting to market in the third quarter of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Field Operating Costs.</w:t>
      </w:r>
      <w:r>
        <w:rPr>
          <w:color w:val="000000"/>
        </w:rPr>
        <w:t xml:space="preserve"> </w:t>
      </w:r>
      <w:r>
        <w:rPr>
          <w:rFonts w:ascii="Times New Roman;serif" w:hAnsi="Times New Roman;serif"/>
          <w:b w:val="false"/>
          <w:color w:val="000000"/>
          <w:sz w:val="20"/>
        </w:rPr>
        <w:t>The decrease in field operating costs for the three and nine months ended September 30, 2025 compared to the same periods in 2024 was primarily due to the recognition in the third quarter of 2024 of costs associated with settlements related to the Line 901 incident that occurred in May 2015 (which impact field operating costs, but are excluded from Segment Adjusted EBITDA, and thus are reflected as an “Adjustment” in the table above). This was partially offset by higher expenses resulting from acquisitions and higher volumes in the 2025 periods. In addition, the nine-month period was further impacted by higher expenses associated with (i) environmental remediation costs and (ii) property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Maintenance Capital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maintenance capital spending for the three and nine months ended September 30, 2025 compared to the same periods in 2024 was primarily due to lower costs resulting from timing of certain pipeline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NGL segment operations involve NGL storage and terminalling from our four NGL assets located in the United States, namely our Bumstead, Shafter, San Pedro and Tampa facilities.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from our NGL segment: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85"/>
        <w:gridCol w:w="515"/>
        <w:gridCol w:w="517"/>
        <w:gridCol w:w="109"/>
        <w:gridCol w:w="109"/>
        <w:gridCol w:w="109"/>
        <w:gridCol w:w="211"/>
        <w:gridCol w:w="406"/>
        <w:gridCol w:w="109"/>
        <w:gridCol w:w="109"/>
        <w:gridCol w:w="109"/>
        <w:gridCol w:w="109"/>
        <w:gridCol w:w="211"/>
        <w:gridCol w:w="377"/>
        <w:gridCol w:w="109"/>
        <w:gridCol w:w="109"/>
        <w:gridCol w:w="109"/>
        <w:gridCol w:w="109"/>
        <w:gridCol w:w="211"/>
        <w:gridCol w:w="272"/>
        <w:gridCol w:w="109"/>
        <w:gridCol w:w="109"/>
        <w:gridCol w:w="109"/>
        <w:gridCol w:w="109"/>
        <w:gridCol w:w="239"/>
        <w:gridCol w:w="242"/>
        <w:gridCol w:w="271"/>
        <w:gridCol w:w="109"/>
        <w:gridCol w:w="109"/>
        <w:gridCol w:w="109"/>
        <w:gridCol w:w="109"/>
        <w:gridCol w:w="109"/>
        <w:gridCol w:w="109"/>
        <w:gridCol w:w="211"/>
        <w:gridCol w:w="377"/>
        <w:gridCol w:w="109"/>
        <w:gridCol w:w="109"/>
        <w:gridCol w:w="109"/>
        <w:gridCol w:w="109"/>
        <w:gridCol w:w="211"/>
        <w:gridCol w:w="466"/>
        <w:gridCol w:w="109"/>
        <w:gridCol w:w="109"/>
        <w:gridCol w:w="109"/>
        <w:gridCol w:w="109"/>
        <w:gridCol w:w="211"/>
        <w:gridCol w:w="377"/>
        <w:gridCol w:w="109"/>
        <w:gridCol w:w="109"/>
        <w:gridCol w:w="109"/>
        <w:gridCol w:w="109"/>
        <w:gridCol w:w="188"/>
        <w:gridCol w:w="188"/>
        <w:gridCol w:w="322"/>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w:t>
      </w:r>
    </w:p>
    <w:p>
      <w:pPr>
        <w:pStyle w:val="TextBody"/>
        <w:bidi w:val="0"/>
        <w:spacing w:lineRule="auto" w:line="288" w:before="0" w:after="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Segment Adjusted EBITDA loss for all periods presented is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 working capital surplus of $218 million and approximately $3.9 billion of liquidity available to meet our ongoing operating, investing and financing needs (subject to continued covenant compliance) as noted below (in millions): </w:t>
      </w:r>
    </w:p>
    <w:p>
      <w:pPr>
        <w:pStyle w:val="TextBody"/>
        <w:bidi w:val="0"/>
        <w:spacing w:before="0" w:after="0"/>
        <w:jc w:val="left"/>
        <w:rPr/>
      </w:pPr>
      <w:r>
        <w:rPr/>
      </w:r>
    </w:p>
    <w:tbl>
      <w:tblPr>
        <w:tblW w:w="7199" w:type="dxa"/>
        <w:jc w:val="left"/>
        <w:tblInd w:w="0" w:type="dxa"/>
        <w:tblLayout w:type="fixed"/>
        <w:tblCellMar>
          <w:top w:w="28" w:type="dxa"/>
          <w:left w:w="28" w:type="dxa"/>
          <w:bottom w:w="28" w:type="dxa"/>
          <w:right w:w="28" w:type="dxa"/>
        </w:tblCellMar>
      </w:tblPr>
      <w:tblGrid>
        <w:gridCol w:w="2030"/>
        <w:gridCol w:w="1787"/>
        <w:gridCol w:w="1792"/>
        <w:gridCol w:w="342"/>
        <w:gridCol w:w="999"/>
        <w:gridCol w:w="249"/>
      </w:tblGrid>
      <w:tr>
        <w:trPr/>
        <w:tc>
          <w:tcPr>
            <w:tcW w:w="203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September 30, 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senior unsecured revolving credit facility </w:t>
            </w:r>
            <w:r>
              <w:rPr>
                <w:rFonts w:ascii="Times New Roman;serif" w:hAnsi="Times New Roman;serif"/>
                <w:b w:val="false"/>
                <w:color w:val="000000"/>
                <w:sz w:val="13"/>
              </w:rPr>
              <w:t>(1) (2) (3)</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senior secured hedged inventory facility </w:t>
            </w:r>
            <w:r>
              <w:rPr>
                <w:rFonts w:ascii="Times New Roman;serif" w:hAnsi="Times New Roman;serif"/>
                <w:b w:val="false"/>
                <w:color w:val="000000"/>
                <w:sz w:val="13"/>
              </w:rPr>
              <w:t>(1) (2) (3)</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Amounts outstanding under commercial paper program </w:t>
            </w:r>
            <w:r>
              <w:rPr>
                <w:rFonts w:ascii="Times New Roman;serif" w:hAnsi="Times New Roman;serif"/>
                <w:b w:val="false"/>
                <w:color w:val="000000"/>
                <w:sz w:val="13"/>
              </w:rPr>
              <w:t>(3)</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(4)</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availability prior to giving effect to borrowings outstanding under our commercial paper program, which reduce available capacity under our credit facilities.</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Available capacity under our senior unsecured revolving credit facility and senior secured hedged inventory facility was reduced by outstanding letters of credit issued under these facilities of less than $1 million and $27 million, respectively.</w:t>
      </w:r>
    </w:p>
    <w:p>
      <w:pPr>
        <w:pStyle w:val="TextBody"/>
        <w:bidi w:val="0"/>
        <w:spacing w:lineRule="auto" w:line="288" w:before="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We borrowed approximately $1.8 billion under our commercial paper program and credit facilities to initially fund the EPIC acquisition in November 2025. See Note 12 to our Condensed Consolidated Financial Statements for additional information regarding the EPIC acquisition.</w:t>
      </w:r>
    </w:p>
    <w:p>
      <w:pPr>
        <w:pStyle w:val="TextBody"/>
        <w:bidi w:val="0"/>
        <w:spacing w:lineRule="auto" w:line="288" w:before="0" w:after="6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Cash on hand at September 30, 2025 was utilized to redeem our $1.0 billion, 4.65% senior notes on October 3, 2025.</w:t>
      </w:r>
    </w:p>
    <w:p>
      <w:pPr>
        <w:pStyle w:val="TextBody"/>
        <w:bidi w:val="0"/>
        <w:spacing w:before="0" w:after="6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September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2024 Annual Report on Form 10-K for further discussion regarding risks that may impact our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Liquidity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non-GAAP financial liquidity measures Adjusted Free Cash Flow and Adjusted Free Cash Flow after Distributions from Net Cash Provided by Operating Activities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19"/>
        <w:gridCol w:w="2273"/>
        <w:gridCol w:w="2283"/>
        <w:gridCol w:w="109"/>
        <w:gridCol w:w="109"/>
        <w:gridCol w:w="119"/>
        <w:gridCol w:w="119"/>
        <w:gridCol w:w="119"/>
        <w:gridCol w:w="119"/>
        <w:gridCol w:w="231"/>
        <w:gridCol w:w="675"/>
        <w:gridCol w:w="119"/>
        <w:gridCol w:w="109"/>
        <w:gridCol w:w="109"/>
        <w:gridCol w:w="109"/>
        <w:gridCol w:w="211"/>
        <w:gridCol w:w="616"/>
        <w:gridCol w:w="157"/>
      </w:tblGrid>
      <w:tr>
        <w:trPr/>
        <w:tc>
          <w:tcPr>
            <w:tcW w:w="261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311" w:type="dxa"/>
            <w:gridSpan w:val="6"/>
            <w:tcBorders/>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provided by operating activities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cash provided by operating activities to 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cash used in investing activities </w:t>
            </w:r>
            <w:r>
              <w:rPr>
                <w:rFonts w:ascii="Times New Roman;serif" w:hAnsi="Times New Roman;serif"/>
                <w:b w:val="false"/>
                <w:color w:val="000000"/>
                <w:sz w:val="13"/>
              </w:rPr>
              <w:t>(1) ( 2)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paid to noncontrolling interests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Proceeds from the issuance of related party notes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distributions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Free Cash Flow after Distributions </w:t>
            </w:r>
            <w:r>
              <w:rPr>
                <w:rFonts w:ascii="Times New Roman;serif" w:hAnsi="Times New Roman;serif"/>
                <w:b w:val="false"/>
                <w:color w:val="000000"/>
                <w:sz w:val="13"/>
              </w:rPr>
              <w:t>(1)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20"/>
        </w:rPr>
        <w:t>Includes results from continuing operations and discontinued operations for all periods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9 to our Condensed Consolidated Financial Statements for additional information on our related party notes.</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Cash distributions paid during the period presented.</w:t>
      </w:r>
    </w:p>
    <w:p>
      <w:pPr>
        <w:pStyle w:val="TextBody"/>
        <w:bidi w:val="0"/>
        <w:spacing w:lineRule="auto" w:line="288" w:before="60" w:after="283"/>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Cash distributions paid to our preferred and common unitholders during the period presented. </w:t>
      </w:r>
    </w:p>
    <w:p>
      <w:pPr>
        <w:pStyle w:val="TextBody"/>
        <w:bidi w:val="0"/>
        <w:spacing w:lineRule="auto" w:line="288" w:before="6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for the first nine months of 2025 and 2024 was $1.836 billion and $1.597 billion, respectively, and primarily resulted from earnings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related to continuing operations and discontinued operations (in millions):</w:t>
      </w:r>
    </w:p>
    <w:p>
      <w:pPr>
        <w:pStyle w:val="TextBody"/>
        <w:bidi w:val="0"/>
        <w:spacing w:before="0" w:after="0"/>
        <w:ind w:left="0" w:right="0" w:firstLine="720"/>
        <w:jc w:val="left"/>
        <w:rPr/>
      </w:pPr>
      <w:r>
        <w:rPr/>
      </w:r>
    </w:p>
    <w:tbl>
      <w:tblPr>
        <w:tblW w:w="9791"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109"/>
        <w:gridCol w:w="109"/>
        <w:gridCol w:w="109"/>
        <w:gridCol w:w="109"/>
        <w:gridCol w:w="109"/>
        <w:gridCol w:w="109"/>
        <w:gridCol w:w="211"/>
        <w:gridCol w:w="616"/>
        <w:gridCol w:w="109"/>
        <w:gridCol w:w="109"/>
        <w:gridCol w:w="109"/>
        <w:gridCol w:w="109"/>
        <w:gridCol w:w="211"/>
        <w:gridCol w:w="46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Consolidated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Continuing Operations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Capital Expenditures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capital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capital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expenditures attributable to noncontrolling interests, which primarily relate to the Permian JV. Includes results from continuing operations and discontinued operations for all periods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results from continuing operations and discontinued operations for all periods presented. Capital expenditures related to discontinued operations were $89 million and $49 million for investment and maintenance capital for the nine months ended September 30, 2025, respectively. Capital expenditures for investment and maintenance capital related to discontinued operations were $74 million and $48 million for the nine months ended September 30, 2024, respectively. There was no acquisition capital related to discontinued operations for any period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Acquisition capital for the 2025 period primarily included the acquisitions of (i) Ironwood Midstream, (ii) Medallion Midstream by the Permian JV, (iii) the remaining 50% interest in Cheyenne Pipeline LLC through a non-cash transaction, (iv) Black Knight Midstream and (v) an additional 20% interest in BridgeTex Pipeline. See Note 12 to our Condensed Consolidated Financial Statements for additional information. Acquisition capital for the 2024 period primarily included the acquisition of additional ownership interests in equity method investees.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2025 Investment and Maintenance Capital. </w:t>
      </w:r>
      <w:r>
        <w:rPr>
          <w:rFonts w:ascii="Times New Roman;serif" w:hAnsi="Times New Roman;serif"/>
          <w:b w:val="false"/>
          <w:color w:val="000000"/>
          <w:sz w:val="20"/>
        </w:rPr>
        <w:t>Total investment capital for the year ending December 31, 2025 is projected to be approximately $600 million ($490 million net to our interest), which includes approximately $110 million related to discontinued operations. Approximately half of our projected investment capital expenditures are expected to be invested in the Permian JV assets. Additionally, maintenance capital for 2025 is projected to be approximately $230 million ($215 million net to our interest), which includes approximately $70 million related to discontinued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2024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Related Party Promissory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promissory notes with a face value of CAD$473 million (approximately $330 million)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See Note 9 to our Condensed Consolidated Financial Statements for additional information on our related party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Borrowings and Repayments Under 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had net repayments under our commercial paper program of $393 million. The net repayments resulted primarily from cash flow from operating activities and proceeds from the issuance of $1.25 billion aggregate principal amount of senior notes in September 2025, which offset borrowings during the period related to funding needs for capital investments, inventory purchases and other general partnership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had net repayments under our commercial paper program of $433 million. The net repayments resulted primarily from cash flow from operating activities and proceeds from the issuance of $650 million, 5.70% senior notes in June 2024, which offset borrowings during the period related to funding needs for capital investments, inventory purchases and other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we completed the offering of $1.0 billion, 5.95% senior notes due June 2035 at a public offering price of 99.761%. Interest payments are due on June 15 and December 15 of each year, commencing on June 15, 2025. We used the net proceeds from this offering of approximately $988 million, after deducting the underwriting discount and offering expenses, to (i) fund the acquisitions completed during the nine months ended September 30, 2025, (ii) fund the repurchase of approximately 12.7 million Series A preferred units in January 2025 and (iii) repay outstanding borrowings under our credit facilities and commercial paper program and for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we completed the offering of $1.25 billion aggregate principal amount of senior notes, consisting of $700 million, 4.70% senior notes due January 2031 and $550 million, 5.60% senior notes due January 2036 at a public offering price of 99.865% and 99.798%, respectively. Interest payments on these notes are due on January 15 and July 15 of each year, commencing on January 15, 2026. We used the net proceeds from this offering of approximately $1.2 billion, after deducting the underwriting discount and offering expenses, to (i) redeem on October 3, 2025 the principal amount of our $1.0 billion, 4.65% senior notes due October 2025 and (ii) fund a portion of the purchase price for the EPIC Pipeline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color w:val="000000"/>
          <w:sz w:val="20"/>
        </w:rPr>
        <w:t>Note 7 and Note 12 to our Condensed Consolidated Financial Statements for additional information regarding our Series A preferred units and our recently completed and pending acquisitions,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repurchased 0.5 million common units under the Common Equity Repurchase Program (the “Program”) through open market purchases that settled during the nine months ended September 30, 2025, for a total purchase price of $8 million, including commissions and fees. The repurchased common units were canceled immediately upon acquisition, as were the PAGP Class C shares held by us associated with the repurchased common units. There were no repurchases under the Program during the nine months ended September 30, 2024. At September 30, 2025, the remaining available capacity under the Program was $190 million. See Note 11 to our Consolidated Financial Statements included in Part IV of our 2024 Annual Report on Form 10-K for additional information regarding the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September 30, 2025. We did not conduct any offerings under our Traditional Shelf during the nine months ended September 30, 2025. We also have access to a universal shelf registration statement (“WKSI Shelf”), which provides us with the ability to offer and sell an unlimited amount of debt and equity securities, subject to market conditions and our capital needs. The offerings of $1.0 billion, 5.95% senior notes in January 2025, $700 million, 4.70% senior notes and $550 million, 5.60% senior notes in September 2025 were conducted under our WKSI Shelf.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Series A Preferred Unit Repurchase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we repurchased approximately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7 to our Condensed Consolidated Financial Statements for more information regarding our Series A preferred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A preferred unitholders.</w:t>
      </w:r>
      <w:r>
        <w:rPr>
          <w:color w:val="000000"/>
        </w:rPr>
        <w:t xml:space="preserve"> </w:t>
      </w:r>
      <w:r>
        <w:rPr>
          <w:rFonts w:ascii="Times New Roman;serif" w:hAnsi="Times New Roman;serif"/>
          <w:b w:val="false"/>
          <w:color w:val="000000"/>
          <w:sz w:val="20"/>
        </w:rPr>
        <w:t>On November 14, 2025, we will pay a quarterly cash distribution of approximately $0.615 per unit to Series A preferred unitholders of record at the close of business on October 31, 2025 for the period from July 1, 2025 through September 30,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unitholders.</w:t>
      </w:r>
      <w:r>
        <w:rPr>
          <w:color w:val="000000"/>
        </w:rPr>
        <w:t xml:space="preserve"> </w:t>
      </w:r>
      <w:r>
        <w:rPr>
          <w:rFonts w:ascii="Times New Roman;serif" w:hAnsi="Times New Roman;serif"/>
          <w:b w:val="false"/>
          <w:color w:val="000000"/>
          <w:sz w:val="20"/>
        </w:rPr>
        <w:t>On November 17, 2025, we will pay a quarterly cash distribution of approximately $21.93 per unit to Series B preferred unitholders of record at the close of business on November 3, 2025 for the period from August 15, 2025 through November 14,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Common Unitholders</w:t>
      </w:r>
      <w:r>
        <w:rPr>
          <w:rFonts w:ascii="Times New Roman;serif" w:hAnsi="Times New Roman;serif"/>
          <w:b w:val="false"/>
          <w:color w:val="000000"/>
          <w:sz w:val="20"/>
        </w:rPr>
        <w:t>. On November 14, 2025, we will pay a quarterly cash distribution of $0.38 per common unit ($1.52 per unit on an annualized basis) to common unitholders of record at the close of business on October 31, 2025 for the period from July 1, 2025 through September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Condensed Consolidated Financial Statements for details of distributions paid during or pertaining to the first nine months of 2025, including distributions to our preferred unitholders.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represent amounts paid on interests in consolidated entities that are not owned by us. As of September 30, 2025, noncontrolling interests in our subsidiaries consisted of (i) a 35% interest in the Permian JV, (ii) a 30% interest in Cactus II and (iii) a 33% interest in Red River. See Note 7 to our Condensed Consolidated Financial Statements for details of distributions paid to noncontrolling interests during the nine months ended September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Related Party Promissory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promissory notes with a face value of CAD$473 million (approximately $330 million)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 See Note 9 to our Condensed Consolidated Financial Statements for additional information on our related party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contingencies that may impact us, see Note 10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Purchase Obligations.</w:t>
      </w:r>
      <w:r>
        <w:rPr>
          <w:color w:val="000000"/>
        </w:rPr>
        <w:t xml:space="preserve"> </w:t>
      </w:r>
      <w:r>
        <w:rPr>
          <w:rFonts w:ascii="Times New Roman;serif" w:hAnsi="Times New Roman;serif"/>
          <w:b w:val="false"/>
          <w:color w:val="000000"/>
          <w:sz w:val="20"/>
        </w:rPr>
        <w:t xml:space="preserve">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our best estimate of the amount and timing of these payments as of September 30, 2025 (in millions):</w:t>
      </w:r>
    </w:p>
    <w:p>
      <w:pPr>
        <w:pStyle w:val="TextBody"/>
        <w:bidi w:val="0"/>
        <w:spacing w:before="0" w:after="0"/>
        <w:jc w:val="left"/>
        <w:rPr/>
      </w:pPr>
      <w:r>
        <w:rPr/>
      </w:r>
    </w:p>
    <w:tbl>
      <w:tblPr>
        <w:tblW w:w="10495" w:type="dxa"/>
        <w:jc w:val="left"/>
        <w:tblInd w:w="0" w:type="dxa"/>
        <w:tblLayout w:type="fixed"/>
        <w:tblCellMar>
          <w:top w:w="28" w:type="dxa"/>
          <w:left w:w="28" w:type="dxa"/>
          <w:bottom w:w="28" w:type="dxa"/>
          <w:right w:w="28" w:type="dxa"/>
        </w:tblCellMar>
      </w:tblPr>
      <w:tblGrid>
        <w:gridCol w:w="435"/>
        <w:gridCol w:w="382"/>
        <w:gridCol w:w="384"/>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Crude oil and other purchases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primarily based on estimated volumes and market prices based on average activity during September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EPIC Acquisition.</w:t>
      </w:r>
      <w:r>
        <w:rPr>
          <w:color w:val="000000"/>
        </w:rPr>
        <w:t xml:space="preserve"> </w:t>
      </w:r>
      <w:r>
        <w:rPr>
          <w:rFonts w:ascii="Times New Roman;serif" w:hAnsi="Times New Roman;serif"/>
          <w:b w:val="false"/>
          <w:color w:val="000000"/>
          <w:sz w:val="20"/>
        </w:rPr>
        <w:t>Through two separate transactions completed in the fourth quarter of 2025, we acquired 100% of the entity that owns the EPIC Pipeline for aggregate consideration of approximately $2.9 billion, inclusive of approximately $1.1 billion of debt assumed. We initially funded the EPIC acquisition by assuming the $1.1 billion of existing debt and funding the $1.8 billion equity portion through a combination of commercial paper and credit facility borrowings and cash on hand. See Note 12 to our Condensed Consolidated Financial Statements for additional information regarding the EPIC acquisition.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September 30, 2025 and December 31, 2024, we had outstanding letters of credit of approximately $70 million and $90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and our ability to consummate, acquisitions, divestitures, joint ventures or other strategic opportunities and realize benefits therefrom, including the Canadian NGL Business divestiture and the EPIC acquisition;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maintenance of our credit ratings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0"/>
          <w:u w:val="single"/>
        </w:rPr>
        <w:t>Power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power derivatives to hedge anticipated operational requirements related to our crude oil pipelines.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commodity derivatives and the change in fair value as of September 30, 2025 that would be expected from a 10% price increase or decrease is shown in the table below (in millions):</w:t>
      </w:r>
    </w:p>
    <w:p>
      <w:pPr>
        <w:pStyle w:val="TextBody"/>
        <w:bidi w:val="0"/>
        <w:spacing w:before="0" w:after="0"/>
        <w:jc w:val="left"/>
        <w:rPr/>
      </w:pPr>
      <w:r>
        <w:rPr/>
      </w:r>
    </w:p>
    <w:tbl>
      <w:tblPr>
        <w:tblW w:w="5247" w:type="dxa"/>
        <w:jc w:val="left"/>
        <w:tblInd w:w="0" w:type="dxa"/>
        <w:tblLayout w:type="fixed"/>
        <w:tblCellMar>
          <w:top w:w="28" w:type="dxa"/>
          <w:left w:w="28" w:type="dxa"/>
          <w:bottom w:w="28" w:type="dxa"/>
          <w:right w:w="28" w:type="dxa"/>
        </w:tblCellMar>
      </w:tblPr>
      <w:tblGrid>
        <w:gridCol w:w="494"/>
        <w:gridCol w:w="434"/>
        <w:gridCol w:w="437"/>
        <w:gridCol w:w="316"/>
        <w:gridCol w:w="406"/>
        <w:gridCol w:w="164"/>
        <w:gridCol w:w="109"/>
        <w:gridCol w:w="109"/>
        <w:gridCol w:w="109"/>
        <w:gridCol w:w="348"/>
        <w:gridCol w:w="596"/>
        <w:gridCol w:w="182"/>
        <w:gridCol w:w="109"/>
        <w:gridCol w:w="109"/>
        <w:gridCol w:w="109"/>
        <w:gridCol w:w="346"/>
        <w:gridCol w:w="617"/>
        <w:gridCol w:w="25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Debt</w:t>
      </w:r>
      <w:r>
        <w:rPr>
          <w:rFonts w:ascii="Times New Roman;serif" w:hAnsi="Times New Roman;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September 30, 2025. The average interest rate on variable rate debt that was outstanding during the nine months ended September 30, 2025 was approximately 4.7%, based upon rates in effect during such period. The fair value of our interest rate derivatives was a net asset of $29 million as of September 30, 2025. A 10% increase in the forward SOFR curve as of September 30, 2025 would have resulted in an increase of $13 million to the fair value of our interest rate derivatives. A 10% decrease in the forward SOFR curve as of September 30, 2025 would have resulted in a decrease of $13 million to the fair value of our interest rate derivatives. See Note 8 to our Condensed Consolidated Financial Statements for a discussion of our interest rate risk hedging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Units</w:t>
      </w:r>
      <w:r>
        <w:rPr>
          <w:rFonts w:ascii="Times New Roman;serif" w:hAnsi="Times New Roman;serif"/>
          <w:b w:val="false"/>
          <w:color w:val="000000"/>
          <w:sz w:val="20"/>
        </w:rPr>
        <w:t>. Distributions on the Series B preferred units accumulate and are payable quarterly in arrears on the 15th day of February, May, August and November. Distributions on the Series B preferred units accumulate based on the applicable three-month SOFR, plus certain adjustments. Based upon the Series B preferred units outstanding at September 30, 2025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2024 Annual Report on Form 10-K for additional information regarding our Series B preferred unit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foreign currency derivatives to hedge foreign currency exchange rate risk associated with our exposure to fluctuations in the USD-to-CAD exchange rate. The fair value of our foreign currency derivatives was an asset of $41 million as of September 30, 2025. A 10% increase in the exchange rate (USD-to-CAD) would have resulted in an increase of $325 million to the fair value of our foreign currency derivatives. A 10% decrease in the exchange rate (USD-to-CAD) would have resulted in a decrease of $325 million to the fair value of our foreign currency derivatives. See Note 8 to our Condensed Consolidated Financial Statements for additional information regarding our currency exchange rate risk hedging.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September 30, 2025,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substantially completed the implementation of our new Enterprise Resource Planning (“ERP”) system during the quarter ended September 30, 2025. The implementation of our ERP system (i) resulted in changes to controls that are reliant upon system configurations, integrations and outputs, and (ii) is expected to, among other things, improve user access security and enable convergence of accounting, back office and reporting processes and activities. Except for the implementation of our new ERP system and corresponding changes to controls reliant upon system configurations, integrations and outputs, there was no change in our internal control over financial reporting that occurred during the third quarter of 2025 that materially affected, or is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10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2025, we issued 144,500 common units to AAP in connection with PAGP LTIP award vestings. This issuance was exempt from the registration requirements of the Securities Act of 1933, as amended, pursuant to Section 4(a)(2)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our directors or officers (as defined in Rule 16a-1(f) of the Securities Exchange Act of 1934) adopted or terminated any Rule 10b5-1 trading arrangement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
        <w:gridCol w:w="241"/>
        <w:gridCol w:w="242"/>
        <w:gridCol w:w="115"/>
        <w:gridCol w:w="115"/>
        <w:gridCol w:w="116"/>
        <w:gridCol w:w="2876"/>
        <w:gridCol w:w="2569"/>
        <w:gridCol w:w="3658"/>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Share Purchase Agreement dated as of June 17, 2025 by and between Plains Midstream Luxembourg S.A.R.L. and Keyera Corp. (portions of this exhibit have been omitted pursuant to Item 601(b)(2) of Regulation S-K)</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 xml:space="preserve">(incorporated by reference to Exhibit 2.1 to our </w:t>
              </w:r>
            </w:hyperlink>
            <w:hyperlink r:id="rId5">
              <w:r>
                <w:rPr>
                  <w:rStyle w:val="InternetLink"/>
                  <w:rFonts w:ascii="Times New Roman;serif" w:hAnsi="Times New Roman;serif"/>
                  <w:b w:val="false"/>
                  <w:color w:val="000080"/>
                  <w:sz w:val="20"/>
                  <w:u w:val="single"/>
                </w:rPr>
                <w:t>Quarterly Report</w:t>
              </w:r>
            </w:hyperlink>
            <w:hyperlink r:id="rId6">
              <w:r>
                <w:rPr>
                  <w:rStyle w:val="InternetLink"/>
                  <w:rFonts w:ascii="Times New Roman;serif" w:hAnsi="Times New Roman;serif"/>
                  <w:b w:val="false"/>
                  <w:color w:val="000080"/>
                  <w:sz w:val="20"/>
                  <w:u w:val="single"/>
                </w:rPr>
                <w:t xml:space="preserve"> on Form 1</w:t>
              </w:r>
            </w:hyperlink>
            <w:hyperlink r:id="rId7">
              <w:r>
                <w:rPr>
                  <w:rStyle w:val="InternetLink"/>
                  <w:rFonts w:ascii="Times New Roman;serif" w:hAnsi="Times New Roman;serif"/>
                  <w:b w:val="false"/>
                  <w:color w:val="000080"/>
                  <w:sz w:val="20"/>
                  <w:u w:val="single"/>
                </w:rPr>
                <w:t xml:space="preserve">0-Q for the quarter ended </w:t>
              </w:r>
            </w:hyperlink>
            <w:hyperlink r:id="rId8">
              <w:r>
                <w:rPr>
                  <w:rStyle w:val="InternetLink"/>
                  <w:rFonts w:ascii="Times New Roman;serif" w:hAnsi="Times New Roman;serif"/>
                  <w:b w:val="false"/>
                  <w:color w:val="000080"/>
                  <w:sz w:val="20"/>
                  <w:u w:val="single"/>
                </w:rPr>
                <w:t>June 30, 2025)</w:t>
              </w:r>
            </w:hyperlink>
            <w:hyperlink r:id="rId9">
              <w:r>
                <w:rPr>
                  <w:rStyle w:val="InternetLink"/>
                  <w:rFonts w:ascii="Times New Roman;serif" w:hAnsi="Times New Roman;serif"/>
                  <w:b w:val="false"/>
                  <w:color w:val="000080"/>
                  <w:sz w:val="20"/>
                  <w:u w:val="single"/>
                </w:rPr>
                <w:t>.</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Purchase and Sale Agreement dated August 30, 2025 by and among Altus Midstream Processing LP, Kinetik EC Holdco LLC, Rattler Midstream Operating LLC and Rattler OMOG LLC, as Sellers, and Plains BK Holdco LLC, as Buyer, and the other parties thereto (portions of this exhibit have been omitted pursuant to Item 601(b)(2) of Regulation S-K) (incorporated by reference to Exhibit 2.1 to our Current Report on Form 8-K filed November 6, 2025).</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80"/>
                  <w:sz w:val="20"/>
                  <w:u w:val="single"/>
                </w:rPr>
                <w:t>Equity Purch</w:t>
              </w:r>
            </w:hyperlink>
            <w:hyperlink r:id="rId12">
              <w:r>
                <w:rPr>
                  <w:rStyle w:val="InternetLink"/>
                  <w:rFonts w:ascii="Times New Roman;serif" w:hAnsi="Times New Roman;serif"/>
                  <w:b w:val="false"/>
                  <w:color w:val="000080"/>
                  <w:sz w:val="20"/>
                  <w:u w:val="single"/>
                </w:rPr>
                <w:t>ase Agree</w:t>
              </w:r>
            </w:hyperlink>
            <w:hyperlink r:id="rId13">
              <w:r>
                <w:rPr>
                  <w:rStyle w:val="InternetLink"/>
                  <w:rFonts w:ascii="Times New Roman;serif" w:hAnsi="Times New Roman;serif"/>
                  <w:b w:val="false"/>
                  <w:color w:val="000080"/>
                  <w:sz w:val="20"/>
                  <w:u w:val="single"/>
                </w:rPr>
                <w:t xml:space="preserve">ment dated November </w:t>
              </w:r>
            </w:hyperlink>
            <w:hyperlink r:id="rId14">
              <w:r>
                <w:rPr>
                  <w:rStyle w:val="InternetLink"/>
                  <w:rFonts w:ascii="Times New Roman;serif" w:hAnsi="Times New Roman;serif"/>
                  <w:b w:val="false"/>
                  <w:color w:val="000080"/>
                  <w:sz w:val="20"/>
                  <w:u w:val="single"/>
                </w:rPr>
                <w:t>3</w:t>
              </w:r>
            </w:hyperlink>
            <w:hyperlink r:id="rId15">
              <w:r>
                <w:rPr>
                  <w:rStyle w:val="InternetLink"/>
                  <w:rFonts w:ascii="Times New Roman;serif" w:hAnsi="Times New Roman;serif"/>
                  <w:b w:val="false"/>
                  <w:color w:val="000080"/>
                  <w:sz w:val="20"/>
                  <w:u w:val="single"/>
                </w:rPr>
                <w:t>, 2025 by and among EPI</w:t>
              </w:r>
            </w:hyperlink>
            <w:hyperlink r:id="rId16">
              <w:r>
                <w:rPr>
                  <w:rStyle w:val="InternetLink"/>
                  <w:rFonts w:ascii="Times New Roman;serif" w:hAnsi="Times New Roman;serif"/>
                  <w:b w:val="false"/>
                  <w:color w:val="000080"/>
                  <w:sz w:val="20"/>
                  <w:u w:val="single"/>
                </w:rPr>
                <w:t>C Crude Parent, L.P., as Seller, and Plains BK Holdco LLC, as B</w:t>
              </w:r>
            </w:hyperlink>
            <w:hyperlink r:id="rId17">
              <w:r>
                <w:rPr>
                  <w:rStyle w:val="InternetLink"/>
                  <w:rFonts w:ascii="Times New Roman;serif" w:hAnsi="Times New Roman;serif"/>
                  <w:b w:val="false"/>
                  <w:color w:val="000080"/>
                  <w:sz w:val="20"/>
                  <w:u w:val="single"/>
                </w:rPr>
                <w:t>uyer, and the other parties there</w:t>
              </w:r>
            </w:hyperlink>
            <w:hyperlink r:id="rId18">
              <w:r>
                <w:rPr>
                  <w:rStyle w:val="InternetLink"/>
                  <w:rFonts w:ascii="Times New Roman;serif" w:hAnsi="Times New Roman;serif"/>
                  <w:b w:val="false"/>
                  <w:color w:val="000080"/>
                  <w:sz w:val="20"/>
                  <w:u w:val="single"/>
                </w:rPr>
                <w:t>to (portions of this exhibit have been omitted pursuant to Item 601(b)</w:t>
              </w:r>
            </w:hyperlink>
            <w:hyperlink r:id="rId19">
              <w:r>
                <w:rPr>
                  <w:rStyle w:val="InternetLink"/>
                  <w:rFonts w:ascii="Times New Roman;serif" w:hAnsi="Times New Roman;serif"/>
                  <w:b w:val="false"/>
                  <w:color w:val="000080"/>
                  <w:sz w:val="20"/>
                  <w:u w:val="single"/>
                </w:rPr>
                <w:t>(2) of Registration S</w:t>
              </w:r>
            </w:hyperlink>
            <w:hyperlink r:id="rId20">
              <w:r>
                <w:rPr>
                  <w:rStyle w:val="InternetLink"/>
                  <w:rFonts w:ascii="Times New Roman;serif" w:hAnsi="Times New Roman;serif"/>
                  <w:b w:val="false"/>
                  <w:color w:val="000080"/>
                  <w:sz w:val="20"/>
                  <w:u w:val="single"/>
                </w:rPr>
                <w:t>-K (incorporated by reference to Exhibit 2.2 to our Current Report on Form 8-K filed November 6, 2025).</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"https://www.sec.gov/Archives/edgar/data/1070423/000110465917061889/a17-22685_5ex3d1.htm" \l "Exhibit3_1_122228"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erif" w:hAnsi="Times New Roman;serif"/>
                <w:color w:val="0000FF"/>
              </w:rPr>
              <w:fldChar w:fldCharType="end"/>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777"/>
        <w:gridCol w:w="2734"/>
        <w:gridCol w:w="386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12"/>
        <w:gridCol w:w="186"/>
        <w:gridCol w:w="191"/>
        <w:gridCol w:w="115"/>
        <w:gridCol w:w="115"/>
        <w:gridCol w:w="116"/>
        <w:gridCol w:w="2760"/>
        <w:gridCol w:w="2687"/>
        <w:gridCol w:w="382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erif" w:hAnsi="Times New Roman;serif"/>
                <w:b w:val="false"/>
                <w:color w:val="000000"/>
                <w:sz w:val="20"/>
              </w:rPr>
              <w: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Times New Roman;serif" w:hAnsi="Times New Roman;serif"/>
                <w:b w:val="false"/>
                <w:color w:val="000000"/>
                <w:sz w:val="20"/>
              </w:rPr>
              <w: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our Current Report on Form 8-K filed June 27, 2024).</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Thirty-Fourth Supplemental Indenture (5.950% Senior Notes due 2035) dated January 15, 2025, by and among Plains All American Pipeline, L.P., PAA Finance Corp. and U.S. Bank Trust Company, National Association, as trustee (incorporated by reference to Exhibit 4.1 to our Current Report on Form 8-K filed January 15, 2025).</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Thirty-Fifth Supplemental Indenture (4.7</w:t>
              </w:r>
            </w:hyperlink>
            <w:hyperlink r:id="rId56">
              <w:r>
                <w:rPr>
                  <w:rStyle w:val="InternetLink"/>
                  <w:rFonts w:ascii="Times New Roman;serif" w:hAnsi="Times New Roman;serif"/>
                  <w:b w:val="false"/>
                  <w:color w:val="000080"/>
                  <w:sz w:val="20"/>
                  <w:u w:val="single"/>
                </w:rPr>
                <w:t>0</w:t>
              </w:r>
            </w:hyperlink>
            <w:hyperlink r:id="rId57">
              <w:r>
                <w:rPr>
                  <w:rStyle w:val="InternetLink"/>
                  <w:rFonts w:ascii="Times New Roman;serif" w:hAnsi="Times New Roman;serif"/>
                  <w:b w:val="false"/>
                  <w:color w:val="000080"/>
                  <w:sz w:val="20"/>
                  <w:u w:val="single"/>
                </w:rPr>
                <w:t>% Senior Notes due 2031) dated September 8, 2025, by and among Plains All American Pipeline, L.P., PAA Finance Corp. and U.S. Bank Trust Company, National Association, as trustee (incorporated by reference to Exhibit 4.1 to our Current Report on Form 8-K filed September 8, 2025)</w:t>
              </w:r>
            </w:hyperlink>
            <w:r>
              <w:rPr>
                <w:rFonts w:ascii="Times New Roman;serif" w:hAnsi="Times New Roman;serif"/>
                <w:b w:val="false"/>
                <w:color w:val="000000"/>
                <w:sz w:val="20"/>
              </w:rPr>
              <w: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Thirty-Sixth Supplemental Indenture (5.60% Senior Notes due 2036) dated September 8, 2025, by and among Plains All American Pipeline, L.P., PAA Finance Corp. and U.S. Bank Trust Company, National Association, as trustee (incorporated by reference to Exhibit 4.3 to our Current Report on Form 8-K filed September 8, 2025)</w:t>
              </w:r>
            </w:hyperlink>
            <w:r>
              <w:rPr>
                <w:rFonts w:ascii="Times New Roman;serif" w:hAnsi="Times New Roman;serif"/>
                <w:b w:val="false"/>
                <w:color w:val="000000"/>
                <w:sz w:val="20"/>
              </w:rPr>
              <w:t>.</w:t>
            </w:r>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Description of Our Securities (incorporated by reference to Exhibit 4.17 to our Annual Report on Form 10-K for the year ended December 31, 2024).</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1.htm">
              <w:r>
                <w:rPr>
                  <w:rStyle w:val="InternetLink"/>
                  <w:rFonts w:ascii="Times New Roman;serif" w:hAnsi="Times New Roman;serif"/>
                  <w:b w:val="false"/>
                  <w:color w:val="0000FF"/>
                  <w:sz w:val="20"/>
                  <w:u w:val="single"/>
                </w:rPr>
                <w:t>Fourth Amended and Restated Employment Agreement dated effective May 23, 2024 between Plains All American GP LLC and Greg L. Armstrong.</w:t>
              </w:r>
            </w:hyperlink>
          </w:p>
        </w:tc>
      </w:tr>
      <w:tr>
        <w:trPr/>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3"/>
        <w:gridCol w:w="194"/>
        <w:gridCol w:w="196"/>
        <w:gridCol w:w="115"/>
        <w:gridCol w:w="115"/>
        <w:gridCol w:w="116"/>
        <w:gridCol w:w="2757"/>
        <w:gridCol w:w="2669"/>
        <w:gridCol w:w="3800"/>
      </w:tblGrid>
      <w:tr>
        <w:trPr/>
        <w:tc>
          <w:tcPr>
            <w:tcW w:w="2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2.htm">
              <w:r>
                <w:rPr>
                  <w:rStyle w:val="InternetLink"/>
                  <w:rFonts w:ascii="Times New Roman;serif" w:hAnsi="Times New Roman;serif"/>
                  <w:b w:val="false"/>
                  <w:color w:val="0000FF"/>
                  <w:sz w:val="20"/>
                  <w:u w:val="single"/>
                </w:rPr>
                <w:t>Employment Agreement dated effective June 1, 2025 between Plains All American GP LLC and Harry N. Pefanis.</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3.htm">
              <w:r>
                <w:rPr>
                  <w:rStyle w:val="InternetLink"/>
                  <w:rFonts w:ascii="Times New Roman;serif" w:hAnsi="Times New Roman;serif"/>
                  <w:b w:val="false"/>
                  <w:color w:val="0000FF"/>
                  <w:sz w:val="20"/>
                  <w:u w:val="single"/>
                </w:rPr>
                <w:t>Form of LTIP Grant Letter dated August 14, 2025 (Named Executive Officers).</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4.htm">
              <w:r>
                <w:rPr>
                  <w:rStyle w:val="InternetLink"/>
                  <w:rFonts w:ascii="Times New Roman;serif" w:hAnsi="Times New Roman;serif"/>
                  <w:b w:val="false"/>
                  <w:color w:val="0000FF"/>
                  <w:sz w:val="20"/>
                  <w:u w:val="single"/>
                </w:rPr>
                <w:t>Form of LTIP Grant Letter dated August 14, 2025 (Directors).</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5.htm">
              <w:r>
                <w:rPr>
                  <w:rStyle w:val="InternetLink"/>
                  <w:rFonts w:ascii="Times New Roman;serif" w:hAnsi="Times New Roman;serif"/>
                  <w:b w:val="false"/>
                  <w:color w:val="000080"/>
                  <w:sz w:val="20"/>
                  <w:u w:val="single"/>
                </w:rPr>
                <w:t>Form of Special Retention LTIP Grant Letter dated August 14, 2025</w:t>
              </w:r>
            </w:hyperlink>
            <w:hyperlink w:anchor="paaq32025exhibit105.htm">
              <w:r>
                <w:rPr>
                  <w:rStyle w:val="InternetLink"/>
                  <w:rFonts w:ascii="Times New Roman;serif" w:hAnsi="Times New Roman;serif"/>
                  <w:b w:val="false"/>
                  <w:color w:val="000080"/>
                  <w:sz w:val="20"/>
                  <w:u w:val="single"/>
                </w:rPr>
                <w:t>.</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106.htm">
              <w:r>
                <w:rPr>
                  <w:rStyle w:val="InternetLink"/>
                  <w:rFonts w:ascii="Times New Roman;serif" w:hAnsi="Times New Roman;serif"/>
                  <w:b w:val="false"/>
                  <w:color w:val="0000FF"/>
                  <w:sz w:val="20"/>
                  <w:u w:val="single"/>
                </w:rPr>
                <w:t>Amendment dated August 14, 2025 to Special Promotional LTIP Grant Letter dated August 16, 2018 (Willie Chiang).</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Credit Agreement, dated as of October 15, 2024, by and among EPIC Crude Holdings, EPIC Crude Services, LP, as</w:t>
              </w:r>
            </w:hyperlink>
            <w:hyperlink r:id="rId64">
              <w:r>
                <w:rPr>
                  <w:rStyle w:val="InternetLink"/>
                  <w:rFonts w:ascii="Times New Roman;serif" w:hAnsi="Times New Roman;serif"/>
                  <w:b w:val="false"/>
                  <w:color w:val="000080"/>
                  <w:sz w:val="20"/>
                  <w:u w:val="single"/>
                </w:rPr>
                <w:t xml:space="preserve"> </w:t>
              </w:r>
            </w:hyperlink>
            <w:hyperlink r:id="rId65">
              <w:r>
                <w:rPr>
                  <w:rStyle w:val="InternetLink"/>
                  <w:rFonts w:ascii="Times New Roman;serif" w:hAnsi="Times New Roman;serif"/>
                  <w:b w:val="false"/>
                  <w:color w:val="000080"/>
                  <w:sz w:val="20"/>
                  <w:u w:val="single"/>
                </w:rPr>
                <w:t>borrower, Goldman Sachs Bank USA, as administrative and collateral agent, and the lenders and letters of credit issuers</w:t>
              </w:r>
            </w:hyperlink>
            <w:hyperlink r:id="rId66">
              <w:r>
                <w:rPr>
                  <w:rStyle w:val="InternetLink"/>
                  <w:rFonts w:ascii="Times New Roman;serif" w:hAnsi="Times New Roman;serif"/>
                  <w:b w:val="false"/>
                  <w:color w:val="000080"/>
                  <w:sz w:val="20"/>
                  <w:u w:val="single"/>
                </w:rPr>
                <w:t xml:space="preserve"> </w:t>
              </w:r>
            </w:hyperlink>
            <w:hyperlink r:id="rId67">
              <w:r>
                <w:rPr>
                  <w:rStyle w:val="InternetLink"/>
                  <w:rFonts w:ascii="Times New Roman;serif" w:hAnsi="Times New Roman;serif"/>
                  <w:b w:val="false"/>
                  <w:color w:val="000080"/>
                  <w:sz w:val="20"/>
                  <w:u w:val="single"/>
                </w:rPr>
                <w:t>party thereto from time to time, as amended (incorporated by reference to Exhibit 10.1 to our Current Report on Form 8-K filed November 6, 2025).</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311.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312.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321.htm">
              <w:r>
                <w:rPr>
                  <w:rStyle w:val="InternetLink"/>
                  <w:rFonts w:ascii="Times New Roman;serif" w:hAnsi="Times New Roman;serif"/>
                  <w:b w:val="false"/>
                  <w:color w:val="0000FF"/>
                  <w:sz w:val="20"/>
                  <w:u w:val="single"/>
                </w:rPr>
                <w:t>Certification of Principal Executive Officer pursuant to 18 U.S.C. 1350.</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5exhibit322.htm">
              <w:r>
                <w:rPr>
                  <w:rStyle w:val="InternetLink"/>
                  <w:rFonts w:ascii="Times New Roman;serif" w:hAnsi="Times New Roman;serif"/>
                  <w:b w:val="false"/>
                  <w:color w:val="0000FF"/>
                  <w:sz w:val="20"/>
                  <w:u w:val="single"/>
                </w:rPr>
                <w:t>Certification of Principal Financial Officer pursuant to 18 U.S.C. 1350.</w:t>
              </w:r>
            </w:hyperlink>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Furnished herewith.</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Certain information has been omitted from this exhibit as such omitted information is both (i) not material and (ii) the type of information that the registrant treats as private or confidential.</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Management compensatory plan or arrangement.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9a905161dd64cdb968dbc606bd49e76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88"/>
        <w:gridCol w:w="489"/>
        <w:gridCol w:w="547"/>
        <w:gridCol w:w="547"/>
        <w:gridCol w:w="547"/>
        <w:gridCol w:w="2072"/>
        <w:gridCol w:w="2066"/>
        <w:gridCol w:w="2894"/>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PLAINS ALL AMERICAN PIPELINE, L.P.</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AAP, L.P.,</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sole member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Willie Chiang,</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Chief Executive Officer and President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Executive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 Swanson,</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Financial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Herbold</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Herbold,</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Finance and Chief Accounting Officer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Accounting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FOURTH AMENDED AND RESTATED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Fourth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(“PAGP”), PAA GP Holdings LLC (“GP Holdings”), the Company and all of the entities over which the Company has or exercises direct or indirect control, including Plains All American Pipeline, L.P. and its subsidiaries.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Armstrong and the Company were parties to that certain Amended and Restated Employment Agreement dated as of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June, 2001, as modified by Waiver Agreements dated August 12, 2005, December 23, 2010 and October 21, 2013 (the “Original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Armstrong and the Company amended and restated the Original Agreement by entering into that certain Second Amended and Restated Employment Agreement between Armstrong and the Company dated as of October 1, 2018 (the “Prior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Armstrong served as non-executive Chairman of the Board pursuant to the terms of the Prior Agreement, which provided that such arrangement would end on December 31, 2019;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on November 21, 2019, the Board of Directors of PAA GP Holdings LLC appointed Mr. Armstrong to continue to serve as a Director for an additional two-year term and also approved a two-year extension of his employment with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effective January 1, 2020, Armstrong and the Company amended and restated the Prior Agreement by entering into that certain Third Amended and Restated Employment Agreement (the “Third A&amp;R Agreement”) pursuant to which the Parties agreed, among other things, that Mr. Armstrong would continue his employment with the Company through December 31,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effective December 31, 2021, Armstrong and the Company entered into that certain First Amendment to Third Amended and Restated Employment Agreement (the “First Amendment” and together with the Third A&amp;R Agreement and this Agreement, the “Current Agreement”), extending the term of Armstrong’s employment with the Company through the date of the PAGP 2024 Annual Meeting;</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Armstrong desire to amend and restate the Current Agreement by entering into this Agreement, which sets forth their mutual agreement and understanding related to the continued employment of Armstrong and certain related matters as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and conditions herein contained, the Parties agree as follows:</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 Prior Agreement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hanging="477"/>
        <w:jc w:val="both"/>
        <w:rPr>
          <w:rFonts w:ascii="Times New Roman;serif" w:hAnsi="Times New Roman;serif"/>
          <w:b w:val="false"/>
          <w:color w:val="000000"/>
          <w:sz w:val="24"/>
        </w:rPr>
      </w:pPr>
      <w:r>
        <w:rPr>
          <w:rFonts w:ascii="Times New Roman;serif" w:hAnsi="Times New Roman;serif"/>
          <w:b w:val="false"/>
          <w:color w:val="000000"/>
          <w:sz w:val="24"/>
        </w:rPr>
        <w:t xml:space="preserve">(a)Effective May 23, 2024 (the “Effective Date”) and subject to the terms hereof, Armstrong hereby continues his employment with the Company as a Senior Advisor to the Chief Executive Officer of the Company (“CEO”). During the Term (as defined below), Armstrong agrees to devote such time and energy as may be reasonably necessary to perform the duties and responsibilities requested by the CEO of the Company. </w:t>
      </w:r>
    </w:p>
    <w:p>
      <w:pPr>
        <w:pStyle w:val="TextBody"/>
        <w:bidi w:val="0"/>
        <w:spacing w:before="0" w:after="0"/>
        <w:jc w:val="both"/>
        <w:rPr/>
      </w:pPr>
      <w:r>
        <w:rPr/>
      </w:r>
    </w:p>
    <w:p>
      <w:pPr>
        <w:pStyle w:val="TextBody"/>
        <w:bidi w:val="0"/>
        <w:spacing w:lineRule="auto" w:line="288" w:before="0" w:after="0"/>
        <w:ind w:left="0" w:right="0" w:hanging="477"/>
        <w:jc w:val="both"/>
        <w:rPr>
          <w:rFonts w:ascii="Times New Roman;serif" w:hAnsi="Times New Roman;serif"/>
          <w:b w:val="false"/>
          <w:color w:val="000000"/>
          <w:sz w:val="24"/>
        </w:rPr>
      </w:pPr>
      <w:r>
        <w:rPr>
          <w:rFonts w:ascii="Times New Roman;serif" w:hAnsi="Times New Roman;serif"/>
          <w:b w:val="false"/>
          <w:color w:val="000000"/>
          <w:sz w:val="24"/>
        </w:rPr>
        <w:t>(b)The Parties acknowledge and agree that except as may be expressly provided for hereunder (i) the Current Agreement shall govern the duties, obligations and rights of the Parties with respect to Armstrong’s employment by the Company during the period from January 1, 2020 through the date of the PAGP 2027 Annual Meeting, (ii) the Prior Agreement shall govern the duties, obligations and rights of the Parties with respect to Armstrong’s employment by the Company during the period from October 1, 2018 through December 31, 2019, and (iii) the Original Agreement shall govern the duties, obligations and rights of the Parties with respect to Armstrong’s employment by the Company prior to October 1, 2018. Accordingly, the Parties acknowledge and agree that by virtue of their execution and delivery of this Agreement neither Party shall be deemed to have waived any of its rights or claims under the Original Agreement or the Prior Agreement with respect to Armstrong’s employment by the Company prior to December 31, 2019.</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The term of Armstrong’s employment with the Company as provided hereunder (the “Term”) commenced on January 1, 2020 and will terminate on the date of the PAGP 2027 Annual Meeting; provided, however, that (a) Armstrong may terminate his employment with the Company as of any date prior to the date of the PAGP 2027 Annual Meeting by giving written notice to the Company at least two weeks prior to the effective date of such termination, (b) at the direction of the Board, the Company may terminate Armstrong’s employment with the Company as of any date prior to the date of the PAGP 2027 Annual Meeting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 </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(a)Commencing June 1, 2024, Armstrong shall be paid a monthly salary that equates with an annual payment of $325,000, payable semi-monthly in cash for so long as Armstrong is employed by the Company under the terms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0705"/>
                <wp:effectExtent l="0" t="0" r="0" b="0"/>
                <wp:wrapNone/>
                <wp:docPr id="72" name="Frame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Agreement. During the Term, Armstrong shall remain eligible to participate in all employee benefit plans generally available to employees of the Company (including, without limitation, all health and medical benefit plans).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(b)Armstrong will be entitled to receive prompt reimbursement for all reasonable expenses, including travel and entertainment expenses, incurred by him during the Term in connection with (i) his service as Senior Advisor to the CEO as contemplated hereunder, (ii) his prior service as non-executive Chairman of the Board pursuant to the Prior Agreement, and (iii) the provision by Armstrong of any assistance with litigation or investigations as contemplated by Section 6 hereof; it being specifically agreed that such reimbursement obligation shall cover and include any costs or expenses incurred by Armstrong for private aviation services associated with travel on Company related business. </w:t>
      </w:r>
    </w:p>
    <w:p>
      <w:pPr>
        <w:pStyle w:val="TextBody"/>
        <w:bidi w:val="0"/>
        <w:spacing w:lineRule="auto" w:line="288" w:before="120" w:after="283"/>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(c)The Company will provide Armstrong with a private office, parking space, electronic equipment, administrative support and such other facilities and services as reasonably necessary for Armstrong to adequately and efficiently perform services hereunder and that are comparable to similar services, support and facilities provided to Armstrong under the Prior Agreement; provided, however, it is understood and agreed that the Company shall not be obligated to provide dedicated administrative support to Armstrong, but will provide non-dedicated administrative support to Armstrong as needed in connection with the performance of his duties hereunder.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Indemnity</w:t>
      </w:r>
      <w:r>
        <w:rPr>
          <w:rFonts w:ascii="Times New Roman;serif" w:hAnsi="Times New Roman;serif"/>
          <w:b w:val="false"/>
          <w:color w:val="000000"/>
          <w:sz w:val="24"/>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Access to Certain Information; Confidentiality Obligations.</w:t>
      </w:r>
      <w:r>
        <w:rPr>
          <w:color w:val="000000"/>
        </w:rPr>
        <w:t xml:space="preserve"> </w:t>
      </w:r>
    </w:p>
    <w:p>
      <w:pPr>
        <w:pStyle w:val="TextBody"/>
        <w:bidi w:val="0"/>
        <w:spacing w:lineRule="auto" w:line="288" w:before="120" w:after="283"/>
        <w:ind w:left="0" w:right="0" w:hanging="475"/>
        <w:jc w:val="both"/>
        <w:rPr>
          <w:rFonts w:ascii="Times New Roman;serif" w:hAnsi="Times New Roman;serif"/>
          <w:b w:val="false"/>
          <w:color w:val="000000"/>
          <w:sz w:val="24"/>
        </w:rPr>
      </w:pPr>
      <w:r>
        <w:rPr>
          <w:rFonts w:ascii="Times New Roman;serif" w:hAnsi="Times New Roman;serif"/>
          <w:b w:val="false"/>
          <w:color w:val="000000"/>
          <w:sz w:val="24"/>
        </w:rPr>
        <w:t xml:space="preserve">(a)During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0705"/>
                <wp:effectExtent l="0" t="0" r="0" b="0"/>
                <wp:wrapNone/>
                <wp:docPr id="73" name="Frame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 </w:t>
      </w:r>
    </w:p>
    <w:p>
      <w:pPr>
        <w:pStyle w:val="TextBody"/>
        <w:bidi w:val="0"/>
        <w:spacing w:lineRule="auto" w:line="288" w:before="120" w:after="283"/>
        <w:ind w:left="0" w:right="0" w:hanging="475"/>
        <w:jc w:val="both"/>
        <w:rPr>
          <w:rFonts w:ascii="Times New Roman;serif" w:hAnsi="Times New Roman;serif"/>
          <w:b w:val="false"/>
          <w:color w:val="000000"/>
          <w:sz w:val="24"/>
        </w:rPr>
      </w:pPr>
      <w:r>
        <w:rPr>
          <w:rFonts w:ascii="Times New Roman;serif" w:hAnsi="Times New Roman;serif"/>
          <w:b w:val="false"/>
          <w:color w:val="000000"/>
          <w:sz w:val="24"/>
        </w:rPr>
        <w:t xml:space="preserve">(b)Armstrong acknowledges and agrees that (i) the confidentiality and non-disclosure obligations set forth in Section 6 of the Original Agreement are incorporated herein by reference and shall remain in full force and effect during the Term and for a period of five years following the Termination Date and (ii) any information or materials provided by the Fundamentals Group to Armstrong pursuant to Section 5(a) above shall constitute “confidential information” obtained by Armstrong that is subject to such confidentiality and non-disclosure obligation (including the exceptions therefrom set forth in the proviso clause of Section 6 of the Original Agreement) until the fifth anniversary of the Termination Date. </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Cooperation with Litigation.</w:t>
      </w:r>
      <w:r>
        <w:rPr>
          <w:color w:val="000000"/>
        </w:rPr>
        <w:t xml:space="preserve"> </w:t>
      </w:r>
      <w:r>
        <w:rPr>
          <w:rFonts w:ascii="Times New Roman;serif" w:hAnsi="Times New Roman;serif"/>
          <w:b w:val="false"/>
          <w:color w:val="000000"/>
          <w:sz w:val="24"/>
        </w:rPr>
        <w:t xml:space="preserve">Armstrong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 </w:t>
      </w:r>
    </w:p>
    <w:p>
      <w:pPr>
        <w:pStyle w:val="TextBody"/>
        <w:bidi w:val="0"/>
        <w:spacing w:before="0" w:after="0"/>
        <w:jc w:val="left"/>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COBRA Payments</w:t>
      </w:r>
      <w:r>
        <w:rPr>
          <w:rFonts w:ascii="Times New Roman;serif" w:hAnsi="Times New Roman;serif"/>
          <w:b w:val="false"/>
          <w:color w:val="000000"/>
          <w:sz w:val="24"/>
        </w:rPr>
        <w:t xml:space="preserve">.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 </w:t>
      </w:r>
    </w:p>
    <w:p>
      <w:pPr>
        <w:pStyle w:val="TextBody"/>
        <w:bidi w:val="0"/>
        <w:spacing w:before="0" w:after="0"/>
        <w:jc w:val="both"/>
        <w:rPr/>
      </w:pPr>
      <w:r>
        <w:rPr/>
      </w:r>
    </w:p>
    <w:p>
      <w:pPr>
        <w:pStyle w:val="TextBody"/>
        <w:bidi w:val="0"/>
        <w:spacing w:lineRule="auto" w:line="288" w:before="0" w:after="240"/>
        <w:ind w:left="0" w:right="0" w:hanging="10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Amendment; Governing Law; Jurisdiction</w:t>
      </w:r>
      <w:r>
        <w:rPr>
          <w:rFonts w:ascii="Times New Roman;serif" w:hAnsi="Times New Roman;serif"/>
          <w:b w:val="false"/>
          <w:color w:val="000000"/>
          <w:sz w:val="24"/>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0705"/>
                <wp:effectExtent l="0" t="0" r="0" b="0"/>
                <wp:wrapNone/>
                <wp:docPr id="74" name="Frame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1022"/>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Section 409A Compliance</w:t>
      </w:r>
      <w:r>
        <w:rPr>
          <w:rFonts w:ascii="Times New Roman;serif" w:hAnsi="Times New Roman;serif"/>
          <w:b w:val="false"/>
          <w:color w:val="000000"/>
          <w:sz w:val="24"/>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pStyle w:val="TextBody"/>
        <w:bidi w:val="0"/>
        <w:spacing w:lineRule="auto" w:line="288" w:before="0" w:after="240"/>
        <w:ind w:left="0" w:right="0" w:hanging="10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Plains All American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333 Clay Street, Suite 1600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Houston, Texas 77002</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Jim Tillis, VP - Human Resources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Telephone:    713-646-4173</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Facsimile:    713-646-4641</w:t>
      </w:r>
    </w:p>
    <w:p>
      <w:pPr>
        <w:pStyle w:val="TextBody"/>
        <w:bidi w:val="0"/>
        <w:spacing w:lineRule="auto" w:line="288" w:before="0" w:after="0"/>
        <w:ind w:left="0" w:right="0" w:firstLine="720"/>
        <w:jc w:val="both"/>
        <w:rPr/>
      </w:pPr>
      <w:r>
        <w:rPr>
          <w:rFonts w:ascii="Times New Roman;serif" w:hAnsi="Times New Roman;serif"/>
          <w:b w:val="false"/>
          <w:color w:val="000000"/>
          <w:sz w:val="22"/>
        </w:rPr>
        <w:t>E-mail:        jim.tillis@plains.com</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Plains All American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333 Clay Street, Suite 1600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Houston, Texas 77002</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Richard K. McGee, General Counsel</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Telephone:    713-652-3655</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E-mail:        Richard.mcgee@plains.com</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copy to:    corplegalnotices@plains.com</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0705"/>
                <wp:effectExtent l="0" t="0" r="0" b="0"/>
                <wp:wrapNone/>
                <wp:docPr id="75" name="Frame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Employee: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Greg L. Armstrong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Telephone:    [phone]</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Email:        greg.armstrong@plains.com</w:t>
      </w:r>
    </w:p>
    <w:p>
      <w:pPr>
        <w:pStyle w:val="TextBody"/>
        <w:bidi w:val="0"/>
        <w:spacing w:before="0" w:after="0"/>
        <w:ind w:left="0" w:right="0" w:firstLine="720"/>
        <w:jc w:val="both"/>
        <w:rPr/>
      </w:pPr>
      <w:r>
        <w:rPr/>
      </w:r>
    </w:p>
    <w:p>
      <w:pPr>
        <w:pStyle w:val="TextBody"/>
        <w:bidi w:val="0"/>
        <w:spacing w:lineRule="auto" w:line="288" w:before="0" w:after="0"/>
        <w:ind w:left="0" w:right="0" w:hanging="1022"/>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each of which shall be deemed to be an original, but all of which together will constitute one and the same Agreement.</w:t>
      </w:r>
    </w:p>
    <w:p>
      <w:pPr>
        <w:pStyle w:val="TextBody"/>
        <w:bidi w:val="0"/>
        <w:spacing w:before="0" w:after="0"/>
        <w:ind w:left="0" w:right="0" w:hanging="1022"/>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0705"/>
                <wp:effectExtent l="0" t="0" r="0" b="0"/>
                <wp:wrapNone/>
                <wp:docPr id="76" name="Frame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Effective Date.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Greg L. Armstrong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PLAINS ALL AMERICAN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Richard McGee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0705"/>
                <wp:effectExtent l="0" t="0" r="0" b="0"/>
                <wp:wrapNone/>
                <wp:docPr id="77" name="Frame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Execution Copy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Employment Agreement (“Agreement”), effective as of the date specified in Section 1 below, is by and between Plains All American GP LLC (the “Company”) and Harry N. Pefanis (“Pefanis” or the “Employee”). The Company and the Employee are at times referred to collectively as “the Parties.” For purposes of this Agreement, the term “Company Group” means Plains GP Holdings, L.P. (“PAGP”), PAA GP Holdings LLC (“GP Holdings”), the Company and all of the entities over which the Company has or exercises direct or indirect control, including Plains All American Pipeline, L.P. and its subsidiaries.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Pefanis is currently President of the Company and has served as an officer of the Company and its predecessors for over 25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Pefanis and the Company are parties to that certain Amended and Restated Employment Agreement dated as of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June, 2001, as modified by Waiver Agreements dated August 12, 2005, December 23, 2010 and October 21, 2013 and by Amendments dated December 4, 2008 and August 15, 2019 (as modified and amended, the “Prior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in connection with his planned retirement and as approved by the Board of Directors of GP Holdings (the “Board”) in connection with the Company’s long-term succession plan, effective as set forth herein Pefanis intends to (i) resign from his position as President of the Company and from any other positions he currently holds as an officer of any entities that are a part of the Company Group, and (ii) continue his employment with the Company as a Senior Advisor to the Chief Executive Officer (“CEO”)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Prior Agreement will terminate upon the resignation of Pefanis as President;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Pefanis desire to enter into this Agreement, which sets forth their mutual agreement and understanding related to the continued employment of Pefanis and certain related matters as set forth herein.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and conditions herein contained, the Parties agree as follows:</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 Prior Agreement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ind w:left="0" w:right="0" w:hanging="477"/>
        <w:jc w:val="both"/>
        <w:rPr>
          <w:rFonts w:ascii="Times New Roman;serif" w:hAnsi="Times New Roman;serif"/>
          <w:b w:val="false"/>
          <w:color w:val="000000"/>
          <w:sz w:val="24"/>
        </w:rPr>
      </w:pPr>
      <w:r>
        <w:rPr>
          <w:rFonts w:ascii="Times New Roman;serif" w:hAnsi="Times New Roman;serif"/>
          <w:b w:val="false"/>
          <w:color w:val="000000"/>
          <w:sz w:val="24"/>
        </w:rPr>
        <w:t xml:space="preserve">(a)Effective June 1, 2025 (the “Effective Date”) and subject to the terms hereof, Pefanis hereby (i) resigns his position as President of the Company and as an officer of all other entities that are part of the Company Group, and (ii) continues his employment with the Company as a Senior Advisor to the CEO. During the Term (as defined below), Pefanis agrees to devote such time and energy as may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be reasonably necessary to perform the duties and responsibilities requested by the CEO of the Company. </w:t>
      </w:r>
    </w:p>
    <w:p>
      <w:pPr>
        <w:pStyle w:val="TextBody"/>
        <w:bidi w:val="0"/>
        <w:spacing w:before="0" w:after="0"/>
        <w:jc w:val="both"/>
        <w:rPr/>
      </w:pPr>
      <w:r>
        <w:rPr/>
      </w:r>
    </w:p>
    <w:p>
      <w:pPr>
        <w:pStyle w:val="TextBody"/>
        <w:bidi w:val="0"/>
        <w:spacing w:lineRule="auto" w:line="288" w:before="0" w:after="0"/>
        <w:ind w:left="0" w:right="0" w:hanging="477"/>
        <w:jc w:val="both"/>
        <w:rPr>
          <w:rFonts w:ascii="Times New Roman;serif" w:hAnsi="Times New Roman;serif"/>
          <w:b w:val="false"/>
          <w:color w:val="000000"/>
          <w:sz w:val="24"/>
        </w:rPr>
      </w:pPr>
      <w:r>
        <w:rPr>
          <w:rFonts w:ascii="Times New Roman;serif" w:hAnsi="Times New Roman;serif"/>
          <w:b w:val="false"/>
          <w:color w:val="000000"/>
          <w:sz w:val="24"/>
        </w:rPr>
        <w:t xml:space="preserve">(b)The Parties acknowledge and agree that the Prior Agreement shall terminate upon the Effective Date and be of no further force and effect, and that this Agreement shall govern the duties, obligations and rights of the Parties with respect to Pefanis’ employment by the Company from and after June 1, 2025. </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The term of Pefanis’ employment with the Company pursuant to this Agreement (the “Term”) will commence on June 1, 2025 and will terminate on the date of the PAGP 2028 Annual Meeting; provided, however, that (a) Pefanis may terminate his employment with the Company as of any date prior to the date of the PAGP 2028 Annual Meeting by giving written notice to the Company at least two weeks prior to the effective date of such termination, (b) at the direction of the Board, the Company may terminate Pefanis’ employment with the Company as of any date prior to the date of the PAGP 2028 Annual Meeting by giving written notice to Pefanis at least two weeks prior to the effective date of such termination, and (c) Pefanis’ employment relationship with the Company shall automatically terminate in the event of his death. The date as of which the employment relationship terminates shall constitute the “Termination Date” for purposes hereof. </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(a)Commencing June 1, 2025, Pefanis shall be paid a monthly salary that equates with an annual payment of $325,000, payable semi-monthly in cash for so long as Pefanis is employed by the Company under the terms of this Agreement. During the Term, Pefanis shall remain eligible to participate in all employee benefit plans generally available to employees of the Company (including, without limitation, all health and medical benefit plans).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(b)Pefanis will be entitled to receive prompt reimbursement for all reasonable expenses, including travel and entertainment expenses, incurred by him during the Term in connection with (i) his service as Senior Advisor to the CEO as contemplated hereunder, (ii) his prior service as President of the Company pursuant to the Prior Agreement, and (iii) the provision by Pefanis of any assistance with litigation or investigations as contemplated by Section 6 hereof; it being specifically agreed that such reimbursement obligation shall cover and include any costs or expenses incurred by Pefanis for private aviation services associated with travel on Company related business. </w:t>
      </w:r>
    </w:p>
    <w:p>
      <w:pPr>
        <w:pStyle w:val="TextBody"/>
        <w:bidi w:val="0"/>
        <w:spacing w:lineRule="auto" w:line="288" w:before="120" w:after="283"/>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(c)The Company will provide Pefanis with a private office, parking space, electronic equipment, administrative support and such other facilities and services as reasonably necessary for Pefanis to adequately and efficiently perform services hereunder and that are comparable to similar services, support and facilities provided to Pefanis under the Prior Agreement; provided, however,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0705"/>
                <wp:effectExtent l="0" t="0" r="0" b="0"/>
                <wp:wrapNone/>
                <wp:docPr id="79" name="Frame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it is understood and agreed that the Company shall not be obligated to provide dedicated administrative support to Pefanis, but will provide non-dedicated administrative support to Pefanis as needed in connection with the performance of his duties hereunder. Within 30 days following the expiration of the Term, Pefanis shall return all keys, access badges and Company credit cards to the Company; provided, however, that Pefanis shall be entitled to retain any computers, iPhones, iPads, printers, monitors and similar Company issued equipment used by him in connection with this employment (with Company data and software to be removed by the Company).</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Indemnity</w:t>
      </w:r>
      <w:r>
        <w:rPr>
          <w:rFonts w:ascii="Times New Roman;serif" w:hAnsi="Times New Roman;serif"/>
          <w:b w:val="false"/>
          <w:color w:val="000000"/>
          <w:sz w:val="24"/>
        </w:rPr>
        <w:t>. Notwithstanding anything herein to the contrary, Pefanis shall remain a full beneficiary with respect to any obligation of any member of the Company Group (as such obligation exists as of the Effective Date with respect to active officers and employees of such member) to indemnify, keep well and hold harmless or similarly protect Pefanis against third-party claims.</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Confidentiality Obligations.</w:t>
      </w:r>
      <w:r>
        <w:rPr>
          <w:color w:val="000000"/>
        </w:rPr>
        <w:t xml:space="preserve"> </w:t>
      </w:r>
      <w:r>
        <w:rPr>
          <w:rFonts w:ascii="Times New Roman;serif" w:hAnsi="Times New Roman;serif"/>
          <w:b w:val="false"/>
          <w:color w:val="000000"/>
          <w:sz w:val="24"/>
        </w:rPr>
        <w:t>Pefanis acknowledges and agrees that the confidentiality and non-disclosure obligations set forth in Section 6 of the Prior Agreement are incorporated herein by reference and shall remain in full force and effect during the Term and for a period of one year following the Termination Date.</w:t>
      </w:r>
    </w:p>
    <w:p>
      <w:pPr>
        <w:pStyle w:val="TextBody"/>
        <w:bidi w:val="0"/>
        <w:spacing w:before="0" w:after="0"/>
        <w:jc w:val="both"/>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Cooperation with Litigation.</w:t>
      </w:r>
      <w:r>
        <w:rPr>
          <w:color w:val="000000"/>
        </w:rPr>
        <w:t xml:space="preserve"> </w:t>
      </w:r>
      <w:r>
        <w:rPr>
          <w:rFonts w:ascii="Times New Roman;serif" w:hAnsi="Times New Roman;serif"/>
          <w:b w:val="false"/>
          <w:color w:val="000000"/>
          <w:sz w:val="24"/>
        </w:rPr>
        <w:t xml:space="preserve">Pefanis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Pefanis. The Parties agree that Pefanis shall render the first 50 hours of assistance pursuant to this Section 6 in exchange for the consideration described in Section 3 hereof; provided, however, that with respect to any assistance provided by Pefanis pursuant to this Section 6 in excess of 50 hours, the Company and Pefanis shall agree upon reasonable and appropriate consideration to be paid by the Company to Pefanis. </w:t>
      </w:r>
    </w:p>
    <w:p>
      <w:pPr>
        <w:pStyle w:val="TextBody"/>
        <w:bidi w:val="0"/>
        <w:spacing w:before="0" w:after="0"/>
        <w:jc w:val="left"/>
        <w:rPr/>
      </w:pPr>
      <w:r>
        <w:rPr/>
      </w:r>
    </w:p>
    <w:p>
      <w:pPr>
        <w:pStyle w:val="TextBody"/>
        <w:bidi w:val="0"/>
        <w:spacing w:lineRule="auto" w:line="288" w:before="0" w:after="0"/>
        <w:ind w:left="0" w:right="0" w:hanging="10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COBRA Payments</w:t>
      </w:r>
      <w:r>
        <w:rPr>
          <w:rFonts w:ascii="Times New Roman;serif" w:hAnsi="Times New Roman;serif"/>
          <w:b w:val="false"/>
          <w:color w:val="000000"/>
          <w:sz w:val="24"/>
        </w:rPr>
        <w:t xml:space="preserve">. The Company will, after the Termination Date, reimburse Pefanis for all costs of maintaining health insurance benefits for Pefanis and his family under, and for the maximum time period allowed by, COBRA at such time; provided, however, that such reimbursement obligation shall not extend beyond the first to occur of (i) the first date on which both Pefanis and his spouse become eligible to receive benefits under Medicare, or (ii) the date that is 18 months following the Termination Date. </w:t>
      </w:r>
    </w:p>
    <w:p>
      <w:pPr>
        <w:pStyle w:val="TextBody"/>
        <w:bidi w:val="0"/>
        <w:spacing w:before="0" w:after="0"/>
        <w:jc w:val="both"/>
        <w:rPr/>
      </w:pPr>
      <w:r>
        <w:rPr/>
      </w:r>
    </w:p>
    <w:p>
      <w:pPr>
        <w:pStyle w:val="TextBody"/>
        <w:bidi w:val="0"/>
        <w:spacing w:lineRule="auto" w:line="288" w:before="0" w:after="240"/>
        <w:ind w:left="0" w:right="0" w:hanging="10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Amendment; Governing Law; Jurisdiction</w:t>
      </w:r>
      <w:r>
        <w:rPr>
          <w:rFonts w:ascii="Times New Roman;serif" w:hAnsi="Times New Roman;serif"/>
          <w:b w:val="false"/>
          <w:color w:val="000000"/>
          <w:sz w:val="24"/>
        </w:rPr>
        <w:t xml:space="preserve">.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0705"/>
                <wp:effectExtent l="0" t="0" r="0" b="0"/>
                <wp:wrapNone/>
                <wp:docPr id="80" name="Frame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pStyle w:val="TextBody"/>
        <w:bidi w:val="0"/>
        <w:spacing w:lineRule="auto" w:line="288" w:before="0" w:after="240"/>
        <w:ind w:left="0" w:right="0" w:hanging="1022"/>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Section 409A Compliance</w:t>
      </w:r>
      <w:r>
        <w:rPr>
          <w:rFonts w:ascii="Times New Roman;serif" w:hAnsi="Times New Roman;serif"/>
          <w:b w:val="false"/>
          <w:color w:val="000000"/>
          <w:sz w:val="24"/>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 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pStyle w:val="TextBody"/>
        <w:bidi w:val="0"/>
        <w:spacing w:lineRule="auto" w:line="288" w:before="0" w:after="240"/>
        <w:ind w:left="0" w:right="0" w:hanging="10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Notices</w:t>
      </w:r>
      <w:r>
        <w:rPr>
          <w:rFonts w:ascii="Times New Roman;serif" w:hAnsi="Times New Roman;serif"/>
          <w:b w:val="false"/>
          <w:color w:val="000000"/>
          <w:sz w:val="24"/>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Plains All American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333 Clay Street, Suite 1600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Houston, Texas 77002</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Jim Tillis, VP - Human Resources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Telephone:    713-646-4173</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Facsimile:    713-646-4641</w:t>
      </w:r>
    </w:p>
    <w:p>
      <w:pPr>
        <w:pStyle w:val="TextBody"/>
        <w:bidi w:val="0"/>
        <w:spacing w:lineRule="auto" w:line="288" w:before="0" w:after="0"/>
        <w:ind w:left="0" w:right="0" w:firstLine="720"/>
        <w:jc w:val="both"/>
        <w:rPr/>
      </w:pPr>
      <w:r>
        <w:rPr>
          <w:rFonts w:ascii="Times New Roman;serif" w:hAnsi="Times New Roman;serif"/>
          <w:b w:val="false"/>
          <w:color w:val="000000"/>
          <w:sz w:val="22"/>
        </w:rPr>
        <w:t>E-mail:        jim.tillis@plains.com</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copy 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Plains All American GP LLC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333 Clay Street, Suite 1600</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Houston, Texas 77002</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Attention: Richard K. McGee, General Counsel</w:t>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Telephone:    713-652-3655</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0705"/>
                <wp:effectExtent l="0" t="0" r="0" b="0"/>
                <wp:wrapNone/>
                <wp:docPr id="81" name="Frame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E-mail:        Richard.mcgee@plains.com</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copy to:    corplegalnotices@plains.com</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Employee: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Harry N. Pefanis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Telephone:    [phone]</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Email:        harry.pefanis@plains.com</w:t>
      </w:r>
    </w:p>
    <w:p>
      <w:pPr>
        <w:pStyle w:val="TextBody"/>
        <w:bidi w:val="0"/>
        <w:spacing w:before="0" w:after="0"/>
        <w:ind w:left="0" w:right="0" w:firstLine="720"/>
        <w:jc w:val="both"/>
        <w:rPr/>
      </w:pPr>
      <w:r>
        <w:rPr/>
      </w:r>
    </w:p>
    <w:p>
      <w:pPr>
        <w:pStyle w:val="TextBody"/>
        <w:bidi w:val="0"/>
        <w:spacing w:lineRule="auto" w:line="288" w:before="0" w:after="0"/>
        <w:ind w:left="0" w:right="0" w:hanging="1022"/>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each of which shall be deemed to be an original, but all of which together will constitute one and the same Agreement.</w:t>
      </w:r>
    </w:p>
    <w:p>
      <w:pPr>
        <w:pStyle w:val="TextBody"/>
        <w:bidi w:val="0"/>
        <w:spacing w:before="0" w:after="0"/>
        <w:ind w:left="0" w:right="0" w:hanging="1022"/>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82" name="Frame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Effective Date.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Harry N. Pefanis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PLAINS ALL AMERICAN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Richard McGee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144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60705"/>
                <wp:effectExtent l="0" t="0" r="0" b="0"/>
                <wp:wrapNone/>
                <wp:docPr id="83" name="Frame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center"/>
        <w:rPr/>
      </w:pPr>
      <w:r>
        <w:rPr/>
        <w:drawing>
          <wp:inline distT="0" distB="0" distL="0" distR="0">
            <wp:extent cx="2876550" cy="866775"/>
            <wp:effectExtent l="0" t="0" r="0" b="0"/>
            <wp:docPr id="8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 descr=""/>
                    <pic:cNvPicPr>
                      <a:picLocks noChangeAspect="1" noChangeArrowheads="1"/>
                    </pic:cNvPicPr>
                  </pic:nvPicPr>
                  <pic:blipFill>
                    <a:blip r:embed="rId68"/>
                    <a:stretch>
                      <a:fillRect/>
                    </a:stretch>
                  </pic:blipFill>
                  <pic:spPr bwMode="auto">
                    <a:xfrm>
                      <a:off x="0" y="0"/>
                      <a:ext cx="2876550" cy="86677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2025 Regular Annual LTIP Grant</w:t>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Section 16 Officers</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16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Grant of Phantom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«Salutation»: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1.Subject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a.50% of your Phantom Units (“Tranche 1”) will vest on the August 2028 Distribution Date.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b.25% of your Phantom Units (“Tranche 2”) will vest pursuant to the terms and conditions described in Exhibit A attached hereto.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c.25% of your Phantom Units (“Tranche 3”) will vest pursuant to the terms and conditions described in Exhibit B attached hereto. </w:t>
      </w:r>
    </w:p>
    <w:p>
      <w:pPr>
        <w:pStyle w:val="TextBody"/>
        <w:bidi w:val="0"/>
        <w:spacing w:lineRule="auto" w:line="288" w:before="0" w:after="20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d.Any Tranche 2 or Tranche 3 Phantom Units that are determined not to have vested as of the August 2028 Distribution Date shall expire effective as of such date.</w:t>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2.Subject to the further provisions hereof, your DERs shall vest (become payable in cash) as follows:</w:t>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a.The DERs associated with Tranche 1 will begin accruing on the November 2025 Distribution Date and will continue to accrue until the August 2026 Distribution Date, on which date such accrued but unpaid DERs will vest and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5" name="Frame8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80"/>
                                <w:sz w:val="20"/>
                              </w:rPr>
                            </w:pPr>
                            <w:r>
                              <w:rPr>
                                <w:rFonts w:ascii="Times New Roman;serif" w:hAnsi="Times New Roman;serif"/>
                                <w:b/>
                                <w:color w:val="000080"/>
                                <w:sz w:val="20"/>
                              </w:rPr>
                              <w:t>333 Clay Street, Suite 1600 (77002)     ■ P.O. Box 4648 ■ Houston, Texas 77210-4648 ■ 713-646-4100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80"/>
                          <w:sz w:val="20"/>
                        </w:rPr>
                      </w:pPr>
                      <w:r>
                        <w:rPr>
                          <w:rFonts w:ascii="Times New Roman;serif" w:hAnsi="Times New Roman;serif"/>
                          <w:b/>
                          <w:color w:val="000080"/>
                          <w:sz w:val="20"/>
                        </w:rPr>
                        <w:t>333 Clay Street, Suite 1600 (77002)     ■ P.O. Box 4648 ■ Houston, Texas 77210-4648 ■ 713-646-4100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 paid in a lump sum. Beginning on the November 2026 Distribution Date, such vested DERs will be paid quarterly until the associated Phantom Units vest or are forfeited pursuant to the terms hereof.</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b.The DERs associated with Tranches 2 and 3 will begin accruing on the November 2025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2025 Distribution Date. Unless the Phantom Units subject to this award are forfeited or vest prior to the August 2028 Distribution Date pursuant to paragraphs 5, 6, 7 or 8 below, all accrued and unpaid DERs associated with Tranche 2 and Tranche 3 shall be paid on the August 2028 Distribution Date or as soon thereafter as is administratively practicable. </w:t>
      </w:r>
    </w:p>
    <w:p>
      <w:pPr>
        <w:pStyle w:val="TextBody"/>
        <w:bidi w:val="0"/>
        <w:spacing w:before="0" w:after="0"/>
        <w:jc w:val="both"/>
        <w:rPr/>
      </w:pPr>
      <w:r>
        <w:rPr/>
      </w:r>
    </w:p>
    <w:p>
      <w:pPr>
        <w:pStyle w:val="TextBody"/>
        <w:bidi w:val="0"/>
        <w:spacing w:lineRule="auto" w:line="288" w:before="0" w:after="0"/>
        <w:ind w:left="0" w:right="0" w:hanging="480"/>
        <w:jc w:val="both"/>
        <w:rPr>
          <w:rFonts w:ascii="Times New Roman;serif" w:hAnsi="Times New Roman;serif"/>
          <w:b w:val="false"/>
          <w:color w:val="000000"/>
          <w:sz w:val="24"/>
        </w:rPr>
      </w:pPr>
      <w:r>
        <w:rPr>
          <w:rFonts w:ascii="Times New Roman;serif" w:hAnsi="Times New Roman;serif"/>
          <w:b w:val="false"/>
          <w:color w:val="000000"/>
          <w:sz w:val="24"/>
        </w:rPr>
        <w:t xml:space="preserve">3.The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 </w:t>
      </w:r>
    </w:p>
    <w:p>
      <w:pPr>
        <w:pStyle w:val="TextBody"/>
        <w:bidi w:val="0"/>
        <w:spacing w:before="0" w:after="0"/>
        <w:jc w:val="left"/>
        <w:rPr/>
      </w:pPr>
      <w:r>
        <w:rPr/>
      </w:r>
    </w:p>
    <w:p>
      <w:pPr>
        <w:pStyle w:val="TextBody"/>
        <w:bidi w:val="0"/>
        <w:spacing w:lineRule="auto" w:line="288" w:before="0" w:after="0"/>
        <w:ind w:left="0" w:right="0" w:hanging="480"/>
        <w:jc w:val="both"/>
        <w:rPr>
          <w:rFonts w:ascii="Times New Roman;serif" w:hAnsi="Times New Roman;serif"/>
          <w:b w:val="false"/>
          <w:color w:val="000000"/>
          <w:sz w:val="24"/>
        </w:rPr>
      </w:pPr>
      <w:r>
        <w:rPr>
          <w:rFonts w:ascii="Times New Roman;serif" w:hAnsi="Times New Roman;serif"/>
          <w:b w:val="false"/>
          <w:color w:val="000000"/>
          <w:sz w:val="24"/>
        </w:rPr>
        <w:t xml:space="preserve">4.Upon vesting of any Phantom Units, an equivalent number of DERs will expire. Any such DERs that are payable on the Distribution Date on which the Phantom Units vest, shall be payable on such Distribution Date prior to their expiration. </w:t>
      </w:r>
    </w:p>
    <w:p>
      <w:pPr>
        <w:pStyle w:val="TextBody"/>
        <w:bidi w:val="0"/>
        <w:spacing w:before="0" w:after="0"/>
        <w:jc w:val="left"/>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5.In the event of the termination of your employment with the Company and its Affiliates for any reason (other than in connection with a Change in Status, Retirement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2028 Distribution Date (1,096). If the resulting amount includes a fraction, it will be rounded down to the nearest whole number.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6.In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7.In the event of a Change in Status, (i) all of your then outstanding Phantom Units (which shall be equal to the target number of Phantom Units specified in the first paragraph hereof, except that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 </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8.In the event of the termination of your employment with the Company and its Affiliates due to your Retirement,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 “Retirement” means termination from full-time employment on terms and timing as approved by the CEO (or by the Board in the case of the CEO).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 </w:t>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phrase “Change of Control” means, and shall be deemed to have occurred upon the occurrence of, one or more of the following events:</w:t>
      </w:r>
    </w:p>
    <w:p>
      <w:pPr>
        <w:pStyle w:val="TextBody"/>
        <w:bidi w:val="0"/>
        <w:spacing w:before="0" w:after="0"/>
        <w:ind w:left="0" w:right="0" w:firstLine="720"/>
        <w:jc w:val="both"/>
        <w:rPr/>
      </w:pPr>
      <w:r>
        <w:rPr/>
      </w:r>
    </w:p>
    <w:p>
      <w:pPr>
        <w:pStyle w:val="TextBody"/>
        <w:bidi w:val="0"/>
        <w:spacing w:lineRule="auto" w:line="288" w:before="0" w:after="0"/>
        <w:ind w:left="0" w:right="0" w:hanging="1032"/>
        <w:jc w:val="both"/>
        <w:rPr/>
      </w:pPr>
      <w:r>
        <w:rPr>
          <w:rFonts w:ascii="Times New Roman;serif" w:hAnsi="Times New Roman;serif"/>
          <w:b w:val="false"/>
          <w:color w:val="000000"/>
          <w:sz w:val="24"/>
        </w:rPr>
        <w:t>(i)any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serif" w:hAnsi="Times New Roman;serif"/>
          <w:b w:val="false"/>
          <w:color w:val="000000"/>
          <w:sz w:val="16"/>
        </w:rPr>
        <w:t>1</w:t>
      </w:r>
      <w:r>
        <w:rPr>
          <w:rFonts w:ascii="Times New Roman;serif" w:hAnsi="Times New Roman;serif"/>
          <w:b w:val="false"/>
          <w:color w:val="000000"/>
          <w:sz w:val="24"/>
        </w:rPr>
        <w:t>;</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(ii)any Person (other than PAGP GP, PAGP or any affiliate of PAGP that is controlled by PAGP) acquires (in one transaction or a series of related transactions and whether by merger or otherwise) direct or indirect control of the general partner interest of PAGP;</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(iii)PAGP ceases to retain direct or indirect control (in one transaction or a series of related transactions and whether by merger or otherwise) of the general partner of the Partnership; or</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 xml:space="preserve">(iv)the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used in this definition, “Person” shall include any “partnership, limited partnership, syndicate or other group” constituting a “person” within the meaning of such terms pursuant to Sections 13(d) and 14(d) of the Securities Exchange Act of 1934, as amended.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Terms used herein that are not defined herein shall have the meanings set forth in the Plan or, if not defined in the Plan, in the Seventh Amended and Restated Agreement of Limited Partnership of Plains All American Pipeline, L.P., as amended (the “Partnership Agreement”). </w:t>
      </w:r>
    </w:p>
    <w:p>
      <w:pPr>
        <w:pStyle w:val="TextBody"/>
        <w:bidi w:val="0"/>
        <w:spacing w:lineRule="auto" w:line="28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4"/>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signing below, you agree that the Phantom Units and DERs granted hereunder are governed by the terms of the Plan. You also acknowledge and agree that (i) Tranches 2 and 3 of this award constitute Incentive-Based Compensation and Performance-Based Compensation as defined in the Amended and Restated Clawback Policy adopted by PAGP GP on November 16, 2023, as it may be amended from time to time, and (ii) this award, as well as any other performance-based or time-based compensation previously paid or awarded to you, is subject to recovery or cancellation pursuant to such Policy. Copies of the Plan, the Partnership Agreement and the Clawback Policy are available upon request.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16 Officer»</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pStyle w:val="TextBody"/>
        <w:bidi w:val="0"/>
        <w:spacing w:before="0" w:after="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PLAINS ALL AMERICAN PIPELINE, L.P.</w: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PAA GP LLC, its general partner</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PLAINS AAP, L.P., its sole member</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By:    PLAINS ALL AMERICAN GP LLC, </w:t>
        <w:br/>
        <w:t>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Jim Tillis</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Vice President – Human Resources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145" w:type="dxa"/>
        <w:jc w:val="left"/>
        <w:tblInd w:w="0" w:type="dxa"/>
        <w:tblLayout w:type="fixed"/>
        <w:tblCellMar>
          <w:top w:w="28" w:type="dxa"/>
          <w:left w:w="28" w:type="dxa"/>
          <w:bottom w:w="28" w:type="dxa"/>
          <w:right w:w="28" w:type="dxa"/>
        </w:tblCellMar>
      </w:tblPr>
      <w:tblGrid>
        <w:gridCol w:w="686"/>
        <w:gridCol w:w="604"/>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«Section 16 Officer»</w:t>
            </w:r>
          </w:p>
        </w:tc>
      </w:tr>
    </w:tbl>
    <w:p>
      <w:pPr>
        <w:pStyle w:val="TextBody"/>
        <w:bidi w:val="0"/>
        <w:spacing w:before="0" w:after="0"/>
        <w:jc w:val="left"/>
        <w:rPr/>
      </w:pPr>
      <w:r>
        <w:rPr/>
      </w:r>
    </w:p>
    <w:tbl>
      <w:tblPr>
        <w:tblW w:w="4920" w:type="dxa"/>
        <w:jc w:val="left"/>
        <w:tblInd w:w="0" w:type="dxa"/>
        <w:tblLayout w:type="fixed"/>
        <w:tblCellMar>
          <w:top w:w="28" w:type="dxa"/>
          <w:left w:w="28" w:type="dxa"/>
          <w:bottom w:w="28" w:type="dxa"/>
          <w:right w:w="28" w:type="dxa"/>
        </w:tblCellMar>
      </w:tblPr>
      <w:tblGrid>
        <w:gridCol w:w="1217"/>
        <w:gridCol w:w="1070"/>
        <w:gridCol w:w="1073"/>
        <w:gridCol w:w="457"/>
        <w:gridCol w:w="457"/>
        <w:gridCol w:w="646"/>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Target Number of Phantom Units:</w:t>
            </w:r>
          </w:p>
        </w:tc>
        <w:tc>
          <w:tcPr>
            <w:tcW w:w="15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«LTIP_Grant»</w:t>
            </w:r>
          </w:p>
        </w:tc>
      </w:tr>
    </w:tbl>
    <w:p>
      <w:pPr>
        <w:pStyle w:val="TextBody"/>
        <w:bidi w:val="0"/>
        <w:spacing w:before="0" w:after="0"/>
        <w:jc w:val="left"/>
        <w:rPr/>
      </w:pPr>
      <w:r>
        <w:rPr/>
      </w:r>
    </w:p>
    <w:tbl>
      <w:tblPr>
        <w:tblW w:w="1122" w:type="dxa"/>
        <w:jc w:val="left"/>
        <w:tblInd w:w="0" w:type="dxa"/>
        <w:tblLayout w:type="fixed"/>
        <w:tblCellMar>
          <w:top w:w="28" w:type="dxa"/>
          <w:left w:w="28" w:type="dxa"/>
          <w:bottom w:w="28" w:type="dxa"/>
          <w:right w:w="28" w:type="dxa"/>
        </w:tblCellMar>
      </w:tblPr>
      <w:tblGrid>
        <w:gridCol w:w="271"/>
        <w:gridCol w:w="239"/>
        <w:gridCol w:w="240"/>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Dated:</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Beneficiary Designation</w:t>
      </w:r>
    </w:p>
    <w:tbl>
      <w:tblPr>
        <w:tblW w:w="6824" w:type="dxa"/>
        <w:jc w:val="left"/>
        <w:tblInd w:w="0" w:type="dxa"/>
        <w:tblLayout w:type="fixed"/>
        <w:tblCellMar>
          <w:top w:w="28" w:type="dxa"/>
          <w:left w:w="28" w:type="dxa"/>
          <w:bottom w:w="28" w:type="dxa"/>
          <w:right w:w="28" w:type="dxa"/>
        </w:tblCellMar>
      </w:tblPr>
      <w:tblGrid>
        <w:gridCol w:w="1053"/>
        <w:gridCol w:w="926"/>
        <w:gridCol w:w="930"/>
        <w:gridCol w:w="430"/>
        <w:gridCol w:w="430"/>
        <w:gridCol w:w="431"/>
        <w:gridCol w:w="766"/>
        <w:gridCol w:w="766"/>
        <w:gridCol w:w="10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Primary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Secondary Beneficiary Name</w:t>
            </w:r>
          </w:p>
        </w:tc>
        <w:tc>
          <w:tcPr>
            <w:tcW w:w="1291"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Check this box only if this beneficiary designation does not apply to prior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Tranche 2 Vesting Terms</w:t>
        <w:br/>
        <w:t>(Total Shareholder Return)</w:t>
      </w:r>
    </w:p>
    <w:p>
      <w:pPr>
        <w:pStyle w:val="TextBody"/>
        <w:bidi w:val="0"/>
        <w:spacing w:before="0" w:after="0"/>
        <w:jc w:val="center"/>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u w:val="single"/>
        </w:rPr>
        <w:t>General</w:t>
      </w:r>
      <w:r>
        <w:rPr>
          <w:rFonts w:ascii="Times New Roman;serif" w:hAnsi="Times New Roman;serif"/>
          <w:b w:val="false"/>
          <w:color w:val="000000"/>
          <w:sz w:val="20"/>
        </w:rPr>
        <w:t>. Consistent with the Company’s pay for performance philosophy and in order to more closely align the interests of management with the 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pStyle w:val="TextBody"/>
        <w:bidi w:val="0"/>
        <w:spacing w:lineRule="auto" w:line="288" w:before="0" w:after="120"/>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u w:val="single"/>
        </w:rPr>
        <w:t>Vesting and Payout</w:t>
      </w:r>
      <w:r>
        <w:rPr>
          <w:rFonts w:ascii="Times New Roman;serif" w:hAnsi="Times New Roman;serif"/>
          <w:b w:val="false"/>
          <w:color w:val="000000"/>
          <w:sz w:val="20"/>
        </w:rPr>
        <w:t>. As soon as administratively feasible following the close of the three-year period ending on June 30, 2028 (the “Performance 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pStyle w:val="TextBody"/>
        <w:bidi w:val="0"/>
        <w:spacing w:before="0" w:after="0"/>
        <w:jc w:val="left"/>
        <w:rPr/>
      </w:pPr>
      <w:r>
        <w:rPr/>
      </w:r>
    </w:p>
    <w:tbl>
      <w:tblPr>
        <w:tblW w:w="4650" w:type="dxa"/>
        <w:jc w:val="left"/>
        <w:tblInd w:w="0" w:type="dxa"/>
        <w:tblLayout w:type="fixed"/>
        <w:tblCellMar>
          <w:top w:w="28" w:type="dxa"/>
          <w:left w:w="28" w:type="dxa"/>
          <w:bottom w:w="28" w:type="dxa"/>
          <w:right w:w="28" w:type="dxa"/>
        </w:tblCellMar>
      </w:tblPr>
      <w:tblGrid>
        <w:gridCol w:w="1242"/>
        <w:gridCol w:w="1094"/>
        <w:gridCol w:w="1099"/>
        <w:gridCol w:w="356"/>
        <w:gridCol w:w="356"/>
        <w:gridCol w:w="503"/>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PAA TSR Ranking vs. PAA Peer Group</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TSR Payout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4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2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Illustrative Examples (based on an assumed target number of Tranche 2 Phantom Units of 1,000):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A-A-1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1"/>
        <w:gridCol w:w="1120"/>
        <w:gridCol w:w="1125"/>
        <w:gridCol w:w="1961"/>
        <w:gridCol w:w="1956"/>
        <w:gridCol w:w="2772"/>
      </w:tblGrid>
      <w:tr>
        <w:trPr/>
        <w:tc>
          <w:tcPr>
            <w:tcW w:w="127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PAA TSR Ranking vs. PAA Peer Group</w:t>
            </w:r>
          </w:p>
        </w:tc>
        <w:tc>
          <w:tcPr>
            <w:tcW w:w="66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TSR Payout Percentage / Number of Units Vesting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(impact of negative absolute TSR)</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200% / 2,000 units</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150% / 1,500 units </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#4, but PAA’s absolute TSR is less than 0%</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125% / 1,250 units (TSR Payout Percentage reduced by 25 gross percentage points)</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117% / 1,170 units</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 but PAA’s absolute TSR is less than 0%</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100% / 1,000 units (TSR Payout Percentage reduced from 117% to 100%)</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100% / 1,000 units (performance at Target)</w:t>
            </w:r>
          </w:p>
        </w:tc>
      </w:tr>
      <w:tr>
        <w:trPr/>
        <w:tc>
          <w:tcPr>
            <w:tcW w:w="35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668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50% / 500 units</w:t>
            </w:r>
          </w:p>
        </w:tc>
      </w:tr>
      <w:tr>
        <w:trPr/>
        <w:tc>
          <w:tcPr>
            <w:tcW w:w="35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668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0% / 0 units</w:t>
            </w:r>
          </w:p>
        </w:tc>
      </w:tr>
    </w:tbl>
    <w:p>
      <w:pPr>
        <w:pStyle w:val="TextBody"/>
        <w:bidi w:val="0"/>
        <w:spacing w:before="0" w:after="0"/>
        <w:jc w:val="left"/>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u w:val="single"/>
        </w:rPr>
        <w:t>PAA Peer Group (2025-2028 Performance Period)</w:t>
      </w:r>
      <w:r>
        <w:rPr>
          <w:rFonts w:ascii="Times New Roman;serif" w:hAnsi="Times New Roman;serif"/>
          <w:b w:val="false"/>
          <w:color w:val="000000"/>
          <w:sz w:val="20"/>
        </w:rPr>
        <w:t>:</w:t>
      </w:r>
    </w:p>
    <w:p>
      <w:pPr>
        <w:pStyle w:val="TextBody"/>
        <w:bidi w:val="0"/>
        <w:spacing w:before="0" w:after="0"/>
        <w:jc w:val="left"/>
        <w:rPr/>
      </w:pPr>
      <w:r>
        <w:rPr/>
      </w:r>
    </w:p>
    <w:tbl>
      <w:tblPr>
        <w:tblW w:w="3510" w:type="dxa"/>
        <w:jc w:val="left"/>
        <w:tblInd w:w="0" w:type="dxa"/>
        <w:tblLayout w:type="fixed"/>
        <w:tblCellMar>
          <w:top w:w="28" w:type="dxa"/>
          <w:left w:w="28" w:type="dxa"/>
          <w:bottom w:w="28" w:type="dxa"/>
          <w:right w:w="28" w:type="dxa"/>
        </w:tblCellMar>
      </w:tblPr>
      <w:tblGrid>
        <w:gridCol w:w="1004"/>
        <w:gridCol w:w="882"/>
        <w:gridCol w:w="888"/>
        <w:gridCol w:w="215"/>
        <w:gridCol w:w="215"/>
        <w:gridCol w:w="30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Company Name</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Ticker</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Products Partners LP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EPD</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Kinder Morgan Inc.</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KMI</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The Williams Companies Inc.</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WMB</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MPLX LP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MPLX</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Energy Transfer LP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ET</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ONEOK Inc.</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OKE</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Genesis Energy LP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GEL</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Targa Resources Corp.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TRGP</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Western Midstream Partners LP</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WES</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Kinetic Holdings Inc.</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KNTK</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Alerian Midstream Energy Index</w:t>
            </w:r>
          </w:p>
        </w:tc>
        <w:tc>
          <w:tcPr>
            <w:tcW w:w="73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AMNA</w:t>
            </w:r>
          </w:p>
        </w:tc>
      </w:tr>
      <w:tr>
        <w:trPr/>
        <w:tc>
          <w:tcPr>
            <w:tcW w:w="277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736"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SPX</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 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Tranche 3 Vesting Terms</w:t>
        <w:br/>
        <w:t>(Cumulative DCF with Leverage Modifier)</w:t>
      </w:r>
    </w:p>
    <w:p>
      <w:pPr>
        <w:pStyle w:val="TextBody"/>
        <w:bidi w:val="0"/>
        <w:spacing w:before="0" w:after="0"/>
        <w:jc w:val="center"/>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u w:val="single"/>
        </w:rPr>
        <w:t>General</w:t>
      </w:r>
      <w:r>
        <w:rPr>
          <w:rFonts w:ascii="Times New Roman;serif" w:hAnsi="Times New Roman;serif"/>
          <w:b w:val="false"/>
          <w:color w:val="000000"/>
          <w:sz w:val="20"/>
        </w:rPr>
        <w:t>. Consistent with the Company’s pay for performance philosophy and in order to more closely align the interests of management with the 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pStyle w:val="TextBody"/>
        <w:bidi w:val="0"/>
        <w:spacing w:lineRule="auto" w:line="288" w:before="0" w:after="120"/>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u w:val="single"/>
        </w:rPr>
        <w:t>Vesting and Payout</w:t>
      </w:r>
      <w:r>
        <w:rPr>
          <w:rFonts w:ascii="Times New Roman;serif" w:hAnsi="Times New Roman;serif"/>
          <w:b w:val="false"/>
          <w:color w:val="000000"/>
          <w:sz w:val="20"/>
        </w:rPr>
        <w:t>. As soon as administratively feasible following the close of the three-year period ending on June 30, 2028 (the “Performance 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 “Leverage Modifier”) if PAA’s “Leverage Ratio”</w:t>
      </w:r>
      <w:r>
        <w:rPr>
          <w:color w:val="000000"/>
        </w:rPr>
        <w:t xml:space="preserve"> </w:t>
      </w:r>
      <w:r>
        <w:rPr>
          <w:rFonts w:ascii="Times New Roman;serif" w:hAnsi="Times New Roman;serif"/>
          <w:b w:val="false"/>
          <w:color w:val="000000"/>
          <w:sz w:val="20"/>
        </w:rPr>
        <w:t>(long-term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2028 is higher than the Leverage Ratio that equals the upper end of PAA’s then applicable target Leverage Ratio range (the “Threshold Leverage Ratio”) (such range is 2.5x to 3.0x as of the date hereof); if PAA’s Leverage Ratio as of June 30, 2028 is equal to or lower than the Threshold Leverage Ratio, there will be no adjustment to the DCF Payout Percentage.</w:t>
      </w:r>
    </w:p>
    <w:p>
      <w:pPr>
        <w:pStyle w:val="TextBody"/>
        <w:bidi w:val="0"/>
        <w:spacing w:before="0" w:after="0"/>
        <w:ind w:left="0" w:right="0" w:firstLine="720"/>
        <w:jc w:val="left"/>
        <w:rPr/>
      </w:pPr>
      <w:r>
        <w:rPr/>
      </w:r>
    </w:p>
    <w:tbl>
      <w:tblPr>
        <w:tblW w:w="7065" w:type="dxa"/>
        <w:jc w:val="left"/>
        <w:tblInd w:w="0" w:type="dxa"/>
        <w:tblLayout w:type="fixed"/>
        <w:tblCellMar>
          <w:top w:w="28" w:type="dxa"/>
          <w:left w:w="28" w:type="dxa"/>
          <w:bottom w:w="28" w:type="dxa"/>
          <w:right w:w="28" w:type="dxa"/>
        </w:tblCellMar>
      </w:tblPr>
      <w:tblGrid>
        <w:gridCol w:w="1772"/>
        <w:gridCol w:w="1557"/>
        <w:gridCol w:w="1561"/>
        <w:gridCol w:w="637"/>
        <w:gridCol w:w="637"/>
        <w:gridCol w:w="901"/>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Cumulative DCF Per CUE Over the Performance Period</w:t>
            </w:r>
          </w:p>
        </w:tc>
        <w:tc>
          <w:tcPr>
            <w:tcW w:w="217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DCF Payout Percentage</w:t>
            </w:r>
          </w:p>
        </w:tc>
      </w:tr>
      <w:tr>
        <w:trPr/>
        <w:tc>
          <w:tcPr>
            <w:tcW w:w="48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$9.24 (110% of target)</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$9.03</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$8.61</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489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$8.40 (target)</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$7.98</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89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$7.56 (90% of target)</w:t>
            </w:r>
          </w:p>
        </w:tc>
        <w:tc>
          <w:tcPr>
            <w:tcW w:w="21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Note: Both the cumulative DCF per CUE targets set forth in the table above and the initial Threshold Leverage Ratio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cumulative DCF per CUE target for the Performance Period as set forth in the table above will be adjusted downward to account for the loss of earnings assumed in the Grant Date Plan for any divested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B-B-1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net of avoided interest expense allocable to the divested assets (calculated based on an assumption that 100% of the net sales proceeds from such divestitures are used to reduce debt);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(b)with respect to any divested assets that were included as divestitures in the Grant Date Plan, the Threshold Leverage Ratio target will be adjusted to reflect the leverage impact of any such divested assets based on the assumptions originally set forth in the Grant Date Plan.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(including, without limitation, transactions involving changes to the Company’s capital structure).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Illustrative Examples (based on an assumed target number of Tranche 3 Phantom Units of 1,000 and based on an assumed Threshold Leverage Ratio of 3.0x, which is the Leverage Ratio that is equal to the upper end of PAA’s current target Leverage Ratio range of 2.5x to 3.0x):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95"/>
        <w:gridCol w:w="1138"/>
        <w:gridCol w:w="1141"/>
        <w:gridCol w:w="718"/>
        <w:gridCol w:w="718"/>
        <w:gridCol w:w="720"/>
        <w:gridCol w:w="1328"/>
        <w:gridCol w:w="1302"/>
        <w:gridCol w:w="1845"/>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PAA Cumulative DCF per CUE Over the Performance Period</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Leverage Ratio as of June 30, 2028</w:t>
            </w:r>
          </w:p>
        </w:tc>
        <w:tc>
          <w:tcPr>
            <w:tcW w:w="44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DCF Payout Percentage / Number of Units Vesting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(Impact of Leverage Modifier)</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$9.24</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3.0x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200% / 2,000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$9.24</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3.1x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175% / 1,750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$8.40</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3.0x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100% / 1,000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$8.40</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3.1x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75% / 750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3.0x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25% / 250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3.1x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0% / 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2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3.0x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0% / 0 units (DCF Payout Percentage equal to zero based on DCF performance)</w:t>
            </w:r>
          </w:p>
        </w:tc>
      </w:tr>
      <w:tr>
        <w:trPr/>
        <w:tc>
          <w:tcPr>
            <w:tcW w:w="35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215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0"/>
              </w:rPr>
            </w:pPr>
            <w:r>
              <w:rPr>
                <w:rFonts w:ascii="Times New Roman;serif" w:hAnsi="Times New Roman;serif"/>
                <w:b w:val="false"/>
                <w:color w:val="000000"/>
                <w:sz w:val="20"/>
              </w:rPr>
              <w:t>3.1x</w:t>
            </w:r>
          </w:p>
        </w:tc>
        <w:tc>
          <w:tcPr>
            <w:tcW w:w="447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0% / 0 units (DCF Payout Percentage equal to zero based on DCF performance)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0"/>
        <w:jc w:val="center"/>
        <w:rPr/>
      </w:pPr>
      <w:r>
        <w:rPr/>
        <w:drawing>
          <wp:inline distT="0" distB="0" distL="0" distR="0">
            <wp:extent cx="2562225" cy="619125"/>
            <wp:effectExtent l="0" t="0" r="0" b="0"/>
            <wp:docPr id="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 descr=""/>
                    <pic:cNvPicPr>
                      <a:picLocks noChangeAspect="1" noChangeArrowheads="1"/>
                    </pic:cNvPicPr>
                  </pic:nvPicPr>
                  <pic:blipFill>
                    <a:blip r:embed="rId69"/>
                    <a:stretch>
                      <a:fillRect/>
                    </a:stretch>
                  </pic:blipFill>
                  <pic:spPr bwMode="auto">
                    <a:xfrm>
                      <a:off x="0" y="0"/>
                      <a:ext cx="2562225" cy="619125"/>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2025 ANNUAL DIRECTOR GRANT</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«FirstName» «LastName»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«City», «State» «Zip»</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Grant of Phantom Class A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«Salutation»: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am pleased to inform you that you have been granted 7,400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1.Subject to the further provisions of this Agreement, your Phantom Class A Shares shall vest (become payable in the form of one Class A Share of PAGP for each Phantom Class A Share that vests) on the August 2026 Distribution Date.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2.Subject to the further provisions of this Agreement, your DERs shall be payable in cash substantially contemporaneously with each Distribution Date.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3.Immediately after the vesting of any Phantom Class A Shares, an equal number of DERs shall expire.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4.Upon any forfeiture of Phantom Class A Shares, an equal number of DERs shall expire.</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5.In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«FirstName» «LastName»    - 2 -    August 14, 2025</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18185"/>
                <wp:effectExtent l="0" t="0" r="0" b="0"/>
                <wp:wrapNone/>
                <wp:docPr id="97" name="Frame9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pPr>
                            <w:r>
                              <w:rPr>
                                <w:rFonts w:ascii="Times New Roman;serif" w:hAnsi="Times New Roman;serif"/>
                                <w:b w:val="false"/>
                                <w:color w:val="000080"/>
                                <w:sz w:val="22"/>
                              </w:rPr>
                              <w:t xml:space="preserve">333 Clay Street, Suite 1600 </w:t>
                            </w:r>
                            <w:r>
                              <w:rPr>
                                <w:rFonts w:ascii="Wingdings;sans-serif" w:hAnsi="Wingdings;sans-serif"/>
                                <w:b w:val="false"/>
                                <w:color w:val="0A2299"/>
                                <w:sz w:val="18"/>
                              </w:rPr>
                              <w:t xml:space="preserve">n </w:t>
                            </w:r>
                            <w:r>
                              <w:rPr>
                                <w:rFonts w:ascii="Times New Roman;serif" w:hAnsi="Times New Roman;serif"/>
                                <w:b w:val="false"/>
                                <w:color w:val="000080"/>
                                <w:sz w:val="22"/>
                              </w:rPr>
                              <w:t xml:space="preserve">Houston, Texas 77002 </w:t>
                            </w:r>
                            <w:r>
                              <w:rPr>
                                <w:rFonts w:ascii="Wingdings;sans-serif" w:hAnsi="Wingdings;sans-serif"/>
                                <w:b w:val="false"/>
                                <w:color w:val="0A2299"/>
                                <w:sz w:val="18"/>
                              </w:rPr>
                              <w:t xml:space="preserve">n </w:t>
                            </w:r>
                            <w:r>
                              <w:rPr>
                                <w:rFonts w:ascii="Times New Roman;serif" w:hAnsi="Times New Roman;serif"/>
                                <w:b w:val="false"/>
                                <w:color w:val="000080"/>
                                <w:sz w:val="22"/>
                              </w:rPr>
                              <w:t>713/646-4100 or 800-564-3036</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80"/>
                          <w:sz w:val="22"/>
                        </w:rPr>
                        <w:t xml:space="preserve">333 Clay Street, Suite 1600 </w:t>
                      </w:r>
                      <w:r>
                        <w:rPr>
                          <w:rFonts w:ascii="Wingdings;sans-serif" w:hAnsi="Wingdings;sans-serif"/>
                          <w:b w:val="false"/>
                          <w:color w:val="0A2299"/>
                          <w:sz w:val="18"/>
                        </w:rPr>
                        <w:t xml:space="preserve">n </w:t>
                      </w:r>
                      <w:r>
                        <w:rPr>
                          <w:rFonts w:ascii="Times New Roman;serif" w:hAnsi="Times New Roman;serif"/>
                          <w:b w:val="false"/>
                          <w:color w:val="000080"/>
                          <w:sz w:val="22"/>
                        </w:rPr>
                        <w:t xml:space="preserve">Houston, Texas 77002 </w:t>
                      </w:r>
                      <w:r>
                        <w:rPr>
                          <w:rFonts w:ascii="Wingdings;sans-serif" w:hAnsi="Wingdings;sans-serif"/>
                          <w:b w:val="false"/>
                          <w:color w:val="0A2299"/>
                          <w:sz w:val="18"/>
                        </w:rPr>
                        <w:t xml:space="preserve">n </w:t>
                      </w:r>
                      <w:r>
                        <w:rPr>
                          <w:rFonts w:ascii="Times New Roman;serif" w:hAnsi="Times New Roman;serif"/>
                          <w:b w:val="false"/>
                          <w:color w:val="000080"/>
                          <w:sz w:val="22"/>
                        </w:rPr>
                        <w:t>713/646-4100 or 800-564-3036</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7.For the avoidance of doubt, to the extent the expiration of a DER relates to the vesting of a Phantom Class A Share on a Distribution Date, the intent is for the DER to be paid with respect to such Distribution Date before the DER expires.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 </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«FirstName» «LastName»    - 3 -    August 14, 2025</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designate in the space provided below a beneficiary to receive benefits payable under this a grant in the event of your death. In addition, please execute and return a copy of this grant letter to me and retain a copy for your records.</w:t>
      </w:r>
    </w:p>
    <w:p>
      <w:pPr>
        <w:pStyle w:val="TextBody"/>
        <w:bidi w:val="0"/>
        <w:spacing w:before="0" w:after="0"/>
        <w:jc w:val="both"/>
        <w:rPr/>
      </w:pPr>
      <w:r>
        <w:rPr/>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PLAINS GP HOLDINGS, L.P.</w: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PAA GP HOLDINGS LLC</w:t>
      </w:r>
    </w:p>
    <w:p>
      <w:pPr>
        <w:pStyle w:val="TextBody"/>
        <w:bidi w:val="0"/>
        <w:spacing w:before="0" w:after="0"/>
        <w:ind w:left="0" w:right="0" w:firstLine="432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Name:    Richard McGee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«FirstName» «LastName»</w:t>
      </w:r>
    </w:p>
    <w:p>
      <w:pPr>
        <w:pStyle w:val="TextBody"/>
        <w:bidi w:val="0"/>
        <w:spacing w:before="0" w:after="0"/>
        <w:jc w:val="both"/>
        <w:rPr/>
      </w:pPr>
      <w:r>
        <w:rPr/>
      </w:r>
    </w:p>
    <w:p>
      <w:pPr>
        <w:pStyle w:val="TextBody"/>
        <w:bidi w:val="0"/>
        <w:spacing w:lineRule="auto" w:line="288" w:before="120" w:after="283"/>
        <w:jc w:val="both"/>
        <w:rPr/>
      </w:pPr>
      <w:r>
        <w:rPr>
          <w:rFonts w:ascii="Times New Roman;serif" w:hAnsi="Times New Roman;serif"/>
          <w:b w:val="false"/>
          <w:color w:val="000000"/>
          <w:sz w:val="24"/>
        </w:rPr>
        <w:t xml:space="preserve">No. of Phantom Class A Shares: </w:t>
      </w:r>
      <w:r>
        <w:rPr>
          <w:rFonts w:ascii="Times New Roman;serif" w:hAnsi="Times New Roman;serif"/>
          <w:b w:val="false"/>
          <w:color w:val="000000"/>
          <w:sz w:val="24"/>
          <w:u w:val="single"/>
        </w:rPr>
        <w:t>7,400    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Dated: </w:t>
      </w:r>
      <w:r>
        <w:rPr>
          <w:color w:val="000000"/>
          <w:u w:val="single"/>
        </w:rPr>
        <w:t>                    </w:t>
      </w:r>
    </w:p>
    <w:p>
      <w:pPr>
        <w:pStyle w:val="TextBody"/>
        <w:bidi w:val="0"/>
        <w:spacing w:before="0" w:after="0"/>
        <w:jc w:val="both"/>
        <w:rPr/>
      </w:pPr>
      <w:r>
        <w:rPr/>
      </w: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32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Beneficiary Designation </w:t>
      </w:r>
    </w:p>
    <w:tbl>
      <w:tblPr>
        <w:tblW w:w="6824" w:type="dxa"/>
        <w:jc w:val="left"/>
        <w:tblInd w:w="0" w:type="dxa"/>
        <w:tblLayout w:type="fixed"/>
        <w:tblCellMar>
          <w:top w:w="28" w:type="dxa"/>
          <w:left w:w="28" w:type="dxa"/>
          <w:bottom w:w="28" w:type="dxa"/>
          <w:right w:w="28" w:type="dxa"/>
        </w:tblCellMar>
      </w:tblPr>
      <w:tblGrid>
        <w:gridCol w:w="1053"/>
        <w:gridCol w:w="926"/>
        <w:gridCol w:w="930"/>
        <w:gridCol w:w="430"/>
        <w:gridCol w:w="430"/>
        <w:gridCol w:w="431"/>
        <w:gridCol w:w="766"/>
        <w:gridCol w:w="766"/>
        <w:gridCol w:w="10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Primary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Secondary Beneficiary Name</w:t>
            </w:r>
          </w:p>
        </w:tc>
        <w:tc>
          <w:tcPr>
            <w:tcW w:w="1291"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144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1440"/>
        <w:jc w:val="center"/>
        <w:rPr/>
      </w:pPr>
      <w:r>
        <w:rPr/>
        <w:drawing>
          <wp:inline distT="0" distB="0" distL="0" distR="0">
            <wp:extent cx="2876550" cy="866775"/>
            <wp:effectExtent l="0" t="0" r="0" b="0"/>
            <wp:docPr id="10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 descr=""/>
                    <pic:cNvPicPr>
                      <a:picLocks noChangeAspect="1" noChangeArrowheads="1"/>
                    </pic:cNvPicPr>
                  </pic:nvPicPr>
                  <pic:blipFill>
                    <a:blip r:embed="rId70"/>
                    <a:stretch>
                      <a:fillRect/>
                    </a:stretch>
                  </pic:blipFill>
                  <pic:spPr bwMode="auto">
                    <a:xfrm>
                      <a:off x="0" y="0"/>
                      <a:ext cx="2876550" cy="86677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2025 Special Retention LTIP Grant</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Grant of Phantom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[Name]: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am pleased to inform you that, subject to the terms hereof, you have been granted [Number] Phantom Units as of the above date pursuant to the Company’s 2021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1.Subject to the further provisions hereof, your Phantom Units shall vest (become payable in the form of one Common Unit of PAA for each Phantom Unit that vests) on the August 2030 Distribution Date. </w:t>
      </w:r>
    </w:p>
    <w:p>
      <w:pPr>
        <w:pStyle w:val="TextBody"/>
        <w:bidi w:val="0"/>
        <w:spacing w:lineRule="auto" w:line="288" w:before="0" w:after="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 xml:space="preserve">2.Subject to the further provisions hereof, your DERs shall vest (become payable in cash) as follows: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a.20% of the DERs will begin accruing on the November 2025 Distribution Date and will continue to accrue until the August 2026 Distribution Date, on which date such accrued but unpaid DERs will vest and be paid in a lump sum. Beginning on the November 2026 Distribution Date, such vested DERs will be paid quarterly until the associated Phantom Units vest or are forfeited pursuant to the terms hereof.</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b.An additional 20% of the DERs will vest on the August 2026 Distribution Date, and, beginning on the November 2026 Distribution Date, such vested DERs will be paid quarterly until the associated Phantom Units vest or are forfeited pursuant to the terms hereof. </w:t>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c.An additional 20% of the DERs will vest on the August 2027 Distribution Date, and, beginning on the November 2027 Distribution Date, such vested DERs will be paid quarterly until the associated Phantom Units vest or are forfeited pursuant to the terms hereof.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6415"/>
                <wp:effectExtent l="0" t="0" r="0" b="0"/>
                <wp:wrapNone/>
                <wp:docPr id="101" name="Frame9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80"/>
                                <w:sz w:val="20"/>
                              </w:rPr>
                            </w:pPr>
                            <w:r>
                              <w:rPr>
                                <w:rFonts w:ascii="Times New Roman;serif" w:hAnsi="Times New Roman;serif"/>
                                <w:b/>
                                <w:color w:val="000080"/>
                                <w:sz w:val="20"/>
                              </w:rPr>
                              <w:t>333 Clay Street, Suite 1600 (77002)     ■ P.O. Box 4648 ■ Houston, Texas 77210-4648 ■ 713-646-4100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80"/>
                          <w:sz w:val="20"/>
                        </w:rPr>
                      </w:pPr>
                      <w:r>
                        <w:rPr>
                          <w:rFonts w:ascii="Times New Roman;serif" w:hAnsi="Times New Roman;serif"/>
                          <w:b/>
                          <w:color w:val="000080"/>
                          <w:sz w:val="20"/>
                        </w:rPr>
                        <w:t>333 Clay Street, Suite 1600 (77002)     ■ P.O. Box 4648 ■ Houston, Texas 77210-4648 ■ 713-646-4100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d.An additional 20% of the DERs will vest on the August 2028 Distribution Date, and, beginning on the November 2028 Distribution Date, such vested DERs will be paid quarterly until the associated Phantom Units vest or are forfeited pursuant to the terms hereof.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e.An additional 20% of the DERs will vest on the August 2029 Distribution Date, and, beginning on the November 2029 Distribution Date, such vested DERs will be paid quarterly until the associated Phantom Units vest or are forfeited pursuant to the terms hereof.</w:t>
      </w:r>
    </w:p>
    <w:p>
      <w:pPr>
        <w:pStyle w:val="TextBody"/>
        <w:bidi w:val="0"/>
        <w:spacing w:before="0" w:after="0"/>
        <w:jc w:val="both"/>
        <w:rPr/>
      </w:pPr>
      <w:r>
        <w:rPr/>
      </w:r>
    </w:p>
    <w:p>
      <w:pPr>
        <w:pStyle w:val="TextBody"/>
        <w:bidi w:val="0"/>
        <w:spacing w:lineRule="auto" w:line="288" w:before="0" w:after="0"/>
        <w:ind w:left="0" w:right="0" w:hanging="480"/>
        <w:jc w:val="both"/>
        <w:rPr>
          <w:rFonts w:ascii="Times New Roman;serif" w:hAnsi="Times New Roman;serif"/>
          <w:b w:val="false"/>
          <w:color w:val="000000"/>
          <w:sz w:val="24"/>
        </w:rPr>
      </w:pPr>
      <w:r>
        <w:rPr>
          <w:rFonts w:ascii="Times New Roman;serif" w:hAnsi="Times New Roman;serif"/>
          <w:b w:val="false"/>
          <w:color w:val="000000"/>
          <w:sz w:val="24"/>
        </w:rPr>
        <w:t xml:space="preserve">3.The number of Phantom Units and DERs subject to this award shall be proportionately reduced or increased for any split or reverse split, respectively, of PAA Common Units, or any event or transaction having a similar effect. </w:t>
      </w:r>
    </w:p>
    <w:p>
      <w:pPr>
        <w:pStyle w:val="TextBody"/>
        <w:bidi w:val="0"/>
        <w:spacing w:before="0" w:after="0"/>
        <w:jc w:val="left"/>
        <w:rPr/>
      </w:pPr>
      <w:r>
        <w:rPr/>
      </w:r>
    </w:p>
    <w:p>
      <w:pPr>
        <w:pStyle w:val="TextBody"/>
        <w:bidi w:val="0"/>
        <w:spacing w:lineRule="auto" w:line="288" w:before="0" w:after="0"/>
        <w:ind w:left="0" w:right="0" w:hanging="480"/>
        <w:jc w:val="both"/>
        <w:rPr>
          <w:rFonts w:ascii="Times New Roman;serif" w:hAnsi="Times New Roman;serif"/>
          <w:b w:val="false"/>
          <w:color w:val="000000"/>
          <w:sz w:val="24"/>
        </w:rPr>
      </w:pPr>
      <w:r>
        <w:rPr>
          <w:rFonts w:ascii="Times New Roman;serif" w:hAnsi="Times New Roman;serif"/>
          <w:b w:val="false"/>
          <w:color w:val="000000"/>
          <w:sz w:val="24"/>
        </w:rPr>
        <w:t>4.Upon vesting of any Phantom Units, an equivalent number of DERs will expire. Any such DERs that are payable on the Distribution Date on which the Phantom Units vest, shall be payable on such Distribution Date prior to their expiration.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5.In the event of the termination of your employment with the Company and its Affiliates for any reason (other than in connection with a Change in Status, Retirement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number of your then outstanding Phantom Units by a fraction equal to the number of days between the grant date and the date of termination divided by the number of days between the grant date and the August 2030 Distribution Date (1,826). If the resulting amount includes a fraction, it will be rounded down to the nearest whole number. </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6.In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7.In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8.In the event of the termination of your employment with the Company and its Affiliates due to your Retirement,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pStyle w:val="TextBody"/>
        <w:bidi w:val="0"/>
        <w:spacing w:before="0" w:after="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(iii) “Market Value” means the average of the closing sales prices for a Common Unit on Nasdaq for the five trading days preceding the then most recent “ex dividend” date for payment of a distribution by the Partnership; and (iv)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Retirement” means termination from full-time employment on terms and timing as approved by the CEO (or by the Board in the case of the CEO).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phrase “Change of Control” means, and shall be deemed to have occurred upon the occurrence of, one or more of the following events:</w:t>
      </w:r>
    </w:p>
    <w:p>
      <w:pPr>
        <w:pStyle w:val="TextBody"/>
        <w:bidi w:val="0"/>
        <w:spacing w:before="0" w:after="0"/>
        <w:ind w:left="0" w:right="0" w:firstLine="720"/>
        <w:jc w:val="both"/>
        <w:rPr/>
      </w:pPr>
      <w:r>
        <w:rPr/>
      </w:r>
    </w:p>
    <w:p>
      <w:pPr>
        <w:pStyle w:val="TextBody"/>
        <w:bidi w:val="0"/>
        <w:spacing w:lineRule="auto" w:line="288" w:before="0" w:after="0"/>
        <w:ind w:left="0" w:right="0" w:hanging="1032"/>
        <w:jc w:val="both"/>
        <w:rPr/>
      </w:pPr>
      <w:r>
        <w:rPr>
          <w:rFonts w:ascii="Times New Roman;serif" w:hAnsi="Times New Roman;serif"/>
          <w:b w:val="false"/>
          <w:color w:val="000000"/>
          <w:sz w:val="24"/>
        </w:rPr>
        <w:t>(i)any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serif" w:hAnsi="Times New Roman;serif"/>
          <w:b w:val="false"/>
          <w:color w:val="000000"/>
          <w:sz w:val="16"/>
        </w:rPr>
        <w:t>1</w:t>
      </w:r>
      <w:r>
        <w:rPr>
          <w:rFonts w:ascii="Times New Roman;serif" w:hAnsi="Times New Roman;serif"/>
          <w:b w:val="false"/>
          <w:color w:val="000000"/>
          <w:sz w:val="24"/>
        </w:rPr>
        <w:t>;</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(ii)any Person (other than PAGP GP, PAGP or any affiliate of PAGP that is controlled by PAGP) acquires (in one transaction or a series of related transactions and whether by merger or otherwise) direct or indirect control of the general partner interest of PAGP;</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(iii)PAGP ceases to retain direct or indirect control (in one transaction or a series of related transactions and whether by merger or otherwise) of the general partner of the Partnership; or</w:t>
      </w:r>
    </w:p>
    <w:p>
      <w:pPr>
        <w:pStyle w:val="TextBody"/>
        <w:bidi w:val="0"/>
        <w:spacing w:lineRule="auto" w:line="288" w:before="0" w:after="0"/>
        <w:ind w:left="0" w:right="0" w:hanging="1032"/>
        <w:jc w:val="both"/>
        <w:rPr>
          <w:rFonts w:ascii="Times New Roman;serif" w:hAnsi="Times New Roman;serif"/>
          <w:b w:val="false"/>
          <w:color w:val="000000"/>
          <w:sz w:val="24"/>
        </w:rPr>
      </w:pPr>
      <w:r>
        <w:rPr>
          <w:rFonts w:ascii="Times New Roman;serif" w:hAnsi="Times New Roman;serif"/>
          <w:b w:val="false"/>
          <w:color w:val="000000"/>
          <w:sz w:val="24"/>
        </w:rPr>
        <w:t xml:space="preserve">(iv)the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 xml:space="preserve">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used in this definition, “Person” shall include any “partnership, limited partnership, syndicate or other group” constituting a “person” within the meaning of such terms pursuant to Sections 13(d) and 14(d) of the Securities Exchange Act of 1934, as amended.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Terms used herein that are not defined herein shall have the meanings set forth in the Plan or, if not defined in the Plan, in the Seventh Amended and Restated Agreement of Limited Partnership of Plains All American Pipeline, L.P., as amended (the “Partnership Agreement”).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erif" w:hAnsi="Times New Roman;serif"/>
          <w:b w:val="false"/>
          <w:color w:val="000000"/>
          <w:sz w:val="24"/>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signing below, you agree that the Phantom Units and DERs granted hereunder are governed by the terms of the Plan. You also acknowledge and agree that (i) this award constitutes time-based equity compensation under the Amended and Restated Clawback Policy adopted by PAGP GP on November 16, 2023, as it may be amended from time to time, and (ii) this award, as well as any other incentive-based, performance-based or time-based compensation previously paid or awarded to you, is subject to recovery or cancellation pursuant to such Policy. Copies of the Plan, the Partnership Agreement and the Clawback Policy are available upon request.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pStyle w:val="TextBody"/>
        <w:bidi w:val="0"/>
        <w:spacing w:before="0" w:after="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PLAINS ALL AMERICAN PIPELINE, L.P.</w: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PAA GP LLC, its general partner</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PLAINS AAP, L.P., its sole member</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By:    PLAINS ALL AMERICAN GP LLC, </w:t>
        <w:br/>
        <w:t>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Willie Chiang</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Chairman, CEO and President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84" w:type="dxa"/>
        <w:jc w:val="left"/>
        <w:tblInd w:w="0" w:type="dxa"/>
        <w:tblLayout w:type="fixed"/>
        <w:tblCellMar>
          <w:top w:w="28" w:type="dxa"/>
          <w:left w:w="28" w:type="dxa"/>
          <w:bottom w:w="28" w:type="dxa"/>
          <w:right w:w="28" w:type="dxa"/>
        </w:tblCellMar>
      </w:tblPr>
      <w:tblGrid>
        <w:gridCol w:w="282"/>
        <w:gridCol w:w="249"/>
        <w:gridCol w:w="353"/>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tc>
      </w:tr>
    </w:tbl>
    <w:p>
      <w:pPr>
        <w:pStyle w:val="TextBody"/>
        <w:bidi w:val="0"/>
        <w:spacing w:before="0" w:after="0"/>
        <w:jc w:val="left"/>
        <w:rPr/>
      </w:pPr>
      <w:r>
        <w:rPr/>
      </w:r>
    </w:p>
    <w:tbl>
      <w:tblPr>
        <w:tblW w:w="3764" w:type="dxa"/>
        <w:jc w:val="left"/>
        <w:tblInd w:w="0" w:type="dxa"/>
        <w:tblLayout w:type="fixed"/>
        <w:tblCellMar>
          <w:top w:w="28" w:type="dxa"/>
          <w:left w:w="28" w:type="dxa"/>
          <w:bottom w:w="28" w:type="dxa"/>
          <w:right w:w="28" w:type="dxa"/>
        </w:tblCellMar>
      </w:tblPr>
      <w:tblGrid>
        <w:gridCol w:w="972"/>
        <w:gridCol w:w="855"/>
        <w:gridCol w:w="858"/>
        <w:gridCol w:w="315"/>
        <w:gridCol w:w="315"/>
        <w:gridCol w:w="449"/>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Number of Phantom Units:</w:t>
            </w:r>
          </w:p>
        </w:tc>
        <w:tc>
          <w:tcPr>
            <w:tcW w:w="10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[Number]</w:t>
            </w:r>
          </w:p>
        </w:tc>
      </w:tr>
    </w:tbl>
    <w:p>
      <w:pPr>
        <w:pStyle w:val="TextBody"/>
        <w:bidi w:val="0"/>
        <w:spacing w:before="0" w:after="0"/>
        <w:jc w:val="left"/>
        <w:rPr/>
      </w:pPr>
      <w:r>
        <w:rPr/>
      </w:r>
    </w:p>
    <w:tbl>
      <w:tblPr>
        <w:tblW w:w="1122" w:type="dxa"/>
        <w:jc w:val="left"/>
        <w:tblInd w:w="0" w:type="dxa"/>
        <w:tblLayout w:type="fixed"/>
        <w:tblCellMar>
          <w:top w:w="28" w:type="dxa"/>
          <w:left w:w="28" w:type="dxa"/>
          <w:bottom w:w="28" w:type="dxa"/>
          <w:right w:w="28" w:type="dxa"/>
        </w:tblCellMar>
      </w:tblPr>
      <w:tblGrid>
        <w:gridCol w:w="271"/>
        <w:gridCol w:w="239"/>
        <w:gridCol w:w="240"/>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Dated:</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Beneficiary Designation</w:t>
      </w:r>
    </w:p>
    <w:tbl>
      <w:tblPr>
        <w:tblW w:w="6824" w:type="dxa"/>
        <w:jc w:val="left"/>
        <w:tblInd w:w="0" w:type="dxa"/>
        <w:tblLayout w:type="fixed"/>
        <w:tblCellMar>
          <w:top w:w="28" w:type="dxa"/>
          <w:left w:w="28" w:type="dxa"/>
          <w:bottom w:w="28" w:type="dxa"/>
          <w:right w:w="28" w:type="dxa"/>
        </w:tblCellMar>
      </w:tblPr>
      <w:tblGrid>
        <w:gridCol w:w="1053"/>
        <w:gridCol w:w="926"/>
        <w:gridCol w:w="930"/>
        <w:gridCol w:w="430"/>
        <w:gridCol w:w="430"/>
        <w:gridCol w:w="431"/>
        <w:gridCol w:w="766"/>
        <w:gridCol w:w="766"/>
        <w:gridCol w:w="10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Primary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Secondary Beneficiary Name</w:t>
            </w:r>
          </w:p>
        </w:tc>
        <w:tc>
          <w:tcPr>
            <w:tcW w:w="1291"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Percent (Must total 100%)</w:t>
            </w:r>
          </w:p>
        </w:tc>
      </w:tr>
      <w:tr>
        <w:trPr/>
        <w:tc>
          <w:tcPr>
            <w:tcW w:w="2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29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12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262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Check this box only if this beneficiary designation does not apply to prior grants.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252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2520"/>
        <w:jc w:val="center"/>
        <w:rPr/>
      </w:pPr>
      <w:r>
        <w:rPr/>
        <w:drawing>
          <wp:inline distT="0" distB="0" distL="0" distR="0">
            <wp:extent cx="2486025" cy="742950"/>
            <wp:effectExtent l="0" t="0" r="0" b="0"/>
            <wp:docPr id="10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 descr=""/>
                    <pic:cNvPicPr>
                      <a:picLocks noChangeAspect="1" noChangeArrowheads="1"/>
                    </pic:cNvPicPr>
                  </pic:nvPicPr>
                  <pic:blipFill>
                    <a:blip r:embed="rId71"/>
                    <a:stretch>
                      <a:fillRect/>
                    </a:stretch>
                  </pic:blipFill>
                  <pic:spPr bwMode="auto">
                    <a:xfrm>
                      <a:off x="0" y="0"/>
                      <a:ext cx="2486025" cy="7429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14,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WCW (Willie) Chiang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840"/>
        <w:jc w:val="both"/>
        <w:rPr>
          <w:color w:val="000000"/>
        </w:rPr>
      </w:pPr>
      <w:r>
        <w:rPr>
          <w:color w:val="000000"/>
        </w:rPr>
        <w:t>    </w:t>
      </w:r>
      <w:r>
        <w:rPr>
          <w:rFonts w:ascii="Times New Roman;serif" w:hAnsi="Times New Roman;serif"/>
          <w:b/>
          <w:i/>
          <w:color w:val="000000"/>
          <w:sz w:val="24"/>
        </w:rPr>
        <w:t>Re:    Amendment of Phantom Unit Grant Letter dated August 16, 2018</w:t>
      </w:r>
    </w:p>
    <w:p>
      <w:pPr>
        <w:pStyle w:val="TextBody"/>
        <w:bidi w:val="0"/>
        <w:spacing w:before="0" w:after="0"/>
        <w:ind w:left="0" w:right="0" w:hanging="84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Dear Willie: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Compensation Committee and Board of Directors of PAA GP Holdings LLC has approved a modification to the vesting terms of your long-term incentive plan grant letter dated August 16, 2018 (the “August 2018 Grant Letter”) in order to extend the expiration date of the grant from October 1, 2025 to October 1, 2030. Accordingly, effective as of the date of this letter, the second-to-last sentence of paragraph 1 of the August 2018 Grant Letter is hereby amended to read in full as follows: “Any remaining Phantom Units that have not vested on or before October 1, 2030, and any associated DERs (regardless of vesting), shall expire on such 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amended hereunder, the August 2018 Grant Letter shall remain in full force and effect according to its terms. </w:t>
      </w:r>
    </w:p>
    <w:p>
      <w:pPr>
        <w:pStyle w:val="TextBody"/>
        <w:bidi w:val="0"/>
        <w:spacing w:before="0" w:after="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PLAINS ALL AMERICAN PIPELINE, L.P.</w: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PAA GP LLC</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PLAINS AAP, L.P.</w:t>
      </w:r>
    </w:p>
    <w:p>
      <w:pPr>
        <w:pStyle w:val="TextBody"/>
        <w:bidi w:val="0"/>
        <w:spacing w:lineRule="auto" w:line="288" w:before="0" w:after="0"/>
        <w:ind w:left="0" w:right="0" w:firstLine="4320"/>
        <w:jc w:val="both"/>
        <w:rPr>
          <w:rFonts w:ascii="Times New Roman;serif" w:hAnsi="Times New Roman;serif"/>
          <w:b w:val="false"/>
          <w:color w:val="000000"/>
          <w:sz w:val="24"/>
        </w:rPr>
      </w:pPr>
      <w:r>
        <w:rPr>
          <w:rFonts w:ascii="Times New Roman;serif" w:hAnsi="Times New Roman;serif"/>
          <w:b w:val="false"/>
          <w:color w:val="000000"/>
          <w:sz w:val="24"/>
        </w:rPr>
        <w:t>By: PLAINS ALL AMERICAN GP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Name:    Richard K. McGee</w:t>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&amp; General Counsel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19125"/>
                <wp:effectExtent l="0" t="0" r="0" b="0"/>
                <wp:wrapNone/>
                <wp:docPr id="108" name="Frame104"/>
                <a:graphic xmlns:a="http://schemas.openxmlformats.org/drawingml/2006/main">
                  <a:graphicData uri="http://schemas.microsoft.com/office/word/2010/wordprocessingShape">
                    <wps:wsp>
                      <wps:cNvSpPr txBox="1"/>
                      <wps:spPr>
                        <a:xfrm>
                          <a:off x="0" y="0"/>
                          <a:ext cx="6480175" cy="619125"/>
                        </a:xfrm>
                        <a:prstGeom prst="rect"/>
                        <a:solidFill>
                          <a:srgbClr val="FFFFFF"/>
                        </a:solidFill>
                      </wps:spPr>
                      <wps:txbx>
                        <w:txbxContent>
                          <w:p>
                            <w:pPr>
                              <w:pStyle w:val="TextBody"/>
                              <w:bidi w:val="0"/>
                              <w:spacing w:before="0" w:after="120"/>
                              <w:jc w:val="left"/>
                              <w:rPr/>
                            </w:pPr>
                            <w:r>
                              <w:rPr/>
                            </w:r>
                          </w:p>
                          <w:p>
                            <w:pPr>
                              <w:pStyle w:val="TextBody"/>
                              <w:bidi w:val="0"/>
                              <w:spacing w:lineRule="auto" w:line="288" w:before="0" w:after="0"/>
                              <w:jc w:val="center"/>
                              <w:rPr/>
                            </w:pPr>
                            <w:r>
                              <w:rPr>
                                <w:rFonts w:ascii="Times New Roman;serif" w:hAnsi="Times New Roman;serif"/>
                                <w:b w:val="false"/>
                                <w:color w:val="000080"/>
                                <w:sz w:val="22"/>
                              </w:rPr>
                              <w:t xml:space="preserve">333 Clay Street, Suite 1600 </w:t>
                            </w:r>
                            <w:r>
                              <w:rPr>
                                <w:rFonts w:ascii="Wingdings;sans-serif" w:hAnsi="Wingdings;sans-serif"/>
                                <w:b w:val="false"/>
                                <w:color w:val="0A2299"/>
                                <w:sz w:val="18"/>
                              </w:rPr>
                              <w:t xml:space="preserve">n </w:t>
                            </w:r>
                            <w:r>
                              <w:rPr>
                                <w:rFonts w:ascii="Times New Roman;serif" w:hAnsi="Times New Roman;serif"/>
                                <w:b w:val="false"/>
                                <w:color w:val="000080"/>
                                <w:sz w:val="22"/>
                              </w:rPr>
                              <w:t xml:space="preserve">Houston, Texas 77002 </w:t>
                            </w:r>
                            <w:r>
                              <w:rPr>
                                <w:rFonts w:ascii="Wingdings;sans-serif" w:hAnsi="Wingdings;sans-serif"/>
                                <w:b w:val="false"/>
                                <w:color w:val="0A2299"/>
                                <w:sz w:val="18"/>
                              </w:rPr>
                              <w:t xml:space="preserve">n </w:t>
                            </w:r>
                            <w:r>
                              <w:rPr>
                                <w:rFonts w:ascii="Times New Roman;serif" w:hAnsi="Times New Roman;serif"/>
                                <w:b w:val="false"/>
                                <w:color w:val="000080"/>
                                <w:sz w:val="22"/>
                              </w:rPr>
                              <w:t>713/646-4100 or 800-564-3036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p>
                      <w:pPr>
                        <w:pStyle w:val="TextBody"/>
                        <w:bidi w:val="0"/>
                        <w:spacing w:lineRule="auto" w:line="288" w:before="0" w:after="0"/>
                        <w:jc w:val="center"/>
                        <w:rPr/>
                      </w:pPr>
                      <w:r>
                        <w:rPr>
                          <w:rFonts w:ascii="Times New Roman;serif" w:hAnsi="Times New Roman;serif"/>
                          <w:b w:val="false"/>
                          <w:color w:val="000080"/>
                          <w:sz w:val="22"/>
                        </w:rPr>
                        <w:t xml:space="preserve">333 Clay Street, Suite 1600 </w:t>
                      </w:r>
                      <w:r>
                        <w:rPr>
                          <w:rFonts w:ascii="Wingdings;sans-serif" w:hAnsi="Wingdings;sans-serif"/>
                          <w:b w:val="false"/>
                          <w:color w:val="0A2299"/>
                          <w:sz w:val="18"/>
                        </w:rPr>
                        <w:t xml:space="preserve">n </w:t>
                      </w:r>
                      <w:r>
                        <w:rPr>
                          <w:rFonts w:ascii="Times New Roman;serif" w:hAnsi="Times New Roman;serif"/>
                          <w:b w:val="false"/>
                          <w:color w:val="000080"/>
                          <w:sz w:val="22"/>
                        </w:rPr>
                        <w:t xml:space="preserve">Houston, Texas 77002 </w:t>
                      </w:r>
                      <w:r>
                        <w:rPr>
                          <w:rFonts w:ascii="Wingdings;sans-serif" w:hAnsi="Wingdings;sans-serif"/>
                          <w:b w:val="false"/>
                          <w:color w:val="0A2299"/>
                          <w:sz w:val="18"/>
                        </w:rPr>
                        <w:t xml:space="preserve">n </w:t>
                      </w:r>
                      <w:r>
                        <w:rPr>
                          <w:rFonts w:ascii="Times New Roman;serif" w:hAnsi="Times New Roman;serif"/>
                          <w:b w:val="false"/>
                          <w:color w:val="000080"/>
                          <w:sz w:val="22"/>
                        </w:rPr>
                        <w:t>713/646-4100 or 800-564-3036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7,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ALL AMERICAN PIPELINE,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Chief Executive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September 30, 2025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145" w:type="dxa"/>
        <w:jc w:val="left"/>
        <w:tblInd w:w="0" w:type="dxa"/>
        <w:tblLayout w:type="fixed"/>
        <w:tblCellMar>
          <w:top w:w="28" w:type="dxa"/>
          <w:left w:w="28" w:type="dxa"/>
          <w:bottom w:w="28" w:type="dxa"/>
          <w:right w:w="28" w:type="dxa"/>
        </w:tblCellMar>
      </w:tblPr>
      <w:tblGrid>
        <w:gridCol w:w="686"/>
        <w:gridCol w:w="602"/>
        <w:gridCol w:w="857"/>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Willie Chiang</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ALL AMERICAN PIPELINE,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September 30, 2025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145" w:type="dxa"/>
        <w:jc w:val="left"/>
        <w:tblInd w:w="0" w:type="dxa"/>
        <w:tblLayout w:type="fixed"/>
        <w:tblCellMar>
          <w:top w:w="28" w:type="dxa"/>
          <w:left w:w="28" w:type="dxa"/>
          <w:bottom w:w="28" w:type="dxa"/>
          <w:right w:w="28" w:type="dxa"/>
        </w:tblCellMar>
      </w:tblPr>
      <w:tblGrid>
        <w:gridCol w:w="686"/>
        <w:gridCol w:w="602"/>
        <w:gridCol w:w="857"/>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 Swanson</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423/000107042325000020/paaq22025exhibit21.htm" TargetMode="External"/><Relationship Id="rId3" Type="http://schemas.openxmlformats.org/officeDocument/2006/relationships/hyperlink" Target="https://www.sec.gov/Archives/edgar/data/1070423/000107042325000020/paaq22025exhibit21.htm" TargetMode="External"/><Relationship Id="rId4" Type="http://schemas.openxmlformats.org/officeDocument/2006/relationships/hyperlink" Target="https://www.sec.gov/Archives/edgar/data/1070423/000107042325000020/paaq22025exhibit21.htm" TargetMode="External"/><Relationship Id="rId5" Type="http://schemas.openxmlformats.org/officeDocument/2006/relationships/hyperlink" Target="https://www.sec.gov/Archives/edgar/data/1070423/000107042325000020/paaq22025exhibit21.htm" TargetMode="External"/><Relationship Id="rId6" Type="http://schemas.openxmlformats.org/officeDocument/2006/relationships/hyperlink" Target="https://www.sec.gov/Archives/edgar/data/1070423/000107042325000020/paaq22025exhibit21.htm" TargetMode="External"/><Relationship Id="rId7" Type="http://schemas.openxmlformats.org/officeDocument/2006/relationships/hyperlink" Target="https://www.sec.gov/Archives/edgar/data/1070423/000107042325000020/paaq22025exhibit21.htm" TargetMode="External"/><Relationship Id="rId8" Type="http://schemas.openxmlformats.org/officeDocument/2006/relationships/hyperlink" Target="https://www.sec.gov/Archives/edgar/data/1070423/000107042325000020/paaq22025exhibit21.htm" TargetMode="External"/><Relationship Id="rId9" Type="http://schemas.openxmlformats.org/officeDocument/2006/relationships/hyperlink" Target="https://www.sec.gov/Archives/edgar/data/1070423/000107042325000020/paaq22025exhibit21.htm" TargetMode="External"/><Relationship Id="rId10" Type="http://schemas.openxmlformats.org/officeDocument/2006/relationships/hyperlink" Target="https://www.sec.gov/Archives/edgar/data/1070423/000110465925107695/tm2530339d1_ex2-1.htm" TargetMode="External"/><Relationship Id="rId11" Type="http://schemas.openxmlformats.org/officeDocument/2006/relationships/hyperlink" Target="https://www.sec.gov/Archives/edgar/data/1070423/000110465925107695/tm2530339d1_ex2-2.htm" TargetMode="External"/><Relationship Id="rId12" Type="http://schemas.openxmlformats.org/officeDocument/2006/relationships/hyperlink" Target="https://www.sec.gov/Archives/edgar/data/1070423/000110465925107695/tm2530339d1_ex2-2.htm" TargetMode="External"/><Relationship Id="rId13" Type="http://schemas.openxmlformats.org/officeDocument/2006/relationships/hyperlink" Target="https://www.sec.gov/Archives/edgar/data/1070423/000110465925107695/tm2530339d1_ex2-2.htm" TargetMode="External"/><Relationship Id="rId14" Type="http://schemas.openxmlformats.org/officeDocument/2006/relationships/hyperlink" Target="https://www.sec.gov/Archives/edgar/data/1070423/000110465925107695/tm2530339d1_ex2-2.htm" TargetMode="External"/><Relationship Id="rId15" Type="http://schemas.openxmlformats.org/officeDocument/2006/relationships/hyperlink" Target="https://www.sec.gov/Archives/edgar/data/1070423/000110465925107695/tm2530339d1_ex2-2.htm" TargetMode="External"/><Relationship Id="rId16" Type="http://schemas.openxmlformats.org/officeDocument/2006/relationships/hyperlink" Target="https://www.sec.gov/Archives/edgar/data/1070423/000110465925107695/tm2530339d1_ex2-2.htm" TargetMode="External"/><Relationship Id="rId17" Type="http://schemas.openxmlformats.org/officeDocument/2006/relationships/hyperlink" Target="https://www.sec.gov/Archives/edgar/data/1070423/000110465925107695/tm2530339d1_ex2-2.htm" TargetMode="External"/><Relationship Id="rId18" Type="http://schemas.openxmlformats.org/officeDocument/2006/relationships/hyperlink" Target="https://www.sec.gov/Archives/edgar/data/1070423/000110465925107695/tm2530339d1_ex2-2.htm" TargetMode="External"/><Relationship Id="rId19" Type="http://schemas.openxmlformats.org/officeDocument/2006/relationships/hyperlink" Target="https://www.sec.gov/Archives/edgar/data/1070423/000110465925107695/tm2530339d1_ex2-2.htm" TargetMode="External"/><Relationship Id="rId20" Type="http://schemas.openxmlformats.org/officeDocument/2006/relationships/hyperlink" Target="https://www.sec.gov/Archives/edgar/data/1070423/000110465925107695/tm2530339d1_ex2-2.htm" TargetMode="External"/><Relationship Id="rId21" Type="http://schemas.openxmlformats.org/officeDocument/2006/relationships/hyperlink" Target="https://www.sec.gov/Archives/edgar/data/1070423/000104746904016502/a2135501zex-3_2.htm" TargetMode="External"/><Relationship Id="rId22" Type="http://schemas.openxmlformats.org/officeDocument/2006/relationships/hyperlink" Target="https://www.sec.gov/Archives/edgar/data/1070423/000110465911010359/a11-2319_1ex3d9.htm" TargetMode="External"/><Relationship Id="rId23" Type="http://schemas.openxmlformats.org/officeDocument/2006/relationships/hyperlink" Target="https://www.sec.gov/Archives/edgar/data/1070423/000110465911010359/a11-2319_1ex3d10.htm" TargetMode="External"/><Relationship Id="rId24" Type="http://schemas.openxmlformats.org/officeDocument/2006/relationships/hyperlink" Target="https://www.sec.gov/Archives/edgar/data/1070423/000110465914014322/a13-25941_1ex3d7.htm" TargetMode="External"/><Relationship Id="rId25" Type="http://schemas.openxmlformats.org/officeDocument/2006/relationships/hyperlink" Target="https://www.sec.gov/Archives/edgar/data/1070423/000110465914014322/a13-25941_1ex3d8.htm" TargetMode="External"/><Relationship Id="rId26" Type="http://schemas.openxmlformats.org/officeDocument/2006/relationships/hyperlink" Target="https://www.sec.gov/Archives/edgar/data/1070423/000107042320000004/paa201910-kexhibit37.htm" TargetMode="External"/><Relationship Id="rId27" Type="http://schemas.openxmlformats.org/officeDocument/2006/relationships/hyperlink" Target="https://www.sec.gov/Archives/edgar/data/1070423/000104746904016502/a2135501zex-3_3.htm" TargetMode="External"/><Relationship Id="rId28" Type="http://schemas.openxmlformats.org/officeDocument/2006/relationships/hyperlink" Target="https://www.sec.gov/Archives/edgar/data/1070423/000110465914014322/a13-25941_1ex3d10.htm" TargetMode="External"/><Relationship Id="rId29" Type="http://schemas.openxmlformats.org/officeDocument/2006/relationships/hyperlink" Target="https://www.sec.gov/Archives/edgar/data/1070423/000110465916158355/a16-21841_1ex3d3.htm" TargetMode="External"/><Relationship Id="rId30" Type="http://schemas.openxmlformats.org/officeDocument/2006/relationships/hyperlink" Target="https://www.sec.gov/Archives/edgar/data/1070423/000110465916158355/a16-21841_1ex3d4.htm" TargetMode="External"/><Relationship Id="rId31" Type="http://schemas.openxmlformats.org/officeDocument/2006/relationships/hyperlink" Target="https://www.sec.gov/Archives/edgar/data/1070423/000110465918060011/a18-36196_1ex3d1.htm" TargetMode="External"/><Relationship Id="rId32" Type="http://schemas.openxmlformats.org/officeDocument/2006/relationships/hyperlink" Target="https://www.sec.gov/Archives/edgar/data/1070423/000110465919032810/a19-10856_1ex3d1.htm" TargetMode="External"/><Relationship Id="rId33" Type="http://schemas.openxmlformats.org/officeDocument/2006/relationships/hyperlink" Target="https://www.sec.gov/Archives/edgar/data/1070423/000110465923093997/tm2324104d2_ex3-1.htm" TargetMode="External"/><Relationship Id="rId34" Type="http://schemas.openxmlformats.org/officeDocument/2006/relationships/hyperlink" Target="https://www.sec.gov/Archives/edgar/data/1070423/000095012907001096/h43224exv3w10.htm" TargetMode="External"/><Relationship Id="rId35" Type="http://schemas.openxmlformats.org/officeDocument/2006/relationships/hyperlink" Target="https://www.sec.gov/Archives/edgar/data/1070423/000095012907001096/h43224exv3w11.htm" TargetMode="External"/><Relationship Id="rId36" Type="http://schemas.openxmlformats.org/officeDocument/2006/relationships/hyperlink" Target="https://www.sec.gov/Archives/edgar/data/1070423/000095012908000071/h52770exv3w3.htm" TargetMode="External"/><Relationship Id="rId37" Type="http://schemas.openxmlformats.org/officeDocument/2006/relationships/hyperlink" Target="https://www.sec.gov/Archives/edgar/data/1581990/000104746913007875/a2216069zex-3_1.htm" TargetMode="External"/><Relationship Id="rId38" Type="http://schemas.openxmlformats.org/officeDocument/2006/relationships/hyperlink" Target="https://www.sec.gov/Archives/edgar/data/1581990/000110465916158356/a16-21845_1ex3d2.htm" TargetMode="External"/><Relationship Id="rId39" Type="http://schemas.openxmlformats.org/officeDocument/2006/relationships/hyperlink" Target="https://www.sec.gov/Archives/edgar/data/1581990/000158199020000012/exhibit31.htm" TargetMode="External"/><Relationship Id="rId40" Type="http://schemas.openxmlformats.org/officeDocument/2006/relationships/hyperlink" Target="https://www.sec.gov/Archives/edgar/data/1581990/000104746913007875/a2216069zex-3_3.htm" TargetMode="External"/><Relationship Id="rId41" Type="http://schemas.openxmlformats.org/officeDocument/2006/relationships/hyperlink" Target="https://www.sec.gov/Archives/edgar/data/1070423/000107042322000006/paa202110-kexhibite69.htm" TargetMode="External"/><Relationship Id="rId42" Type="http://schemas.openxmlformats.org/officeDocument/2006/relationships/hyperlink" Target="https://www.sec.gov/Archives/edgar/data/1070423/000089924302002834/dex41.txt" TargetMode="External"/><Relationship Id="rId43" Type="http://schemas.openxmlformats.org/officeDocument/2006/relationships/hyperlink" Target="https://www.sec.gov/Archives/edgar/data/1070423/000110465906034368/a06-11663_1ex4d1.htm" TargetMode="External"/><Relationship Id="rId44" Type="http://schemas.openxmlformats.org/officeDocument/2006/relationships/hyperlink" Target="https://www.sec.gov/Archives/edgar/data/1070423/000095012906009235/h40667exv4w2.htm" TargetMode="External"/><Relationship Id="rId45" Type="http://schemas.openxmlformats.org/officeDocument/2006/relationships/hyperlink" Target="https://www.sec.gov/Archives/edgar/data/1070423/000119312512132295/d321017dex43.htm" TargetMode="External"/><Relationship Id="rId46" Type="http://schemas.openxmlformats.org/officeDocument/2006/relationships/hyperlink" Target="https://www.sec.gov/Archives/edgar/data/1070423/000119312512499932/d453762dex43.htm" TargetMode="External"/><Relationship Id="rId47" Type="http://schemas.openxmlformats.org/officeDocument/2006/relationships/hyperlink" Target="https://www.sec.gov/Archives/edgar/data/1070423/000119312514164183/d713938dex41.htm" TargetMode="External"/><Relationship Id="rId48" Type="http://schemas.openxmlformats.org/officeDocument/2006/relationships/hyperlink" Target="https://www.sec.gov/Archives/edgar/data/1070423/000119312514440007/d833885dex43.htm" TargetMode="External"/><Relationship Id="rId49" Type="http://schemas.openxmlformats.org/officeDocument/2006/relationships/hyperlink" Target="https://www.sec.gov/Archives/edgar/data/1070423/000119312515302829/d45393dex41.htm" TargetMode="External"/><Relationship Id="rId50" Type="http://schemas.openxmlformats.org/officeDocument/2006/relationships/hyperlink" Target="https://www.sec.gov/Archives/edgar/data/1070423/000110465916159593/a16-22232_1ex4d1.htm" TargetMode="External"/><Relationship Id="rId51" Type="http://schemas.openxmlformats.org/officeDocument/2006/relationships/hyperlink" Target="https://www.sec.gov/Archives/edgar/data/1070423/000141057819001281/tv529555_ex4-1.htm" TargetMode="External"/><Relationship Id="rId52" Type="http://schemas.openxmlformats.org/officeDocument/2006/relationships/hyperlink" Target="https://www.sec.gov/Archives/edgar/data/1070423/000110465920072270/tm2022235d1_ex4-1.htm" TargetMode="External"/><Relationship Id="rId53" Type="http://schemas.openxmlformats.org/officeDocument/2006/relationships/hyperlink" Target="https://www.sec.gov/Archives/edgar/data/1070423/000110465924075672/tm2418387d1_ex4-1.htm" TargetMode="External"/><Relationship Id="rId54" Type="http://schemas.openxmlformats.org/officeDocument/2006/relationships/hyperlink" Target="https://www.sec.gov/Archives/edgar/data/1070423/000110465925003785/tm253436d1_ex4-1.htm" TargetMode="External"/><Relationship Id="rId55" Type="http://schemas.openxmlformats.org/officeDocument/2006/relationships/hyperlink" Target="https://www.sec.gov/Archives/edgar/data/1070423/000110465925088257/tm2524999d4_ex4-1.htm" TargetMode="External"/><Relationship Id="rId56" Type="http://schemas.openxmlformats.org/officeDocument/2006/relationships/hyperlink" Target="https://www.sec.gov/Archives/edgar/data/1070423/000110465925088257/tm2524999d4_ex4-1.htm" TargetMode="External"/><Relationship Id="rId57" Type="http://schemas.openxmlformats.org/officeDocument/2006/relationships/hyperlink" Target="https://www.sec.gov/Archives/edgar/data/1070423/000110465925088257/tm2524999d4_ex4-1.htm" TargetMode="External"/><Relationship Id="rId58" Type="http://schemas.openxmlformats.org/officeDocument/2006/relationships/hyperlink" Target="https://www.sec.gov/Archives/edgar/data/1070423/000110465925088257/tm2524999d4_ex4-3.htm" TargetMode="External"/><Relationship Id="rId59" Type="http://schemas.openxmlformats.org/officeDocument/2006/relationships/hyperlink" Target="https://www.sec.gov/Archives/edgar/data/1070423/000095012309050401/h68193exv4w1.htm" TargetMode="External"/><Relationship Id="rId60" Type="http://schemas.openxmlformats.org/officeDocument/2006/relationships/hyperlink" Target="https://www.sec.gov/Archives/edgar/data/1070423/000110465916093299/a16-3362_1ex4d1.htm" TargetMode="External"/><Relationship Id="rId61" Type="http://schemas.openxmlformats.org/officeDocument/2006/relationships/hyperlink" Target="https://www.sec.gov/Archives/edgar/data/1070423/000110465916158355/a16-21841_1ex10d4.htm" TargetMode="External"/><Relationship Id="rId62" Type="http://schemas.openxmlformats.org/officeDocument/2006/relationships/hyperlink" Target="https://www.sec.gov/Archives/edgar/data/1070423/000107042325000006/paa202410-kexhibit417.htm" TargetMode="External"/><Relationship Id="rId63" Type="http://schemas.openxmlformats.org/officeDocument/2006/relationships/hyperlink" Target="https://www.sec.gov/Archives/edgar/data/1070423/000110465925107695/tm2530339d1_ex10-1.htm" TargetMode="External"/><Relationship Id="rId64" Type="http://schemas.openxmlformats.org/officeDocument/2006/relationships/hyperlink" Target="https://www.sec.gov/Archives/edgar/data/1070423/000110465925107695/tm2530339d1_ex10-1.htm" TargetMode="External"/><Relationship Id="rId65" Type="http://schemas.openxmlformats.org/officeDocument/2006/relationships/hyperlink" Target="https://www.sec.gov/Archives/edgar/data/1070423/000110465925107695/tm2530339d1_ex10-1.htm" TargetMode="External"/><Relationship Id="rId66" Type="http://schemas.openxmlformats.org/officeDocument/2006/relationships/hyperlink" Target="https://www.sec.gov/Archives/edgar/data/1070423/000110465925107695/tm2530339d1_ex10-1.htm" TargetMode="External"/><Relationship Id="rId67" Type="http://schemas.openxmlformats.org/officeDocument/2006/relationships/hyperlink" Target="https://www.sec.gov/Archives/edgar/data/1070423/000110465925107695/tm2530339d1_ex10-1.htm" TargetMode="External"/><Relationship Id="rId68" Type="http://schemas.openxmlformats.org/officeDocument/2006/relationships/image" Target="media/image1.png"/><Relationship Id="rId69" Type="http://schemas.openxmlformats.org/officeDocument/2006/relationships/image" Target="media/image2.png"/><Relationship Id="rId70" Type="http://schemas.openxmlformats.org/officeDocument/2006/relationships/image" Target="media/image1.png"/><Relationship Id="rId71" Type="http://schemas.openxmlformats.org/officeDocument/2006/relationships/image" Target="media/image1.pn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45525</Words>
  <Characters>246903</Characters>
  <CharactersWithSpaces>290019</CharactersWithSpaces>
  <Paragraphs>5898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