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w:t>
      </w:r>
    </w:p>
    <w:p>
      <w:pPr>
        <w:spacing w:after="0" w:line="1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8"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9"/>
          <w:szCs w:val="9"/>
          <w:b w:val="1"/>
          <w:bCs w:val="1"/>
          <w:color w:val="auto"/>
        </w:rPr>
        <w:t>________________________________________________________________________________________________________________________________</w:t>
      </w:r>
    </w:p>
    <w:p>
      <w:pPr>
        <w:spacing w:after="0" w:line="143" w:lineRule="exact"/>
        <w:rPr>
          <w:sz w:val="24"/>
          <w:szCs w:val="24"/>
          <w:color w:val="auto"/>
        </w:rPr>
      </w:pPr>
    </w:p>
    <w:p>
      <w:pPr>
        <w:ind w:left="3660" w:right="1560" w:hanging="3652"/>
        <w:spacing w:after="0" w:line="409" w:lineRule="auto"/>
        <w:tabs>
          <w:tab w:leader="none" w:pos="472"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1-14569</w:t>
      </w:r>
    </w:p>
    <w:p>
      <w:pPr>
        <w:spacing w:after="0" w:line="31"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w:t>
      </w:r>
    </w:p>
    <w:p>
      <w:pPr>
        <w:spacing w:after="0" w:line="2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80"/>
          </w:cols>
          <w:pgMar w:left="320" w:top="229" w:right="399" w:bottom="1440" w:gutter="0" w:footer="0" w:header="0"/>
        </w:sectPr>
      </w:pPr>
    </w:p>
    <w:p>
      <w:pPr>
        <w:spacing w:after="0" w:line="26"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sectPr>
          <w:pgSz w:w="11900" w:h="16838" w:orient="portrait"/>
          <w:cols w:equalWidth="0" w:num="2">
            <w:col w:w="7220" w:space="720"/>
            <w:col w:w="3240"/>
          </w:cols>
          <w:pgMar w:left="320" w:top="229" w:right="399"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480" w:space="720"/>
            <w:col w:w="3980"/>
          </w:cols>
          <w:pgMar w:left="320" w:top="229" w:right="399" w:bottom="1440" w:gutter="0" w:footer="0" w:header="0"/>
          <w:type w:val="continuous"/>
        </w:sectPr>
      </w:pPr>
    </w:p>
    <w:p>
      <w:pPr>
        <w:spacing w:after="0" w:line="1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(713) 646-4100</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7"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w:t>
      </w:r>
    </w:p>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310" w:type="dxa"/>
        <w:tblCellMar>
          <w:top w:w="0" w:type="dxa"/>
          <w:left w:w="0" w:type="dxa"/>
          <w:bottom w:w="0" w:type="dxa"/>
          <w:right w:w="0" w:type="dxa"/>
        </w:tblCellMar>
      </w:tblPr>
      <w:tr>
        <w:trPr>
          <w:trHeight w:val="243"/>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Units</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98" w:lineRule="exact"/>
        <w:rPr>
          <w:sz w:val="24"/>
          <w:szCs w:val="24"/>
          <w:color w:val="auto"/>
        </w:rPr>
      </w:pPr>
    </w:p>
    <w:p>
      <w:pPr>
        <w:ind w:firstLine="324"/>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62" w:lineRule="exact"/>
        <w:rPr>
          <w:sz w:val="24"/>
          <w:szCs w:val="24"/>
          <w:color w:val="auto"/>
        </w:rPr>
      </w:pPr>
    </w:p>
    <w:p>
      <w:pPr>
        <w:ind w:right="120" w:firstLine="369"/>
        <w:spacing w:after="0" w:line="26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46" w:lineRule="exact"/>
        <w:rPr>
          <w:sz w:val="24"/>
          <w:szCs w:val="24"/>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229" w:right="399" w:bottom="1440" w:gutter="0" w:footer="0" w:header="0"/>
          <w:type w:val="continuous"/>
        </w:sectPr>
      </w:pPr>
    </w:p>
    <w:p>
      <w:pPr>
        <w:spacing w:after="0" w:line="1" w:lineRule="exact"/>
        <w:rPr>
          <w:sz w:val="24"/>
          <w:szCs w:val="24"/>
          <w:color w:val="auto"/>
        </w:rPr>
      </w:pPr>
    </w:p>
    <w:p>
      <w:pPr>
        <w:ind w:left="1860"/>
        <w:spacing w:after="0" w:line="230"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20"/>
          <w:szCs w:val="20"/>
          <w:color w:val="auto"/>
        </w:rPr>
        <w:t>☑</w:t>
      </w:r>
    </w:p>
    <w:p>
      <w:pPr>
        <w:spacing w:after="0" w:line="98" w:lineRule="exact"/>
        <w:rPr>
          <w:sz w:val="24"/>
          <w:szCs w:val="24"/>
          <w:color w:val="auto"/>
        </w:rPr>
      </w:pPr>
    </w:p>
    <w:p>
      <w:pPr>
        <w:ind w:left="1940"/>
        <w:spacing w:after="0" w:line="230"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br w:type="column"/>
      </w:r>
    </w:p>
    <w:p>
      <w:pPr>
        <w:ind w:left="760"/>
        <w:spacing w:after="0" w:line="211"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20"/>
          <w:szCs w:val="20"/>
          <w:color w:val="auto"/>
        </w:rPr>
        <w:t>☐</w:t>
      </w:r>
    </w:p>
    <w:p>
      <w:pPr>
        <w:spacing w:after="0" w:line="98"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20"/>
          <w:szCs w:val="20"/>
          <w:color w:val="auto"/>
        </w:rPr>
        <w:t>☐</w:t>
      </w:r>
    </w:p>
    <w:p>
      <w:pPr>
        <w:spacing w:after="0" w:line="40"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20"/>
          <w:szCs w:val="20"/>
          <w:color w:val="auto"/>
        </w:rPr>
        <w:t>☐</w:t>
      </w:r>
    </w:p>
    <w:p>
      <w:pPr>
        <w:spacing w:after="0" w:line="126" w:lineRule="exact"/>
        <w:rPr>
          <w:sz w:val="24"/>
          <w:szCs w:val="24"/>
          <w:color w:val="auto"/>
        </w:rPr>
      </w:pPr>
    </w:p>
    <w:p>
      <w:pPr>
        <w:sectPr>
          <w:pgSz w:w="11900" w:h="16838" w:orient="portrait"/>
          <w:cols w:equalWidth="0" w:num="2">
            <w:col w:w="6800" w:space="720"/>
            <w:col w:w="3660"/>
          </w:cols>
          <w:pgMar w:left="320" w:top="229" w:right="399" w:bottom="1440" w:gutter="0" w:footer="0" w:header="0"/>
          <w:type w:val="continuous"/>
        </w:sectPr>
      </w:pPr>
    </w:p>
    <w:p>
      <w:pPr>
        <w:ind w:right="100" w:firstLine="351"/>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6" w:lineRule="exact"/>
        <w:rPr>
          <w:sz w:val="24"/>
          <w:szCs w:val="24"/>
          <w:color w:val="auto"/>
        </w:rPr>
      </w:pPr>
    </w:p>
    <w:p>
      <w:pPr>
        <w:ind w:left="340" w:right="1560"/>
        <w:spacing w:after="0" w:line="32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As of October 31, 2024, there were 703,669,059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777240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200" w:type="dxa"/>
            <w:vAlign w:val="bottom"/>
            <w:gridSpan w:val="33"/>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200" w:type="dxa"/>
            <w:vAlign w:val="bottom"/>
            <w:gridSpan w:val="33"/>
            <w:vMerge w:val="continue"/>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8"/>
              </w:rPr>
              <w:t>Item 1. UNAUDITED CONDENSED CONSOLIDATED FINANCIAL STATEMENTS:</w:t>
            </w:r>
          </w:p>
        </w:tc>
        <w:tc>
          <w:tcPr>
            <w:tcW w:w="3780" w:type="dxa"/>
            <w:vAlign w:val="bottom"/>
            <w:gridSpan w:val="10"/>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2024 and December 31, 2023</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September 30, 2024 and 2023</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95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For the three and nine months ended September 30, 2024 and 2023</w:t>
            </w:r>
          </w:p>
        </w:tc>
        <w:tc>
          <w:tcPr>
            <w:tcW w:w="560" w:type="dxa"/>
            <w:vAlign w:val="bottom"/>
            <w:gridSpan w:val="2"/>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95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Accumulated Other Comprehensive Income/(Loss): For the nine months ended</w:t>
            </w:r>
          </w:p>
        </w:tc>
        <w:tc>
          <w:tcPr>
            <w:tcW w:w="560" w:type="dxa"/>
            <w:vAlign w:val="bottom"/>
            <w:gridSpan w:val="2"/>
          </w:tcPr>
          <w:p>
            <w:pPr>
              <w:spacing w:after="0"/>
              <w:rPr>
                <w:sz w:val="18"/>
                <w:szCs w:val="18"/>
                <w:color w:val="auto"/>
              </w:rPr>
            </w:pPr>
          </w:p>
        </w:tc>
        <w:tc>
          <w:tcPr>
            <w:tcW w:w="10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9260" w:type="dxa"/>
            <w:vAlign w:val="bottom"/>
            <w:tcBorders>
              <w:top w:val="single" w:sz="8" w:color="0000FF"/>
            </w:tcBorders>
            <w:gridSpan w:val="28"/>
          </w:tcPr>
          <w:p>
            <w:pPr>
              <w:spacing w:after="0" w:line="142" w:lineRule="exact"/>
              <w:rPr>
                <w:sz w:val="20"/>
                <w:szCs w:val="20"/>
                <w:color w:val="auto"/>
              </w:rPr>
            </w:pPr>
            <w:r>
              <w:rPr>
                <w:rFonts w:ascii="Times New Roman" w:cs="Times New Roman" w:eastAsia="Times New Roman" w:hAnsi="Times New Roman"/>
                <w:sz w:val="16"/>
                <w:szCs w:val="16"/>
                <w:color w:val="0000FF"/>
              </w:rPr>
              <w:t>September 30, 2024 and 2023</w:t>
            </w:r>
          </w:p>
        </w:tc>
        <w:tc>
          <w:tcPr>
            <w:tcW w:w="44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540" w:type="dxa"/>
            <w:vAlign w:val="bottom"/>
            <w:gridSpan w:val="2"/>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tcPr>
          <w:p>
            <w:pPr>
              <w:spacing w:after="0"/>
              <w:rPr>
                <w:sz w:val="18"/>
                <w:szCs w:val="18"/>
                <w:color w:val="auto"/>
              </w:rPr>
            </w:pPr>
          </w:p>
        </w:tc>
        <w:tc>
          <w:tcPr>
            <w:tcW w:w="79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September 30, 2024 and 2023</w:t>
            </w:r>
          </w:p>
        </w:tc>
        <w:tc>
          <w:tcPr>
            <w:tcW w:w="2140" w:type="dxa"/>
            <w:vAlign w:val="bottom"/>
            <w:gridSpan w:val="6"/>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Partners’ Capital: For the three and nine months ended September 30, 2024 and 2023</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9840" w:type="dxa"/>
            <w:vAlign w:val="bottom"/>
            <w:tcBorders>
              <w:top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1.</w:t>
            </w:r>
          </w:p>
        </w:tc>
        <w:tc>
          <w:tcPr>
            <w:tcW w:w="42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w w:val="99"/>
              </w:rPr>
              <w:t>Organization and Basis of Consolidation and Presentation</w:t>
            </w:r>
          </w:p>
        </w:tc>
        <w:tc>
          <w:tcPr>
            <w:tcW w:w="5520" w:type="dxa"/>
            <w:vAlign w:val="bottom"/>
            <w:gridSpan w:val="11"/>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2.</w:t>
            </w:r>
          </w:p>
        </w:tc>
        <w:tc>
          <w:tcPr>
            <w:tcW w:w="42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Revenues and Accounts Receivable</w:t>
            </w:r>
          </w:p>
        </w:tc>
        <w:tc>
          <w:tcPr>
            <w:tcW w:w="5520" w:type="dxa"/>
            <w:vAlign w:val="bottom"/>
            <w:gridSpan w:val="11"/>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0" w:type="dxa"/>
            <w:vAlign w:val="bottom"/>
            <w:tcBorders>
              <w:top w:val="single" w:sz="8" w:color="0000FF"/>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8"/>
              </w:rPr>
              <w:t>3. Net Income Per Common Unit</w:t>
            </w:r>
          </w:p>
        </w:tc>
        <w:tc>
          <w:tcPr>
            <w:tcW w:w="360" w:type="dxa"/>
            <w:vAlign w:val="bottom"/>
            <w:tcBorders>
              <w:top w:val="single" w:sz="8" w:color="0000FF"/>
            </w:tcBorders>
            <w:gridSpan w:val="5"/>
          </w:tcPr>
          <w:p>
            <w:pPr>
              <w:spacing w:after="0"/>
              <w:rPr>
                <w:sz w:val="18"/>
                <w:szCs w:val="18"/>
                <w:color w:val="auto"/>
              </w:rPr>
            </w:pPr>
          </w:p>
        </w:tc>
        <w:tc>
          <w:tcPr>
            <w:tcW w:w="7120" w:type="dxa"/>
            <w:vAlign w:val="bottom"/>
            <w:gridSpan w:val="17"/>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4.</w:t>
            </w:r>
          </w:p>
        </w:tc>
        <w:tc>
          <w:tcPr>
            <w:tcW w:w="3220" w:type="dxa"/>
            <w:vAlign w:val="bottom"/>
            <w:tcBorders>
              <w:bottom w:val="single" w:sz="8" w:color="0000FF"/>
            </w:tcBorders>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Inventory, Linefill and Long-term Inventory</w:t>
            </w:r>
          </w:p>
        </w:tc>
        <w:tc>
          <w:tcPr>
            <w:tcW w:w="6500" w:type="dxa"/>
            <w:vAlign w:val="bottom"/>
            <w:gridSpan w:val="15"/>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5.</w:t>
            </w:r>
          </w:p>
        </w:tc>
        <w:tc>
          <w:tcPr>
            <w:tcW w:w="3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7"/>
              </w:rPr>
              <w:t>Debt</w:t>
            </w:r>
          </w:p>
        </w:tc>
        <w:tc>
          <w:tcPr>
            <w:tcW w:w="9340" w:type="dxa"/>
            <w:vAlign w:val="bottom"/>
            <w:gridSpan w:val="2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6.</w:t>
            </w:r>
          </w:p>
        </w:tc>
        <w:tc>
          <w:tcPr>
            <w:tcW w:w="2580" w:type="dxa"/>
            <w:vAlign w:val="bottom"/>
            <w:tcBorders>
              <w:bottom w:val="single" w:sz="8" w:color="0000FF"/>
            </w:tcBorders>
            <w:gridSpan w:val="11"/>
          </w:tcPr>
          <w:p>
            <w:pPr>
              <w:ind w:left="20"/>
              <w:spacing w:after="0"/>
              <w:rPr>
                <w:sz w:val="20"/>
                <w:szCs w:val="20"/>
                <w:color w:val="auto"/>
              </w:rPr>
            </w:pPr>
            <w:r>
              <w:rPr>
                <w:rFonts w:ascii="Times New Roman" w:cs="Times New Roman" w:eastAsia="Times New Roman" w:hAnsi="Times New Roman"/>
                <w:sz w:val="18"/>
                <w:szCs w:val="18"/>
                <w:color w:val="0000FF"/>
              </w:rPr>
              <w:t>Partners’ Capital and Distributions</w:t>
            </w:r>
          </w:p>
        </w:tc>
        <w:tc>
          <w:tcPr>
            <w:tcW w:w="7140" w:type="dxa"/>
            <w:vAlign w:val="bottom"/>
            <w:gridSpan w:val="1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7.</w:t>
            </w:r>
          </w:p>
        </w:tc>
        <w:tc>
          <w:tcPr>
            <w:tcW w:w="3280" w:type="dxa"/>
            <w:vAlign w:val="bottom"/>
            <w:tcBorders>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Derivatives and Risk Management Activities</w:t>
            </w:r>
          </w:p>
        </w:tc>
        <w:tc>
          <w:tcPr>
            <w:tcW w:w="6440" w:type="dxa"/>
            <w:vAlign w:val="bottom"/>
            <w:gridSpan w:val="13"/>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8.</w:t>
            </w:r>
          </w:p>
        </w:tc>
        <w:tc>
          <w:tcPr>
            <w:tcW w:w="9720" w:type="dxa"/>
            <w:vAlign w:val="bottom"/>
            <w:gridSpan w:val="29"/>
          </w:tcPr>
          <w:p>
            <w:pPr>
              <w:ind w:left="20"/>
              <w:spacing w:after="0"/>
              <w:rPr>
                <w:sz w:val="20"/>
                <w:szCs w:val="20"/>
                <w:color w:val="auto"/>
              </w:rPr>
            </w:pPr>
            <w:r>
              <w:rPr>
                <w:rFonts w:ascii="Times New Roman" w:cs="Times New Roman" w:eastAsia="Times New Roman" w:hAnsi="Times New Roman"/>
                <w:sz w:val="18"/>
                <w:szCs w:val="18"/>
                <w:color w:val="0000FF"/>
              </w:rPr>
              <w:t>Related Party Transactions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9.</w:t>
            </w:r>
          </w:p>
        </w:tc>
        <w:tc>
          <w:tcPr>
            <w:tcW w:w="9720" w:type="dxa"/>
            <w:vAlign w:val="bottom"/>
            <w:gridSpan w:val="29"/>
          </w:tcPr>
          <w:p>
            <w:pPr>
              <w:ind w:left="20"/>
              <w:spacing w:after="0"/>
              <w:rPr>
                <w:sz w:val="20"/>
                <w:szCs w:val="20"/>
                <w:color w:val="auto"/>
              </w:rPr>
            </w:pPr>
            <w:r>
              <w:rPr>
                <w:rFonts w:ascii="Times New Roman" w:cs="Times New Roman" w:eastAsia="Times New Roman" w:hAnsi="Times New Roman"/>
                <w:sz w:val="18"/>
                <w:szCs w:val="18"/>
                <w:color w:val="0000FF"/>
              </w:rPr>
              <w:t>Commitments and Contingencies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Borders>
              <w:top w:val="single" w:sz="8" w:color="0000FF"/>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8"/>
              </w:rPr>
              <w:t>10. Segment Information</w:t>
            </w:r>
          </w:p>
        </w:tc>
        <w:tc>
          <w:tcPr>
            <w:tcW w:w="760" w:type="dxa"/>
            <w:vAlign w:val="bottom"/>
            <w:tcBorders>
              <w:top w:val="single" w:sz="8" w:color="0000FF"/>
            </w:tcBorders>
            <w:gridSpan w:val="4"/>
          </w:tcPr>
          <w:p>
            <w:pPr>
              <w:spacing w:after="0"/>
              <w:rPr>
                <w:sz w:val="18"/>
                <w:szCs w:val="18"/>
                <w:color w:val="auto"/>
              </w:rPr>
            </w:pPr>
          </w:p>
        </w:tc>
        <w:tc>
          <w:tcPr>
            <w:tcW w:w="7300" w:type="dxa"/>
            <w:vAlign w:val="bottom"/>
            <w:gridSpan w:val="20"/>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48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720" w:type="dxa"/>
            <w:vAlign w:val="bottom"/>
            <w:gridSpan w:val="4"/>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70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8"/>
              </w:rPr>
              <w:t>Item 3. QUANTITATIVE AND QUALITATIVE DISCLOSURES ABOUT MARKET RISK</w:t>
            </w:r>
          </w:p>
        </w:tc>
        <w:tc>
          <w:tcPr>
            <w:tcW w:w="3500" w:type="dxa"/>
            <w:vAlign w:val="bottom"/>
            <w:gridSpan w:val="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7040" w:type="dxa"/>
            <w:vAlign w:val="bottom"/>
            <w:gridSpan w:val="16"/>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020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44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320" w:type="dxa"/>
            <w:vAlign w:val="bottom"/>
            <w:tcBorders>
              <w:top w:val="single" w:sz="8" w:color="0000FF"/>
            </w:tcBorders>
            <w:gridSpan w:val="2"/>
          </w:tcPr>
          <w:p>
            <w:pPr>
              <w:spacing w:after="0"/>
              <w:rPr>
                <w:sz w:val="18"/>
                <w:szCs w:val="18"/>
                <w:color w:val="auto"/>
              </w:rPr>
            </w:pPr>
          </w:p>
        </w:tc>
        <w:tc>
          <w:tcPr>
            <w:tcW w:w="7440" w:type="dxa"/>
            <w:vAlign w:val="bottom"/>
            <w:gridSpan w:val="21"/>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8260" w:type="dxa"/>
            <w:vAlign w:val="bottom"/>
            <w:gridSpan w:val="25"/>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3580" w:type="dxa"/>
            <w:vAlign w:val="bottom"/>
            <w:gridSpan w:val="9"/>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Item 4. MINE SAFETY DISCLOSURES</w:t>
            </w:r>
          </w:p>
        </w:tc>
        <w:tc>
          <w:tcPr>
            <w:tcW w:w="740" w:type="dxa"/>
            <w:vAlign w:val="bottom"/>
            <w:tcBorders>
              <w:top w:val="single" w:sz="8" w:color="0000FF"/>
            </w:tcBorders>
            <w:gridSpan w:val="5"/>
          </w:tcPr>
          <w:p>
            <w:pPr>
              <w:spacing w:after="0"/>
              <w:rPr>
                <w:sz w:val="18"/>
                <w:szCs w:val="18"/>
                <w:color w:val="auto"/>
              </w:rPr>
            </w:pPr>
          </w:p>
        </w:tc>
        <w:tc>
          <w:tcPr>
            <w:tcW w:w="6460" w:type="dxa"/>
            <w:vAlign w:val="bottom"/>
            <w:gridSpan w:val="14"/>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7760" w:type="dxa"/>
            <w:vAlign w:val="bottom"/>
            <w:gridSpan w:val="23"/>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820" w:type="dxa"/>
            <w:vAlign w:val="bottom"/>
            <w:gridSpan w:val="26"/>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UNAUDITED CONDENSED CONSOLIDATED FINANCIAL STATEMENTS</w:t>
      </w:r>
    </w:p>
    <w:p>
      <w:pPr>
        <w:spacing w:after="0" w:line="11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unit data)</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4"/>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3"/>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48"/>
        </w:trPr>
        <w:tc>
          <w:tcPr>
            <w:tcW w:w="8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accounts receivable and other receivables, net</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3,760</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Inventory</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r>
      <w:tr>
        <w:trPr>
          <w:trHeight w:val="21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current assets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5,169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4,913</w:t>
            </w:r>
          </w:p>
        </w:tc>
      </w:tr>
      <w:tr>
        <w:trPr>
          <w:trHeight w:val="132"/>
        </w:trPr>
        <w:tc>
          <w:tcPr>
            <w:tcW w:w="8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PROPERTY AND EQUIPMENT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21,143</w:t>
            </w:r>
          </w:p>
        </w:tc>
      </w:tr>
      <w:tr>
        <w:trPr>
          <w:trHeight w:val="23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(5,813)</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(5,361)</w:t>
            </w:r>
          </w:p>
        </w:tc>
      </w:tr>
      <w:tr>
        <w:trPr>
          <w:trHeight w:val="21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15,651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15,782</w:t>
            </w:r>
          </w:p>
        </w:tc>
      </w:tr>
      <w:tr>
        <w:trPr>
          <w:trHeight w:val="132"/>
        </w:trPr>
        <w:tc>
          <w:tcPr>
            <w:tcW w:w="8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ASSETS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2,820</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1,875</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Linefill</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operating lease right-of-use assets, net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inventory</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r>
      <w:tr>
        <w:trPr>
          <w:trHeight w:val="22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long-term assets, net</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411</w:t>
            </w:r>
          </w:p>
        </w:tc>
      </w:tr>
      <w:tr>
        <w:trPr>
          <w:trHeight w:val="252"/>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8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PARTNERS’ CAPITAL</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49"/>
        </w:trPr>
        <w:tc>
          <w:tcPr>
            <w:tcW w:w="8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 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3,675</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3,844</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debt</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w:t>
            </w:r>
          </w:p>
        </w:tc>
      </w:tr>
      <w:tr>
        <w:trPr>
          <w:trHeight w:val="22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713</w:t>
            </w:r>
          </w:p>
        </w:tc>
      </w:tr>
      <w:tr>
        <w:trPr>
          <w:trHeight w:val="22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5,003</w:t>
            </w:r>
          </w:p>
        </w:tc>
      </w:tr>
      <w:tr>
        <w:trPr>
          <w:trHeight w:val="132"/>
        </w:trPr>
        <w:tc>
          <w:tcPr>
            <w:tcW w:w="8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LONG-TERM LIABILITIES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notes, net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7,242</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debt, net</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 and deferred credits</w:t>
            </w: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1,006</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w:t>
            </w:r>
          </w:p>
        </w:tc>
      </w:tr>
      <w:tr>
        <w:trPr>
          <w:trHeight w:val="21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long-term liabilities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8,487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8,620</w:t>
            </w:r>
          </w:p>
        </w:tc>
      </w:tr>
      <w:tr>
        <w:trPr>
          <w:trHeight w:val="92"/>
        </w:trPr>
        <w:tc>
          <w:tcPr>
            <w:tcW w:w="8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COMMITMENTS AND CONTINGENCIES (NOTE 9)</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10"/>
        </w:trPr>
        <w:tc>
          <w:tcPr>
            <w:tcW w:w="8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PARTNERS’ CAPITAL</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Series A preferred unitholders (71,090,468 and 71,090,468 units outstanding, respectively)</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1,509</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Series B preferred unitholders (800,000 and 800,000 units outstanding, respectively)</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unitholders (703,669,059 and 701,008,749 units outstanding, respectively)</w:t>
            </w: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7,935</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8,126</w:t>
            </w:r>
          </w:p>
        </w:tc>
      </w:tr>
      <w:tr>
        <w:trPr>
          <w:trHeight w:val="219"/>
        </w:trPr>
        <w:tc>
          <w:tcPr>
            <w:tcW w:w="8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partners’ capital excluding noncontrolling interests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10,422</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3,297</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3,310</w:t>
            </w:r>
          </w:p>
        </w:tc>
      </w:tr>
      <w:tr>
        <w:trPr>
          <w:trHeight w:val="21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partners’ capital</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13,532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13,732</w:t>
            </w:r>
          </w:p>
        </w:tc>
      </w:tr>
      <w:tr>
        <w:trPr>
          <w:trHeight w:val="252"/>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liabilities and partners’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unit data)</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340" w:type="dxa"/>
            <w:vAlign w:val="bottom"/>
            <w:gridSpan w:val="4"/>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95"/>
        </w:trPr>
        <w:tc>
          <w:tcPr>
            <w:tcW w:w="5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center"/>
              <w:ind w:left="45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3"/>
          </w:tcPr>
          <w:p>
            <w:pPr>
              <w:jc w:val="center"/>
              <w:ind w:left="43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20" w:type="dxa"/>
            <w:vAlign w:val="bottom"/>
          </w:tcPr>
          <w:p>
            <w:pPr>
              <w:spacing w:after="0"/>
              <w:rPr>
                <w:sz w:val="17"/>
                <w:szCs w:val="17"/>
                <w:color w:val="auto"/>
              </w:rPr>
            </w:pPr>
          </w:p>
        </w:tc>
      </w:tr>
      <w:tr>
        <w:trPr>
          <w:trHeight w:val="23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 revenues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12,282</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36,321</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34,726</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revenues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r>
      <w:tr>
        <w:trPr>
          <w:trHeight w:val="223"/>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36,014</w:t>
            </w:r>
          </w:p>
        </w:tc>
      </w:tr>
      <w:tr>
        <w:trPr>
          <w:trHeight w:val="162"/>
        </w:trPr>
        <w:tc>
          <w:tcPr>
            <w:tcW w:w="5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32,972</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(Gains)/losses on asset sales, net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3"/>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34,929</w:t>
            </w:r>
          </w:p>
        </w:tc>
      </w:tr>
      <w:tr>
        <w:trPr>
          <w:trHeight w:val="162"/>
        </w:trPr>
        <w:tc>
          <w:tcPr>
            <w:tcW w:w="5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r>
      <w:tr>
        <w:trPr>
          <w:trHeight w:val="162"/>
        </w:trPr>
        <w:tc>
          <w:tcPr>
            <w:tcW w:w="5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investment in unconsolidated entities</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capitalized interest of $2, $3, $7, and $8, respectively)</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142"/>
        </w:trPr>
        <w:tc>
          <w:tcPr>
            <w:tcW w:w="58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142"/>
        </w:trPr>
        <w:tc>
          <w:tcPr>
            <w:tcW w:w="5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r>
      <w:tr>
        <w:trPr>
          <w:trHeight w:val="230"/>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PAA</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29"/>
        </w:trPr>
        <w:tc>
          <w:tcPr>
            <w:tcW w:w="5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COMMON UNIT (NOTE 3):</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allocated to common unitholders — Basic and Diluted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30"/>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 weighted average common units outstanding</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54"/>
        </w:trPr>
        <w:tc>
          <w:tcPr>
            <w:tcW w:w="5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2300"/>
        <w:spacing w:after="0" w:line="278" w:lineRule="auto"/>
        <w:rPr>
          <w:sz w:val="20"/>
          <w:szCs w:val="20"/>
          <w:color w:val="auto"/>
        </w:rPr>
      </w:pPr>
      <w:r>
        <w:rPr>
          <w:rFonts w:ascii="Times New Roman" w:cs="Times New Roman" w:eastAsia="Times New Roman" w:hAnsi="Times New Roman"/>
          <w:sz w:val="18"/>
          <w:szCs w:val="18"/>
          <w:b w:val="1"/>
          <w:bCs w:val="1"/>
          <w:color w:val="auto"/>
        </w:rPr>
        <w:t>PLAINS ALL AMERICAN PIPELINE, L.P. AND SUBSIDIARIES CONDENSED CONSOLIDATED STATEMENTS OF COMPREHENSIVE INCOME (in millions)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220" w:type="dxa"/>
            <w:vAlign w:val="bottom"/>
            <w:gridSpan w:val="4"/>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gridSpan w:val="4"/>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80" w:type="dxa"/>
            <w:vAlign w:val="bottom"/>
          </w:tcPr>
          <w:p>
            <w:pPr>
              <w:spacing w:after="0"/>
              <w:rPr>
                <w:sz w:val="13"/>
                <w:szCs w:val="13"/>
                <w:color w:val="auto"/>
              </w:rPr>
            </w:pPr>
          </w:p>
        </w:tc>
      </w:tr>
      <w:tr>
        <w:trPr>
          <w:trHeight w:val="195"/>
        </w:trPr>
        <w:tc>
          <w:tcPr>
            <w:tcW w:w="58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r>
      <w:tr>
        <w:trPr>
          <w:trHeight w:val="195"/>
        </w:trPr>
        <w:tc>
          <w:tcPr>
            <w:tcW w:w="586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r>
      <w:tr>
        <w:trPr>
          <w:trHeight w:val="196"/>
        </w:trPr>
        <w:tc>
          <w:tcPr>
            <w:tcW w:w="5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gridSpan w:val="3"/>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gridSpan w:val="3"/>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80" w:type="dxa"/>
            <w:vAlign w:val="bottom"/>
          </w:tcPr>
          <w:p>
            <w:pPr>
              <w:spacing w:after="0"/>
              <w:rPr>
                <w:sz w:val="17"/>
                <w:szCs w:val="17"/>
                <w:color w:val="auto"/>
              </w:rPr>
            </w:pPr>
          </w:p>
        </w:tc>
      </w:tr>
      <w:tr>
        <w:trPr>
          <w:trHeight w:val="23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1,103</w:t>
            </w:r>
          </w:p>
        </w:tc>
      </w:tr>
      <w:tr>
        <w:trPr>
          <w:trHeight w:val="229"/>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(35)</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1,153</w:t>
            </w:r>
          </w:p>
        </w:tc>
      </w:tr>
      <w:tr>
        <w:trPr>
          <w:trHeight w:val="229"/>
        </w:trPr>
        <w:tc>
          <w:tcPr>
            <w:tcW w:w="5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(76)</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PAA</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200" w:type="dxa"/>
            <w:vAlign w:val="bottom"/>
          </w:tcPr>
          <w:p>
            <w:pPr>
              <w:spacing w:after="0"/>
              <w:rPr>
                <w:sz w:val="13"/>
                <w:szCs w:val="13"/>
                <w:color w:val="auto"/>
              </w:rPr>
            </w:pPr>
          </w:p>
        </w:tc>
        <w:tc>
          <w:tcPr>
            <w:tcW w:w="13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380" w:type="dxa"/>
            <w:vAlign w:val="bottom"/>
          </w:tcPr>
          <w:p>
            <w:pPr>
              <w:spacing w:after="0"/>
              <w:rPr>
                <w:sz w:val="13"/>
                <w:szCs w:val="13"/>
                <w:color w:val="auto"/>
              </w:rPr>
            </w:pPr>
          </w:p>
        </w:tc>
        <w:tc>
          <w:tcPr>
            <w:tcW w:w="11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3"/>
                <w:szCs w:val="13"/>
                <w:color w:val="auto"/>
              </w:rPr>
            </w:pPr>
          </w:p>
        </w:tc>
        <w:tc>
          <w:tcPr>
            <w:tcW w:w="10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5"/>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gain on hedges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4"/>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0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3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20" w:type="dxa"/>
            <w:vAlign w:val="bottom"/>
            <w:gridSpan w:val="4"/>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32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period activity</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200" w:type="dxa"/>
            <w:vAlign w:val="bottom"/>
          </w:tcPr>
          <w:p>
            <w:pPr>
              <w:spacing w:after="0"/>
              <w:rPr>
                <w:sz w:val="24"/>
                <w:szCs w:val="24"/>
                <w:color w:val="auto"/>
              </w:rPr>
            </w:pPr>
          </w:p>
        </w:tc>
        <w:tc>
          <w:tcPr>
            <w:tcW w:w="13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380" w:type="dxa"/>
            <w:vAlign w:val="bottom"/>
          </w:tcPr>
          <w:p>
            <w:pPr>
              <w:spacing w:after="0"/>
              <w:rPr>
                <w:sz w:val="24"/>
                <w:szCs w:val="24"/>
                <w:color w:val="auto"/>
              </w:rPr>
            </w:pPr>
          </w:p>
        </w:tc>
        <w:tc>
          <w:tcPr>
            <w:tcW w:w="11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24"/>
                <w:szCs w:val="24"/>
                <w:color w:val="auto"/>
              </w:rPr>
            </w:pPr>
          </w:p>
        </w:tc>
        <w:tc>
          <w:tcPr>
            <w:tcW w:w="10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00" w:type="dxa"/>
            <w:vAlign w:val="bottom"/>
          </w:tcPr>
          <w:p>
            <w:pPr>
              <w:spacing w:after="0"/>
              <w:rPr>
                <w:sz w:val="16"/>
                <w:szCs w:val="16"/>
                <w:color w:val="auto"/>
              </w:rPr>
            </w:pPr>
          </w:p>
        </w:tc>
        <w:tc>
          <w:tcPr>
            <w:tcW w:w="13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8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5"/>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5"/>
              </w:rPr>
              <w:t>(1)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Unrealized gain on hedges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0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period activity</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gridSpan w:val="2"/>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5"/>
              </w:rPr>
              <w:t>(1)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24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gridSpan w:val="3"/>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Pr>
          <w:p>
            <w:pPr>
              <w:spacing w:after="0"/>
              <w:rPr>
                <w:sz w:val="17"/>
                <w:szCs w:val="17"/>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80" w:type="dxa"/>
            <w:vAlign w:val="bottom"/>
          </w:tcPr>
          <w:p>
            <w:pPr>
              <w:jc w:val="right"/>
              <w:ind w:right="697"/>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993</w:t>
            </w:r>
          </w:p>
        </w:tc>
        <w:tc>
          <w:tcPr>
            <w:tcW w:w="120" w:type="dxa"/>
            <w:vAlign w:val="bottom"/>
          </w:tcPr>
          <w:p>
            <w:pPr>
              <w:spacing w:after="0"/>
              <w:rPr>
                <w:sz w:val="19"/>
                <w:szCs w:val="19"/>
                <w:color w:val="auto"/>
              </w:rPr>
            </w:pPr>
          </w:p>
        </w:tc>
        <w:tc>
          <w:tcPr>
            <w:tcW w:w="44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1,103</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Reconciliation of net income to net cash provided by operating activities:</w:t>
            </w: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6"/>
        </w:trPr>
        <w:tc>
          <w:tcPr>
            <w:tcW w:w="8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w:t>
            </w:r>
          </w:p>
        </w:tc>
      </w:tr>
      <w:tr>
        <w:trPr>
          <w:trHeight w:val="23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(Gains)/losses on asset sales, net</w:t>
            </w: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r>
      <w:tr>
        <w:trPr>
          <w:trHeight w:val="226"/>
        </w:trPr>
        <w:tc>
          <w:tcPr>
            <w:tcW w:w="8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Deferred income tax benefit</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3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Gain on foreign currency revaluation</w:t>
            </w: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6"/>
        </w:trPr>
        <w:tc>
          <w:tcPr>
            <w:tcW w:w="8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Settlement of terminated interest rate hedging instruments (Note 7)</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3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fair value of Preferred Distribution Rate Reset Option (Note 7)</w:t>
            </w:r>
          </w:p>
        </w:tc>
        <w:tc>
          <w:tcPr>
            <w:tcW w:w="8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26"/>
        </w:trPr>
        <w:tc>
          <w:tcPr>
            <w:tcW w:w="8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w:t>
            </w:r>
          </w:p>
        </w:tc>
      </w:tr>
      <w:tr>
        <w:trPr>
          <w:trHeight w:val="23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Distributions on earnings from unconsolidated entities</w:t>
            </w: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w:t>
            </w:r>
          </w:p>
        </w:tc>
      </w:tr>
      <w:tr>
        <w:trPr>
          <w:trHeight w:val="226"/>
        </w:trPr>
        <w:tc>
          <w:tcPr>
            <w:tcW w:w="8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Gain on investment in unconsolidated entities</w:t>
            </w:r>
          </w:p>
        </w:tc>
        <w:tc>
          <w:tcPr>
            <w:tcW w:w="8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3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2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Changes in assets and liabilities, net of acquisitions</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1,716</w:t>
            </w:r>
          </w:p>
        </w:tc>
      </w:tr>
      <w:tr>
        <w:trPr>
          <w:trHeight w:val="92"/>
        </w:trPr>
        <w:tc>
          <w:tcPr>
            <w:tcW w:w="8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980" w:type="dxa"/>
            <w:vAlign w:val="bottom"/>
          </w:tcPr>
          <w:p>
            <w:pPr>
              <w:spacing w:after="0"/>
              <w:rPr>
                <w:sz w:val="7"/>
                <w:szCs w:val="7"/>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paid in connection with acquisitions, net of cash acquired</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 to property, equipment and other</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purchases of linefill</w:t>
            </w: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sales of assets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received from sales of linefill</w:t>
            </w:r>
          </w:p>
        </w:tc>
        <w:tc>
          <w:tcPr>
            <w:tcW w:w="8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 in related party notes (Note 8)</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8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w:t>
            </w:r>
          </w:p>
        </w:tc>
      </w:tr>
      <w:tr>
        <w:trPr>
          <w:trHeight w:val="92"/>
        </w:trPr>
        <w:tc>
          <w:tcPr>
            <w:tcW w:w="82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repayments under commercial paper program (Note 5)</w:t>
            </w: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the issuance of senior notes (Note 5)</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Repayments of senior notes</w:t>
            </w:r>
          </w:p>
        </w:tc>
        <w:tc>
          <w:tcPr>
            <w:tcW w:w="8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the issuance of related party notes (Note 8)</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Distributions paid to Series A preferred unitholders (Note 6)</w:t>
            </w: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Distributions paid to Series B preferred unitholders (Note 6)</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Distributions paid to common unitholders (Note 6)</w:t>
            </w: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Distributions paid to noncontrolling interests (Note 6)</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Contributions from noncontrolling interests</w:t>
            </w: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2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w:t>
            </w:r>
          </w:p>
        </w:tc>
      </w:tr>
      <w:tr>
        <w:trPr>
          <w:trHeight w:val="92"/>
        </w:trPr>
        <w:tc>
          <w:tcPr>
            <w:tcW w:w="8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980" w:type="dxa"/>
            <w:vAlign w:val="bottom"/>
          </w:tcPr>
          <w:p>
            <w:pPr>
              <w:spacing w:after="0"/>
              <w:rPr>
                <w:sz w:val="7"/>
                <w:szCs w:val="7"/>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translation adjustment</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108"/>
        </w:trPr>
        <w:tc>
          <w:tcPr>
            <w:tcW w:w="8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increase/(decrease) in cash and cash equivalents and restricted cash</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r>
      <w:tr>
        <w:trPr>
          <w:trHeight w:val="22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and restricted cash, beginning of period</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w:t>
            </w:r>
          </w:p>
        </w:tc>
      </w:tr>
      <w:tr>
        <w:trPr>
          <w:trHeight w:val="252"/>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and restricted cash, end of period</w:t>
            </w:r>
          </w:p>
        </w:tc>
        <w:tc>
          <w:tcPr>
            <w:tcW w:w="88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8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6"/>
        </w:trPr>
        <w:tc>
          <w:tcPr>
            <w:tcW w:w="8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net of amounts capitalized</w:t>
            </w:r>
          </w:p>
        </w:tc>
        <w:tc>
          <w:tcPr>
            <w:tcW w:w="880" w:type="dxa"/>
            <w:vAlign w:val="bottom"/>
          </w:tcPr>
          <w:p>
            <w:pPr>
              <w:jc w:val="right"/>
              <w:ind w:right="697"/>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20" w:type="dxa"/>
            <w:vAlign w:val="bottom"/>
          </w:tcPr>
          <w:p>
            <w:pPr>
              <w:spacing w:after="0"/>
              <w:rPr>
                <w:sz w:val="19"/>
                <w:szCs w:val="19"/>
                <w:color w:val="auto"/>
              </w:rPr>
            </w:pPr>
          </w:p>
        </w:tc>
        <w:tc>
          <w:tcPr>
            <w:tcW w:w="44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r>
      <w:tr>
        <w:trPr>
          <w:trHeight w:val="23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taxes, net of amounts refunded</w:t>
            </w:r>
          </w:p>
        </w:tc>
        <w:tc>
          <w:tcPr>
            <w:tcW w:w="880" w:type="dxa"/>
            <w:vAlign w:val="bottom"/>
            <w:shd w:val="clear" w:color="auto" w:fill="CCEEFF"/>
          </w:tcPr>
          <w:p>
            <w:pPr>
              <w:jc w:val="right"/>
              <w:ind w:right="697"/>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bl>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PLAINS ALL AMERICAN PIPELINE, L.P. AND SUBSIDIARIES CONDENSED CONSOLIDATED STATEMENTS OF CHANGES IN PARTNERS’ CAPITAL (in millions)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Preferred Unitholders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 Excluding</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8"/>
        </w:trPr>
        <w:tc>
          <w:tcPr>
            <w:tcW w:w="316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restart"/>
          </w:tcPr>
          <w:p>
            <w:pPr>
              <w:jc w:val="center"/>
              <w:ind w:right="300"/>
              <w:spacing w:after="0" w:line="122"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5"/>
                <w:szCs w:val="5"/>
                <w:color w:val="auto"/>
              </w:rPr>
            </w:pPr>
          </w:p>
        </w:tc>
        <w:tc>
          <w:tcPr>
            <w:tcW w:w="122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5"/>
                <w:szCs w:val="5"/>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5"/>
                <w:szCs w:val="5"/>
                <w:color w:val="auto"/>
              </w:rPr>
            </w:pPr>
          </w:p>
        </w:tc>
        <w:tc>
          <w:tcPr>
            <w:tcW w:w="1040" w:type="dxa"/>
            <w:vAlign w:val="bottom"/>
            <w:vMerge w:val="restart"/>
          </w:tcPr>
          <w:p>
            <w:pPr>
              <w:jc w:val="center"/>
              <w:ind w:right="135"/>
              <w:spacing w:after="0" w:line="122"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0" w:type="dxa"/>
            <w:vAlign w:val="bottom"/>
          </w:tcPr>
          <w:p>
            <w:pPr>
              <w:spacing w:after="0"/>
              <w:rPr>
                <w:sz w:val="1"/>
                <w:szCs w:val="1"/>
                <w:color w:val="auto"/>
              </w:rPr>
            </w:pPr>
          </w:p>
        </w:tc>
      </w:tr>
      <w:tr>
        <w:trPr>
          <w:trHeight w:val="34"/>
        </w:trPr>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880" w:type="dxa"/>
            <w:vAlign w:val="bottom"/>
            <w:vMerge w:val="restart"/>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95"/>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13,732</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546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Distributions (Note 6)</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29"/>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Contributions from noncontrolling</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13,532</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3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Preferred Unitholders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 Excluding</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8"/>
        </w:trPr>
        <w:tc>
          <w:tcPr>
            <w:tcW w:w="316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restart"/>
          </w:tcPr>
          <w:p>
            <w:pPr>
              <w:jc w:val="center"/>
              <w:ind w:right="300"/>
              <w:spacing w:after="0" w:line="122"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5"/>
                <w:szCs w:val="5"/>
                <w:color w:val="auto"/>
              </w:rPr>
            </w:pPr>
          </w:p>
        </w:tc>
        <w:tc>
          <w:tcPr>
            <w:tcW w:w="122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5"/>
                <w:szCs w:val="5"/>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5"/>
                <w:szCs w:val="5"/>
                <w:color w:val="auto"/>
              </w:rPr>
            </w:pPr>
          </w:p>
        </w:tc>
        <w:tc>
          <w:tcPr>
            <w:tcW w:w="1040" w:type="dxa"/>
            <w:vAlign w:val="bottom"/>
            <w:vMerge w:val="restart"/>
          </w:tcPr>
          <w:p>
            <w:pPr>
              <w:jc w:val="center"/>
              <w:ind w:right="135"/>
              <w:spacing w:after="0" w:line="122"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0" w:type="dxa"/>
            <w:vAlign w:val="bottom"/>
          </w:tcPr>
          <w:p>
            <w:pPr>
              <w:spacing w:after="0"/>
              <w:rPr>
                <w:sz w:val="1"/>
                <w:szCs w:val="1"/>
                <w:color w:val="auto"/>
              </w:rPr>
            </w:pPr>
          </w:p>
        </w:tc>
      </w:tr>
      <w:tr>
        <w:trPr>
          <w:trHeight w:val="34"/>
        </w:trPr>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880" w:type="dxa"/>
            <w:vAlign w:val="bottom"/>
            <w:vMerge w:val="restart"/>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95"/>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13,578</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Distributions (Note 6)</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30"/>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Contributions from noncontrolling</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13,532</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PARTNERS’ CAPITAL</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Preferred Unitholders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 Excluding</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restart"/>
          </w:tcPr>
          <w:p>
            <w:pPr>
              <w:jc w:val="center"/>
              <w:ind w:right="300"/>
              <w:spacing w:after="0" w:line="122"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5"/>
                <w:szCs w:val="5"/>
                <w:color w:val="auto"/>
              </w:rPr>
            </w:pPr>
          </w:p>
        </w:tc>
        <w:tc>
          <w:tcPr>
            <w:tcW w:w="124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5"/>
                <w:szCs w:val="5"/>
                <w:color w:val="auto"/>
              </w:rPr>
            </w:pPr>
          </w:p>
        </w:tc>
        <w:tc>
          <w:tcPr>
            <w:tcW w:w="124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5"/>
                <w:szCs w:val="5"/>
                <w:color w:val="auto"/>
              </w:rPr>
            </w:pPr>
          </w:p>
        </w:tc>
        <w:tc>
          <w:tcPr>
            <w:tcW w:w="1040" w:type="dxa"/>
            <w:vAlign w:val="bottom"/>
            <w:vMerge w:val="restart"/>
          </w:tcPr>
          <w:p>
            <w:pPr>
              <w:jc w:val="center"/>
              <w:ind w:right="155"/>
              <w:spacing w:after="0" w:line="122"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0" w:type="dxa"/>
            <w:vAlign w:val="bottom"/>
          </w:tcPr>
          <w:p>
            <w:pPr>
              <w:spacing w:after="0"/>
              <w:rPr>
                <w:sz w:val="1"/>
                <w:szCs w:val="1"/>
                <w:color w:val="auto"/>
              </w:rPr>
            </w:pPr>
          </w:p>
        </w:tc>
      </w:tr>
      <w:tr>
        <w:trPr>
          <w:trHeight w:val="34"/>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880" w:type="dxa"/>
            <w:vAlign w:val="bottom"/>
            <w:vMerge w:val="restart"/>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0" w:type="dxa"/>
            <w:vAlign w:val="bottom"/>
          </w:tcPr>
          <w:p>
            <w:pPr>
              <w:spacing w:after="0"/>
              <w:rPr>
                <w:sz w:val="1"/>
                <w:szCs w:val="1"/>
                <w:color w:val="auto"/>
              </w:rPr>
            </w:pPr>
          </w:p>
        </w:tc>
      </w:tr>
      <w:tr>
        <w:trPr>
          <w:trHeight w:val="195"/>
        </w:trPr>
        <w:tc>
          <w:tcPr>
            <w:tcW w:w="3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13,325</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1,103</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Distributions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29"/>
        </w:trPr>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76"/>
        </w:trPr>
        <w:tc>
          <w:tcPr>
            <w:tcW w:w="310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Contributions from noncontrolling</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13,551</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Preferred Unitholders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 Excluding</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restart"/>
          </w:tcPr>
          <w:p>
            <w:pPr>
              <w:jc w:val="center"/>
              <w:ind w:right="300"/>
              <w:spacing w:after="0" w:line="122"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5"/>
                <w:szCs w:val="5"/>
                <w:color w:val="auto"/>
              </w:rPr>
            </w:pPr>
          </w:p>
        </w:tc>
        <w:tc>
          <w:tcPr>
            <w:tcW w:w="124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5"/>
                <w:szCs w:val="5"/>
                <w:color w:val="auto"/>
              </w:rPr>
            </w:pPr>
          </w:p>
        </w:tc>
        <w:tc>
          <w:tcPr>
            <w:tcW w:w="124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5"/>
                <w:szCs w:val="5"/>
                <w:color w:val="auto"/>
              </w:rPr>
            </w:pPr>
          </w:p>
        </w:tc>
        <w:tc>
          <w:tcPr>
            <w:tcW w:w="1040" w:type="dxa"/>
            <w:vAlign w:val="bottom"/>
            <w:vMerge w:val="restart"/>
          </w:tcPr>
          <w:p>
            <w:pPr>
              <w:jc w:val="center"/>
              <w:ind w:right="155"/>
              <w:spacing w:after="0" w:line="122"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0" w:type="dxa"/>
            <w:vAlign w:val="bottom"/>
          </w:tcPr>
          <w:p>
            <w:pPr>
              <w:spacing w:after="0"/>
              <w:rPr>
                <w:sz w:val="1"/>
                <w:szCs w:val="1"/>
                <w:color w:val="auto"/>
              </w:rPr>
            </w:pPr>
          </w:p>
        </w:tc>
      </w:tr>
      <w:tr>
        <w:trPr>
          <w:trHeight w:val="34"/>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880" w:type="dxa"/>
            <w:vAlign w:val="bottom"/>
            <w:vMerge w:val="restart"/>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0" w:type="dxa"/>
            <w:vAlign w:val="bottom"/>
          </w:tcPr>
          <w:p>
            <w:pPr>
              <w:spacing w:after="0"/>
              <w:rPr>
                <w:sz w:val="1"/>
                <w:szCs w:val="1"/>
                <w:color w:val="auto"/>
              </w:rPr>
            </w:pPr>
          </w:p>
        </w:tc>
      </w:tr>
      <w:tr>
        <w:trPr>
          <w:trHeight w:val="195"/>
        </w:trPr>
        <w:tc>
          <w:tcPr>
            <w:tcW w:w="3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13,602</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Distributions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29"/>
        </w:trPr>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76"/>
        </w:trPr>
        <w:tc>
          <w:tcPr>
            <w:tcW w:w="310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Contributions from noncontrolling</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13,551</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Basis of Consolidation and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Plains All American Pipeline, L.P. (“PAA”) is a Delaware limited partnership formed in 1998. Our operations are conducted directly and indirectly through our primary operating subsidiaries. As used in this Form 10-Q and unless the context indicates otherwise, the terms “Partnership,” “we,” “us,” “our,” “ours” and similar terms refer to PAA and its subsidiaries.</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we own an extensive network of pipeline transportation, terminalling, storage and gathering assets in key crude oil and natural gas liquids (“NGL”) producing basins (including the Permian Basin) and transportation corridors and at major market hubs in the United States and Canada. Our assets and the services we provide are primarily focused on and conducted through two operating segments: Crude Oil and NGL. See Note 10 for further discussion of our operating segments.</w:t>
      </w:r>
    </w:p>
    <w:p>
      <w:pPr>
        <w:spacing w:after="0" w:line="18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non-economic general partner interest is held by PAA GP LLC (“PAA GP”), a Delaware limited liability company, whose sole member is Plains AAP, L.P. (“AAP”), a Delaware limited partnership. In addition to its ownership of PAA GP, as of September 30, 2024, AAP also owned a limited partner interest in us through its ownership of approximately 232.9 million of our common units (approximately 30% of our total outstanding common units and Series A preferred units combined). Plains All American GP LLC (“GP LLC”), a Delaware limited liability company, is AAP’s general partner. Plains GP Holdings, L.P. (“PAGP”) is the sole and managing member of GP LLC, and, at September 30, 2024, owned an approximate 85% limited partner interest in AAP. PAA GP Holdings LLC (“PAGP GP”) is the general partner of PAGP.</w:t>
      </w:r>
    </w:p>
    <w:p>
      <w:pPr>
        <w:spacing w:after="0" w:line="18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w:t>
      </w:r>
    </w:p>
    <w:p>
      <w:pPr>
        <w:spacing w:after="0" w:line="203"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References to our “general partner,” as the context requires, include any or all of PAGP GP, PAGP, GP LLC, AAP and PAA GP. References to “Plains entities,” as the context requires, include any or all of PAA and its subsidiaries and our general partner.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defined terms may be used in this Form 10-Q and shall have the meanings indicated below:</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AOCI</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ASC</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ASU</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Bcf</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Billion cubic feet</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Btu</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British thermal unit</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CAD</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Canadian dollar</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CODM</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Operating Decision Maker</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Earnings before interest, taxes, depreciation and amortization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EPA</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Environmental Protection Agency</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FASB</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Generally accepted accounting principles in the United States</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ICE</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Intercontinental Exchange</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ISDA</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International Swaps and Derivatives Association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LTIP</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incentive plan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Mcf</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Thousand cubic feet</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MMbls</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Million barrels</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NGL</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Natural gas liquids, including ethane, propane and butane</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NYMEX</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York Mercantile Exchange</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OECD</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Organisation for Economic Co-operation and Development</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SOFR</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TWh</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Terawatt hour</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USD</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dollar</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WTI</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West Texas Intermediate</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 and Presentation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interim financial statements and related notes thereto should be read in conjunction with our 2023 Annual Report on Form 10-K. The accompanying condensed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The condensed consolidated balance sheet data as of December 31, 2023 was derived from audited financial statements, but does not include all disclosures required by GAAP. The results of operations for the three and nine months ended September 30, 2024 should not be taken as indicative of results to be expected for the entire year. All adjustments (consisting only of normal recurring adjustments) that in the opinion of management were necessary for a fair statement of the results for the interim periods have been reflected. All significant intercompany balances and transactions have been eliminated in consolidation, and certain reclassifications have been made to information from previous years to conform to the current presentation.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5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Subsequent events have been evaluated through the financial statements issuance date and have been included in the following footnotes where applicable.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Disclosure Rules and Other Legislation</w:t>
      </w:r>
    </w:p>
    <w:p>
      <w:pPr>
        <w:spacing w:after="0" w:line="25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Except as discussed in our 2023 Annual Report on Form 10-K, there have been no new accounting pronouncements that have become effective or have been issued during the nine months ended September 30, 2024 that are of significance or potential significance to us.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 Climate Disclosure Rules</w:t>
      </w:r>
    </w:p>
    <w:p>
      <w:pPr>
        <w:spacing w:after="0" w:line="254"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March 2024, the SEC adopted final rules (“climate disclosure rules”) requiring registrants to disclose, among other things, information about material climate-related risks and their impact on a registrant’s strategy, business model and outlook; information about material direct and indirect greenhouse gas emissions (Scope 1 and Scope 2), which are subject to assurance requirements; and the financial statement effects of severe weather events and other natural conditions. Such disclosure requirements will begin phasing in for annual periods beginning in 2025. In April 2024, the SEC stayed the climate disclosure rules pending resolution of legal challenges. We are currently evaluating the climate disclosure rules to determine the impact on our related disclosures.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International Tax Reform</w:t>
      </w:r>
    </w:p>
    <w:p>
      <w:pPr>
        <w:spacing w:after="0" w:line="254"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Recently, several countries, including Canada, have enacted legislation to implement key aspects of the global minimum top-up tax in accordance with the Pillar Two model rules of the OECD tax framework. We continue to evaluate the new legislation, but do not currently expect a material impact on our financial position, results of operations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2—Revenues and Accounts Receivable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We disaggregate our revenues by segment and type of activity. See Note 3 to our Consolidated Financial Statements included in Part IV of our 2023 Annual Report on Form 10-K for additional information regarding our types of revenues and policies for revenue recognition.</w:t>
      </w:r>
    </w:p>
    <w:p>
      <w:pPr>
        <w:spacing w:after="0" w:line="187"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from Contracts with Customers. </w:t>
      </w:r>
      <w:r>
        <w:rPr>
          <w:rFonts w:ascii="Times New Roman" w:cs="Times New Roman" w:eastAsia="Times New Roman" w:hAnsi="Times New Roman"/>
          <w:sz w:val="18"/>
          <w:szCs w:val="18"/>
          <w:color w:val="auto"/>
        </w:rPr>
        <w:t>The following tables present our revenues from contracts with customers disaggregated by segment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type of activity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340" w:type="dxa"/>
            <w:vAlign w:val="bottom"/>
            <w:gridSpan w:val="5"/>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8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95"/>
        </w:trPr>
        <w:tc>
          <w:tcPr>
            <w:tcW w:w="58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Crude Oil segment revenues from contracts with customers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0"/>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w:t>
            </w: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12,046</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33,843</w:t>
            </w:r>
          </w:p>
        </w:tc>
      </w:tr>
      <w:tr>
        <w:trPr>
          <w:trHeight w:val="230"/>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Transportation</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30"/>
        </w:trPr>
        <w:tc>
          <w:tcPr>
            <w:tcW w:w="5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Terminalling, Storage and Other</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Crude Oil segment revenues from contracts with customers</w:t>
            </w: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34,966</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73"/>
        </w:trPr>
        <w:tc>
          <w:tcPr>
            <w:tcW w:w="5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24"/>
                <w:szCs w:val="24"/>
                <w:color w:val="auto"/>
              </w:rPr>
            </w:pPr>
          </w:p>
        </w:tc>
        <w:tc>
          <w:tcPr>
            <w:tcW w:w="2340" w:type="dxa"/>
            <w:vAlign w:val="bottom"/>
            <w:gridSpan w:val="5"/>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5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r>
      <w:tr>
        <w:trPr>
          <w:trHeight w:val="196"/>
        </w:trPr>
        <w:tc>
          <w:tcPr>
            <w:tcW w:w="58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NGL segment revenues from contracts with customers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0"/>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w:t>
            </w: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30"/>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Transportation</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5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Terminalling, Storage and Other</w:t>
            </w: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NGL segment revenues from contracts with customers</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Reconciliation to Total Revenues of Reportable Segments. </w:t>
      </w:r>
      <w:r>
        <w:rPr>
          <w:rFonts w:ascii="Times New Roman" w:cs="Times New Roman" w:eastAsia="Times New Roman" w:hAnsi="Times New Roman"/>
          <w:sz w:val="18"/>
          <w:szCs w:val="18"/>
          <w:color w:val="auto"/>
        </w:rPr>
        <w:t>The following disclosures only include information regarding revenues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entities; revenues from entities accounted for by the equity method are not included. The following tables present the reconciliation of our revenues from contracts with customers to total revenues of reportable segments and total revenues as disclosed in our Condensed Consolidated Statements of Operations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24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NGL</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12,785</w:t>
            </w:r>
          </w:p>
        </w:tc>
      </w:tr>
      <w:tr>
        <w:trPr>
          <w:trHeight w:val="23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6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12,832</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 elimination</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12,743</w:t>
            </w:r>
          </w:p>
        </w:tc>
      </w:tr>
      <w:tr>
        <w:trPr>
          <w:trHeight w:val="20"/>
        </w:trPr>
        <w:tc>
          <w:tcPr>
            <w:tcW w:w="6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96"/>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24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40" w:type="dxa"/>
            <w:vAlign w:val="bottom"/>
          </w:tcPr>
          <w:p>
            <w:pPr>
              <w:spacing w:after="0"/>
              <w:rPr>
                <w:sz w:val="24"/>
                <w:szCs w:val="24"/>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NGL</w:t>
            </w:r>
          </w:p>
        </w:tc>
        <w:tc>
          <w:tcPr>
            <w:tcW w:w="34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12,270</w:t>
            </w:r>
          </w:p>
        </w:tc>
      </w:tr>
      <w:tr>
        <w:trPr>
          <w:trHeight w:val="23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3"/>
        </w:trPr>
        <w:tc>
          <w:tcPr>
            <w:tcW w:w="6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12,176</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 elimination</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12,071</w:t>
            </w:r>
          </w:p>
        </w:tc>
      </w:tr>
      <w:tr>
        <w:trPr>
          <w:trHeight w:val="20"/>
        </w:trPr>
        <w:tc>
          <w:tcPr>
            <w:tcW w:w="6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96"/>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24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40" w:type="dxa"/>
            <w:vAlign w:val="bottom"/>
          </w:tcPr>
          <w:p>
            <w:pPr>
              <w:spacing w:after="0"/>
              <w:rPr>
                <w:sz w:val="24"/>
                <w:szCs w:val="24"/>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NGL</w:t>
            </w:r>
          </w:p>
        </w:tc>
        <w:tc>
          <w:tcPr>
            <w:tcW w:w="34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38,040</w:t>
            </w:r>
          </w:p>
        </w:tc>
      </w:tr>
      <w:tr>
        <w:trPr>
          <w:trHeight w:val="23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67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37,950</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 elimination</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37,671</w:t>
            </w:r>
          </w:p>
        </w:tc>
      </w:tr>
      <w:tr>
        <w:trPr>
          <w:trHeight w:val="20"/>
        </w:trPr>
        <w:tc>
          <w:tcPr>
            <w:tcW w:w="6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96"/>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24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40" w:type="dxa"/>
            <w:vAlign w:val="bottom"/>
          </w:tcPr>
          <w:p>
            <w:pPr>
              <w:spacing w:after="0"/>
              <w:rPr>
                <w:sz w:val="24"/>
                <w:szCs w:val="24"/>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NGL</w:t>
            </w:r>
          </w:p>
        </w:tc>
        <w:tc>
          <w:tcPr>
            <w:tcW w:w="34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36,231</w:t>
            </w:r>
          </w:p>
        </w:tc>
      </w:tr>
      <w:tr>
        <w:trPr>
          <w:trHeight w:val="229"/>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6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36,300</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 elimination</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36,014</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Minimum Volume Commitments. </w:t>
      </w:r>
      <w:r>
        <w:rPr>
          <w:rFonts w:ascii="Times New Roman" w:cs="Times New Roman" w:eastAsia="Times New Roman" w:hAnsi="Times New Roman"/>
          <w:sz w:val="18"/>
          <w:szCs w:val="18"/>
          <w:color w:val="auto"/>
        </w:rPr>
        <w:t>We have certain agreements that require counterparties to transport or throughput a minimum volume over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agreed upon period. 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Counterparty Deficiencies</w:t>
            </w:r>
          </w:p>
        </w:tc>
        <w:tc>
          <w:tcPr>
            <w:tcW w:w="3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Statement Classification</w:t>
            </w:r>
          </w:p>
        </w:tc>
        <w:tc>
          <w:tcPr>
            <w:tcW w:w="142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3760" w:type="dxa"/>
            <w:vAlign w:val="bottom"/>
            <w:gridSpan w:val="2"/>
            <w:vMerge w:val="continue"/>
          </w:tcPr>
          <w:p>
            <w:pPr>
              <w:spacing w:after="0"/>
              <w:rPr>
                <w:sz w:val="17"/>
                <w:szCs w:val="17"/>
                <w:color w:val="auto"/>
              </w:rPr>
            </w:pPr>
          </w:p>
        </w:tc>
        <w:tc>
          <w:tcPr>
            <w:tcW w:w="3800" w:type="dxa"/>
            <w:vAlign w:val="bottom"/>
            <w:gridSpan w:val="2"/>
            <w:vMerge w:val="continue"/>
          </w:tcPr>
          <w:p>
            <w:pPr>
              <w:spacing w:after="0"/>
              <w:rPr>
                <w:sz w:val="17"/>
                <w:szCs w:val="17"/>
                <w:color w:val="auto"/>
              </w:rPr>
            </w:pPr>
          </w:p>
        </w:tc>
        <w:tc>
          <w:tcPr>
            <w:tcW w:w="142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Billed and collected</w:t>
            </w:r>
          </w:p>
        </w:tc>
        <w:tc>
          <w:tcPr>
            <w:tcW w:w="12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124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48" w:lineRule="exact"/>
        <w:rPr>
          <w:sz w:val="20"/>
          <w:szCs w:val="20"/>
          <w:color w:val="auto"/>
        </w:rPr>
      </w:pPr>
    </w:p>
    <w:p>
      <w:pPr>
        <w:ind w:right="200"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Contract Balances</w:t>
      </w:r>
      <w:r>
        <w:rPr>
          <w:rFonts w:ascii="Times New Roman" w:cs="Times New Roman" w:eastAsia="Times New Roman" w:hAnsi="Times New Roman"/>
          <w:sz w:val="17"/>
          <w:szCs w:val="17"/>
          <w:color w:val="auto"/>
        </w:rPr>
        <w:t>. Our contract balances consist of amounts received associated with services or sales for which we have not yet completed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related performance obligation. The following table presents the changes in the liability balance associated with contracts with customers (in millions):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Amounts recognized as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Additions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Contract Liabilities</w:t>
      </w:r>
    </w:p>
    <w:p>
      <w:pPr>
        <w:spacing w:after="0" w:line="61"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11226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5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(37)</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36</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w:t>
      </w:r>
    </w:p>
    <w:p>
      <w:pPr>
        <w:spacing w:after="0" w:line="31"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11226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760" w:space="720"/>
            <w:col w:w="1760"/>
          </w:cols>
          <w:pgMar w:left="320" w:top="121" w:right="339" w:bottom="1440" w:gutter="0" w:footer="0" w:header="0"/>
          <w:type w:val="continuous"/>
        </w:sectPr>
      </w:pPr>
    </w:p>
    <w:p>
      <w:pPr>
        <w:spacing w:after="0" w:line="172"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Remaining Performance Obligations</w:t>
      </w:r>
      <w:r>
        <w:rPr>
          <w:rFonts w:ascii="Times New Roman" w:cs="Times New Roman" w:eastAsia="Times New Roman" w:hAnsi="Times New Roman"/>
          <w:sz w:val="18"/>
          <w:szCs w:val="18"/>
          <w:color w:val="auto"/>
        </w:rPr>
        <w:t>. The information below includes the amount of consideration allocated to partially and wholly unsatisfied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performance obligations under contracts that existed as of the end of the periods and the timing of revenue recognition of those remaining performance obligations. Certain contracts meet the requirements for the presentation as remaining performance obligations. These contracts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September 30, 2024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26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2029 and</w:t>
            </w: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62"/>
        </w:trPr>
        <w:tc>
          <w:tcPr>
            <w:tcW w:w="436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Pipeline revenues supported by minimum volume</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commitments and capacity agreements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Terminalling, storage and other agreement revenues</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640" w:hanging="632"/>
        <w:spacing w:after="0"/>
        <w:tabs>
          <w:tab w:leader="none" w:pos="64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Calculated as volumes committed under contracts multiplied by the current applicable tariff rate.</w:t>
      </w:r>
    </w:p>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spacing w:after="0" w:line="210" w:lineRule="exact"/>
        <w:rPr>
          <w:sz w:val="20"/>
          <w:szCs w:val="20"/>
          <w:color w:val="auto"/>
        </w:rPr>
      </w:pPr>
    </w:p>
    <w:p>
      <w:pPr>
        <w:ind w:left="820" w:hanging="164"/>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volume commitments on certain of our joint venture pipeline systems;</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Acreage dedications;</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Buy/sell arrangements with future committed volumes;</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contracts and those with variable consideration, due to the election of practical expedients;</w:t>
      </w:r>
    </w:p>
    <w:p>
      <w:pPr>
        <w:spacing w:after="0" w:line="115"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Contracts within the scope of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Contracts within the scope of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and Other Receivables, Net</w:t>
      </w:r>
    </w:p>
    <w:p>
      <w:pPr>
        <w:spacing w:after="0" w:line="256"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At September 30, 2024 and December 31, 2023,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100" w:firstLine="648"/>
        <w:spacing w:after="0" w:line="270" w:lineRule="auto"/>
        <w:rPr>
          <w:sz w:val="20"/>
          <w:szCs w:val="20"/>
          <w:color w:val="auto"/>
        </w:rPr>
      </w:pPr>
      <w:r>
        <w:rPr>
          <w:rFonts w:ascii="Times New Roman" w:cs="Times New Roman" w:eastAsia="Times New Roman" w:hAnsi="Times New Roman"/>
          <w:sz w:val="18"/>
          <w:szCs w:val="18"/>
          <w:color w:val="auto"/>
        </w:rPr>
        <w:t>The following is a reconciliation of trade accounts receivable from revenues from contracts with customers to total Trade accounts receivable and other receivables, net as presented on our Condensed Consolidated Balance Sheets (in millions):</w:t>
      </w:r>
    </w:p>
    <w:tbl>
      <w:tblPr>
        <w:tblLayout w:type="fixed"/>
        <w:tblInd w:w="0" w:type="dxa"/>
        <w:tblCellMar>
          <w:top w:w="0" w:type="dxa"/>
          <w:left w:w="0" w:type="dxa"/>
          <w:bottom w:w="0" w:type="dxa"/>
          <w:right w:w="0" w:type="dxa"/>
        </w:tblCellMar>
      </w:tblPr>
      <w:tr>
        <w:trPr>
          <w:trHeight w:val="149"/>
        </w:trPr>
        <w:tc>
          <w:tcPr>
            <w:tcW w:w="38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122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388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 arising from revenues from contracts with customers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center"/>
              <w:ind w:left="596"/>
              <w:spacing w:after="0"/>
              <w:rPr>
                <w:sz w:val="20"/>
                <w:szCs w:val="20"/>
                <w:color w:val="auto"/>
              </w:rPr>
            </w:pPr>
            <w:r>
              <w:rPr>
                <w:rFonts w:ascii="Times New Roman" w:cs="Times New Roman" w:eastAsia="Times New Roman" w:hAnsi="Times New Roman"/>
                <w:sz w:val="18"/>
                <w:szCs w:val="18"/>
                <w:color w:val="auto"/>
                <w:w w:val="98"/>
              </w:rPr>
              <w:t>4,043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576"/>
              <w:spacing w:after="0"/>
              <w:rPr>
                <w:sz w:val="20"/>
                <w:szCs w:val="20"/>
                <w:color w:val="auto"/>
              </w:rPr>
            </w:pPr>
            <w:r>
              <w:rPr>
                <w:rFonts w:ascii="Times New Roman" w:cs="Times New Roman" w:eastAsia="Times New Roman" w:hAnsi="Times New Roman"/>
                <w:sz w:val="18"/>
                <w:szCs w:val="18"/>
                <w:color w:val="auto"/>
                <w:w w:val="98"/>
              </w:rPr>
              <w:t>3,999</w:t>
            </w:r>
          </w:p>
        </w:tc>
      </w:tr>
      <w:tr>
        <w:trPr>
          <w:trHeight w:val="230"/>
        </w:trPr>
        <w:tc>
          <w:tcPr>
            <w:tcW w:w="82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trade accounts receivables and other receivables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240" w:type="dxa"/>
            <w:vAlign w:val="bottom"/>
          </w:tcPr>
          <w:p>
            <w:pPr>
              <w:jc w:val="center"/>
              <w:ind w:left="596"/>
              <w:spacing w:after="0"/>
              <w:rPr>
                <w:sz w:val="20"/>
                <w:szCs w:val="20"/>
                <w:color w:val="auto"/>
              </w:rPr>
            </w:pPr>
            <w:r>
              <w:rPr>
                <w:rFonts w:ascii="Times New Roman" w:cs="Times New Roman" w:eastAsia="Times New Roman" w:hAnsi="Times New Roman"/>
                <w:sz w:val="18"/>
                <w:szCs w:val="18"/>
                <w:color w:val="auto"/>
                <w:w w:val="98"/>
              </w:rPr>
              <w:t>7,740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left="576"/>
              <w:spacing w:after="0"/>
              <w:rPr>
                <w:sz w:val="20"/>
                <w:szCs w:val="20"/>
                <w:color w:val="auto"/>
              </w:rPr>
            </w:pPr>
            <w:r>
              <w:rPr>
                <w:rFonts w:ascii="Times New Roman" w:cs="Times New Roman" w:eastAsia="Times New Roman" w:hAnsi="Times New Roman"/>
                <w:sz w:val="18"/>
                <w:szCs w:val="18"/>
                <w:color w:val="auto"/>
                <w:w w:val="98"/>
              </w:rPr>
              <w:t>7,535</w:t>
            </w: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due to contractual rights of offset with counterparties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576"/>
              <w:spacing w:after="0"/>
              <w:rPr>
                <w:sz w:val="20"/>
                <w:szCs w:val="20"/>
                <w:color w:val="auto"/>
              </w:rPr>
            </w:pPr>
            <w:r>
              <w:rPr>
                <w:rFonts w:ascii="Times New Roman" w:cs="Times New Roman" w:eastAsia="Times New Roman" w:hAnsi="Times New Roman"/>
                <w:sz w:val="18"/>
                <w:szCs w:val="18"/>
                <w:color w:val="auto"/>
              </w:rPr>
              <w:t>(7,831)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556"/>
              <w:spacing w:after="0"/>
              <w:rPr>
                <w:sz w:val="20"/>
                <w:szCs w:val="20"/>
                <w:color w:val="auto"/>
              </w:rPr>
            </w:pPr>
            <w:r>
              <w:rPr>
                <w:rFonts w:ascii="Times New Roman" w:cs="Times New Roman" w:eastAsia="Times New Roman" w:hAnsi="Times New Roman"/>
                <w:sz w:val="18"/>
                <w:szCs w:val="18"/>
                <w:color w:val="auto"/>
              </w:rPr>
              <w:t>(7,774)</w:t>
            </w:r>
          </w:p>
        </w:tc>
      </w:tr>
      <w:tr>
        <w:trPr>
          <w:trHeight w:val="22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Trade accounts receivable and other receivables, net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center"/>
              <w:ind w:left="596"/>
              <w:spacing w:after="0"/>
              <w:rPr>
                <w:sz w:val="20"/>
                <w:szCs w:val="20"/>
                <w:color w:val="auto"/>
              </w:rPr>
            </w:pPr>
            <w:r>
              <w:rPr>
                <w:rFonts w:ascii="Times New Roman" w:cs="Times New Roman" w:eastAsia="Times New Roman" w:hAnsi="Times New Roman"/>
                <w:sz w:val="18"/>
                <w:szCs w:val="18"/>
                <w:color w:val="auto"/>
                <w:w w:val="98"/>
              </w:rPr>
              <w:t>3,952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center"/>
              <w:ind w:left="576"/>
              <w:spacing w:after="0"/>
              <w:rPr>
                <w:sz w:val="20"/>
                <w:szCs w:val="20"/>
                <w:color w:val="auto"/>
              </w:rPr>
            </w:pPr>
            <w:r>
              <w:rPr>
                <w:rFonts w:ascii="Times New Roman" w:cs="Times New Roman" w:eastAsia="Times New Roman" w:hAnsi="Times New Roman"/>
                <w:sz w:val="18"/>
                <w:szCs w:val="18"/>
                <w:color w:val="auto"/>
                <w:w w:val="98"/>
              </w:rPr>
              <w:t>3,760</w:t>
            </w:r>
          </w:p>
        </w:tc>
      </w:tr>
      <w:tr>
        <w:trPr>
          <w:trHeight w:val="20"/>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pacing w:after="0" w:line="87" w:lineRule="exact"/>
        <w:rPr>
          <w:sz w:val="20"/>
          <w:szCs w:val="20"/>
          <w:color w:val="auto"/>
        </w:rPr>
      </w:pPr>
    </w:p>
    <w:p>
      <w:pPr>
        <w:ind w:left="640" w:hanging="632"/>
        <w:spacing w:after="0"/>
        <w:tabs>
          <w:tab w:leader="none" w:pos="64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balance is comprised primarily of accounts receivable associated with buy/sell arrangements that are not within the scope of ASC 606.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3—Net Income Per Common Unit</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calculate basic and diluted net income per common unit by dividing net income attributable to PAA (after deducting amounts allocated to the preferred unitholders and participating securities) by the basic and diluted weighted average number of common units outstanding during the period.</w:t>
      </w:r>
    </w:p>
    <w:p>
      <w:pPr>
        <w:spacing w:after="0" w:line="189"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The diluted weighted average number of common units is computed based on the weighted average number of common units plus the effect of potentially dilutive securities outstanding during the period, which include (i) our Series A preferred units and (ii) our equity-indexed compensation plan awards. See Note 11 and Note 17 to our Consolidated Financial Statements included in Part IV of our 2023 Annual Report on Form 10-K for a discussion of our Series A preferred units and equity-indexed compensation plan awards. When applying the if-converted method prescribed by FASB guidance, the possible conversion of approximately 71 million Series A preferred units, on a weighted-average basis, were excluded from the calculation of diluted net income per common unit for each of the three and nine months ended September 30, 2024 and 2023 as the effect was antidilutive. 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during the period are reduced by a hypothetical common unit repurchase based on the remaining unamortized fair value, as prescribed by the treasury stock method in guidance issued by the FASB.</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common unit (in millions, except per unit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140" w:type="dxa"/>
            <w:vAlign w:val="bottom"/>
            <w:gridSpan w:val="4"/>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38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191"/>
        </w:trPr>
        <w:tc>
          <w:tcPr>
            <w:tcW w:w="38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388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0"/>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Income per Common Unit</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0"/>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800" w:type="dxa"/>
            <w:vAlign w:val="bottom"/>
          </w:tcPr>
          <w:p>
            <w:pPr>
              <w:jc w:val="right"/>
              <w:ind w:right="59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800" w:type="dxa"/>
            <w:vAlign w:val="bottom"/>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29"/>
        </w:trPr>
        <w:tc>
          <w:tcPr>
            <w:tcW w:w="6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0"/>
        </w:trPr>
        <w:tc>
          <w:tcPr>
            <w:tcW w:w="6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6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allocated to participating securities</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60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6000" w:type="dxa"/>
            <w:vAlign w:val="bottom"/>
            <w:tcBorders>
              <w:bottom w:val="single" w:sz="8" w:color="CCEEFF"/>
            </w:tcBorders>
            <w:gridSpan w:val="2"/>
            <w:shd w:val="clear" w:color="auto" w:fill="CCEEFF"/>
          </w:tcPr>
          <w:p>
            <w:pPr>
              <w:ind w:left="180"/>
              <w:spacing w:after="0" w:line="223" w:lineRule="exact"/>
              <w:rPr>
                <w:sz w:val="20"/>
                <w:szCs w:val="20"/>
                <w:color w:val="auto"/>
              </w:rPr>
            </w:pPr>
            <w:r>
              <w:rPr>
                <w:rFonts w:ascii="Times New Roman" w:cs="Times New Roman" w:eastAsia="Times New Roman" w:hAnsi="Times New Roman"/>
                <w:sz w:val="18"/>
                <w:szCs w:val="18"/>
                <w:color w:val="auto"/>
              </w:rPr>
              <w:t xml:space="preserve">Net income allocated to common unitholders </w:t>
            </w:r>
            <w:r>
              <w:rPr>
                <w:rFonts w:ascii="Times New Roman" w:cs="Times New Roman" w:eastAsia="Times New Roman" w:hAnsi="Times New Roman"/>
                <w:sz w:val="23"/>
                <w:szCs w:val="23"/>
                <w:color w:val="auto"/>
                <w:vertAlign w:val="superscript"/>
              </w:rPr>
              <w:t>(1)</w:t>
            </w:r>
          </w:p>
        </w:tc>
        <w:tc>
          <w:tcPr>
            <w:tcW w:w="800" w:type="dxa"/>
            <w:vAlign w:val="bottom"/>
            <w:tcBorders>
              <w:bottom w:val="single" w:sz="8" w:color="auto"/>
            </w:tcBorders>
            <w:shd w:val="clear" w:color="auto" w:fill="CCEEFF"/>
          </w:tcPr>
          <w:p>
            <w:pPr>
              <w:jc w:val="right"/>
              <w:ind w:right="59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8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6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weighted average common units outstanding</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57"/>
        </w:trPr>
        <w:tc>
          <w:tcPr>
            <w:tcW w:w="38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54"/>
        </w:trPr>
        <w:tc>
          <w:tcPr>
            <w:tcW w:w="6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800" w:type="dxa"/>
            <w:vAlign w:val="bottom"/>
            <w:tcBorders>
              <w:bottom w:val="single" w:sz="8" w:color="auto"/>
            </w:tcBorders>
            <w:shd w:val="clear" w:color="auto" w:fill="CCEEFF"/>
          </w:tcPr>
          <w:p>
            <w:pPr>
              <w:jc w:val="right"/>
              <w:ind w:right="59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23"/>
        </w:trPr>
        <w:tc>
          <w:tcPr>
            <w:tcW w:w="3880" w:type="dxa"/>
            <w:vAlign w:val="bottom"/>
            <w:tcBorders>
              <w:bottom w:val="single" w:sz="8" w:color="auto"/>
            </w:tcBorders>
          </w:tcPr>
          <w:p>
            <w:pPr>
              <w:spacing w:after="0"/>
              <w:rPr>
                <w:sz w:val="10"/>
                <w:szCs w:val="10"/>
                <w:color w:val="auto"/>
              </w:rPr>
            </w:pPr>
          </w:p>
        </w:tc>
        <w:tc>
          <w:tcPr>
            <w:tcW w:w="2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0" w:lineRule="exact"/>
        <w:rPr>
          <w:sz w:val="20"/>
          <w:szCs w:val="20"/>
          <w:color w:val="auto"/>
        </w:rPr>
      </w:pPr>
    </w:p>
    <w:p>
      <w:pPr>
        <w:ind w:left="660" w:right="60" w:hanging="652"/>
        <w:spacing w:after="0" w:line="239" w:lineRule="auto"/>
        <w:tabs>
          <w:tab w:leader="none" w:pos="64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calculate net income allocated to common unitholders based on the distributions pertaining to the current period’s net income. After adjusting for the appropriate period’s distributions, the remaining undistributed earnings or excess distributions over earnings (i.e., undistributed loss), if any, are allocated to the common unitholders and participating securities in accordance with the contractual terms of our partnership agreement in effect for the period and as further prescribed under the two-class method.</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4—Inventory, Linefill and Long-term Inventory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linefill and long-term inventory consisted of the following (barrels in thousands and carrying value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080" w:type="dxa"/>
            <w:vAlign w:val="bottom"/>
            <w:tcBorders>
              <w:top w:val="single" w:sz="8" w:color="auto"/>
            </w:tcBorders>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080" w:type="dxa"/>
            <w:vAlign w:val="bottom"/>
            <w:tcBorders>
              <w:top w:val="single" w:sz="8" w:color="auto"/>
            </w:tcBorders>
            <w:gridSpan w:val="2"/>
          </w:tcPr>
          <w:p>
            <w:pPr>
              <w:ind w:left="260"/>
              <w:spacing w:after="0" w:line="129" w:lineRule="exact"/>
              <w:rPr>
                <w:sz w:val="20"/>
                <w:szCs w:val="20"/>
                <w:color w:val="auto"/>
              </w:rPr>
            </w:pPr>
            <w:r>
              <w:rPr>
                <w:rFonts w:ascii="Times New Roman" w:cs="Times New Roman" w:eastAsia="Times New Roman" w:hAnsi="Times New Roman"/>
                <w:sz w:val="14"/>
                <w:szCs w:val="14"/>
                <w:b w:val="1"/>
                <w:bCs w:val="1"/>
                <w:color w:val="auto"/>
              </w:rPr>
              <w:t>Unit of</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94"/>
              <w:spacing w:after="0" w:line="129" w:lineRule="exact"/>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Borders>
              <w:top w:val="single" w:sz="8" w:color="auto"/>
            </w:tcBorders>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060" w:type="dxa"/>
            <w:vAlign w:val="bottom"/>
            <w:tcBorders>
              <w:top w:val="single" w:sz="8" w:color="auto"/>
            </w:tcBorders>
            <w:gridSpan w:val="2"/>
          </w:tcPr>
          <w:p>
            <w:pPr>
              <w:ind w:left="260"/>
              <w:spacing w:after="0" w:line="129" w:lineRule="exact"/>
              <w:rPr>
                <w:sz w:val="20"/>
                <w:szCs w:val="20"/>
                <w:color w:val="auto"/>
              </w:rPr>
            </w:pPr>
            <w:r>
              <w:rPr>
                <w:rFonts w:ascii="Times New Roman" w:cs="Times New Roman" w:eastAsia="Times New Roman" w:hAnsi="Times New Roman"/>
                <w:sz w:val="14"/>
                <w:szCs w:val="14"/>
                <w:b w:val="1"/>
                <w:bCs w:val="1"/>
                <w:color w:val="auto"/>
              </w:rPr>
              <w:t>Unit of</w:t>
            </w: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74"/>
              <w:spacing w:after="0" w:line="12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20" w:type="dxa"/>
            <w:vAlign w:val="bottom"/>
          </w:tcPr>
          <w:p>
            <w:pPr>
              <w:spacing w:after="0"/>
              <w:rPr>
                <w:sz w:val="17"/>
                <w:szCs w:val="17"/>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center"/>
              <w:ind w:right="300"/>
              <w:spacing w:after="0" w:line="202" w:lineRule="exact"/>
              <w:rPr>
                <w:sz w:val="20"/>
                <w:szCs w:val="20"/>
                <w:color w:val="auto"/>
              </w:rPr>
            </w:pPr>
            <w:r>
              <w:rPr>
                <w:rFonts w:ascii="Times New Roman" w:cs="Times New Roman" w:eastAsia="Times New Roman" w:hAnsi="Times New Roman"/>
                <w:sz w:val="14"/>
                <w:szCs w:val="14"/>
                <w:b w:val="1"/>
                <w:bCs w:val="1"/>
                <w:color w:val="auto"/>
                <w:w w:val="95"/>
              </w:rPr>
              <w:t xml:space="preserve">Unit </w:t>
            </w:r>
            <w:r>
              <w:rPr>
                <w:rFonts w:ascii="Times New Roman" w:cs="Times New Roman" w:eastAsia="Times New Roman" w:hAnsi="Times New Roman"/>
                <w:sz w:val="18"/>
                <w:szCs w:val="18"/>
                <w:b w:val="1"/>
                <w:bCs w:val="1"/>
                <w:color w:val="auto"/>
                <w:w w:val="95"/>
                <w:vertAlign w:val="superscript"/>
              </w:rPr>
              <w:t>(1)</w:t>
            </w:r>
          </w:p>
        </w:tc>
        <w:tc>
          <w:tcPr>
            <w:tcW w:w="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40" w:type="dxa"/>
            <w:vAlign w:val="bottom"/>
          </w:tcPr>
          <w:p>
            <w:pPr>
              <w:spacing w:after="0"/>
              <w:rPr>
                <w:sz w:val="17"/>
                <w:szCs w:val="17"/>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154"/>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Unit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2,618</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14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100" w:type="dxa"/>
            <w:vAlign w:val="bottom"/>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9,425</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4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right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subtotal</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Linefill</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15,644</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14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15,409</w:t>
            </w:r>
          </w:p>
        </w:tc>
        <w:tc>
          <w:tcPr>
            <w:tcW w:w="100" w:type="dxa"/>
            <w:vAlign w:val="bottom"/>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58.99</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2,243</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4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Linefill subtotal</w:t>
            </w:r>
          </w:p>
        </w:tc>
        <w:tc>
          <w:tcPr>
            <w:tcW w:w="8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inventory</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3,240</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w:t>
            </w:r>
          </w:p>
        </w:tc>
        <w:tc>
          <w:tcPr>
            <w:tcW w:w="14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NGL</w:t>
            </w:r>
          </w:p>
        </w:tc>
        <w:tc>
          <w:tcPr>
            <w:tcW w:w="96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1,355</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40" w:type="dxa"/>
            <w:vAlign w:val="bottom"/>
            <w:tcBorders>
              <w:bottom w:val="single" w:sz="8" w:color="CCEEFF"/>
              <w:right w:val="single" w:sz="8" w:color="auto"/>
            </w:tcBorders>
          </w:tcPr>
          <w:p>
            <w:pPr>
              <w:spacing w:after="0"/>
              <w:rPr>
                <w:sz w:val="19"/>
                <w:szCs w:val="19"/>
                <w:color w:val="auto"/>
              </w:rPr>
            </w:pP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inventory subtotal</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0" w:type="dxa"/>
            <w:vAlign w:val="bottom"/>
          </w:tcPr>
          <w:p>
            <w:pPr>
              <w:spacing w:after="0"/>
              <w:rPr>
                <w:sz w:val="21"/>
                <w:szCs w:val="21"/>
                <w:color w:val="auto"/>
              </w:rPr>
            </w:pPr>
          </w:p>
        </w:tc>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60" w:right="320" w:hanging="652"/>
        <w:spacing w:after="0" w:line="229" w:lineRule="auto"/>
        <w:tabs>
          <w:tab w:leader="none" w:pos="64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 consisted of the following (in millions):</w:t>
      </w:r>
    </w:p>
    <w:p>
      <w:pPr>
        <w:spacing w:after="0" w:line="286" w:lineRule="exact"/>
        <w:rPr>
          <w:sz w:val="20"/>
          <w:szCs w:val="20"/>
          <w:color w:val="auto"/>
        </w:rPr>
      </w:pPr>
    </w:p>
    <w:p>
      <w:pPr>
        <w:jc w:val="right"/>
        <w:ind w:right="24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September 30,</w:t>
      </w:r>
      <w:r>
        <w:rPr>
          <w:sz w:val="20"/>
          <w:szCs w:val="20"/>
          <w:color w:val="auto"/>
        </w:rPr>
        <w:tab/>
      </w:r>
      <w:r>
        <w:rPr>
          <w:rFonts w:ascii="Times New Roman" w:cs="Times New Roman" w:eastAsia="Times New Roman" w:hAnsi="Times New Roman"/>
          <w:sz w:val="14"/>
          <w:szCs w:val="14"/>
          <w:b w:val="1"/>
          <w:bCs w:val="1"/>
          <w:color w:val="auto"/>
        </w:rPr>
        <w:t>December 31,</w:t>
      </w:r>
    </w:p>
    <w:p>
      <w:pPr>
        <w:spacing w:after="0" w:line="6" w:lineRule="exact"/>
        <w:rPr>
          <w:sz w:val="20"/>
          <w:szCs w:val="20"/>
          <w:color w:val="auto"/>
        </w:rPr>
      </w:pPr>
    </w:p>
    <w:p>
      <w:pPr>
        <w:ind w:left="8960"/>
        <w:spacing w:after="0"/>
        <w:tabs>
          <w:tab w:leader="none" w:pos="103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ectPr>
          <w:pgSz w:w="11900" w:h="16838" w:orient="portrait"/>
          <w:cols w:equalWidth="0" w:num="1">
            <w:col w:w="11220"/>
          </w:cols>
          <w:pgMar w:left="320" w:top="121" w:right="359" w:bottom="1440" w:gutter="0" w:footer="0" w:header="0"/>
        </w:sectPr>
      </w:pP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-125095</wp:posOffset>
            </wp:positionV>
            <wp:extent cx="7106285"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Commercial paper notes, bearing a weighted-average interest rate of 5.8%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wp:posOffset>
            </wp:positionV>
            <wp:extent cx="7106285"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Senior notes:</w:t>
      </w:r>
    </w:p>
    <w:p>
      <w:pPr>
        <w:ind w:left="160"/>
        <w:spacing w:after="0" w:line="229" w:lineRule="auto"/>
        <w:rPr>
          <w:sz w:val="20"/>
          <w:szCs w:val="20"/>
          <w:color w:val="auto"/>
        </w:rPr>
      </w:pPr>
      <w:r>
        <w:rPr>
          <w:rFonts w:ascii="Times New Roman" w:cs="Times New Roman" w:eastAsia="Times New Roman" w:hAnsi="Times New Roman"/>
          <w:sz w:val="18"/>
          <w:szCs w:val="18"/>
          <w:color w:val="auto"/>
        </w:rPr>
        <w:t xml:space="preserve">3.60% senior notes due November 2024 </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-8890</wp:posOffset>
            </wp:positionV>
            <wp:extent cx="7106285"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Other</w:t>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10628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19685</wp:posOffset>
            </wp:positionV>
            <wp:extent cx="7106285"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11" w:lineRule="exact"/>
        <w:rPr>
          <w:sz w:val="20"/>
          <w:szCs w:val="20"/>
          <w:color w:val="auto"/>
        </w:rPr>
      </w:pPr>
    </w:p>
    <w:p>
      <w:pPr>
        <w:ind w:left="40" w:right="620"/>
        <w:spacing w:after="0" w:line="233" w:lineRule="auto"/>
        <w:rPr>
          <w:sz w:val="20"/>
          <w:szCs w:val="20"/>
          <w:color w:val="auto"/>
        </w:rPr>
      </w:pPr>
      <w:r>
        <w:rPr>
          <w:rFonts w:ascii="Times New Roman" w:cs="Times New Roman" w:eastAsia="Times New Roman" w:hAnsi="Times New Roman"/>
          <w:sz w:val="18"/>
          <w:szCs w:val="18"/>
          <w:color w:val="auto"/>
        </w:rPr>
        <w:t xml:space="preserve">Senior notes, net of unamortized discounts and debt issuance costs of $43 and $41, respectively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wp:posOffset>
            </wp:positionV>
            <wp:extent cx="710628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8"/>
          <w:szCs w:val="18"/>
          <w:color w:val="auto"/>
        </w:rPr>
        <w:t>Total long-term debt</w:t>
      </w:r>
    </w:p>
    <w:p>
      <w:pPr>
        <w:spacing w:after="0" w:line="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Total debt </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4599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454"/>
        </w:trPr>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8"/>
        </w:trPr>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665"/>
        </w:trPr>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7,242</w:t>
            </w:r>
          </w:p>
        </w:tc>
      </w:tr>
      <w:tr>
        <w:trPr>
          <w:trHeight w:val="234"/>
        </w:trPr>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7,212</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7,305</w:t>
            </w:r>
          </w:p>
        </w:tc>
      </w:tr>
      <w:tr>
        <w:trPr>
          <w:trHeight w:val="223"/>
        </w:trPr>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7,751</w:t>
            </w:r>
          </w:p>
        </w:tc>
      </w:tr>
      <w:tr>
        <w:trPr>
          <w:trHeight w:val="21"/>
        </w:trPr>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20" w:space="720"/>
            <w:col w:w="2780"/>
          </w:cols>
          <w:pgMar w:left="320" w:top="121" w:right="35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40" w:hanging="11"/>
        <w:spacing w:after="0" w:line="266" w:lineRule="auto"/>
        <w:rPr>
          <w:sz w:val="20"/>
          <w:szCs w:val="20"/>
          <w:color w:val="auto"/>
        </w:rPr>
      </w:pPr>
      <w:r>
        <w:rPr>
          <w:rFonts w:ascii="Times New Roman" w:cs="Times New Roman" w:eastAsia="Times New Roman" w:hAnsi="Times New Roman"/>
          <w:sz w:val="18"/>
          <w:szCs w:val="18"/>
          <w:color w:val="auto"/>
        </w:rPr>
        <w:t>We classified these commercial paper notes as short-term as of December 31, 2023, as these notes were primarily designated as working capital borrowings, were required to be repaid within one year and were primarily for hedged NGL and crude oil inventory and NYMEX and ICE margin deposits.</w:t>
      </w:r>
    </w:p>
    <w:p>
      <w:pPr>
        <w:spacing w:after="0" w:line="68" w:lineRule="exact"/>
        <w:rPr>
          <w:sz w:val="20"/>
          <w:szCs w:val="20"/>
          <w:color w:val="auto"/>
        </w:rPr>
      </w:pPr>
    </w:p>
    <w:p>
      <w:pPr>
        <w:ind w:right="100" w:hanging="11"/>
        <w:spacing w:after="0" w:line="282" w:lineRule="auto"/>
        <w:rPr>
          <w:sz w:val="20"/>
          <w:szCs w:val="20"/>
          <w:color w:val="auto"/>
        </w:rPr>
      </w:pPr>
      <w:r>
        <w:rPr>
          <w:rFonts w:ascii="Times New Roman" w:cs="Times New Roman" w:eastAsia="Times New Roman" w:hAnsi="Times New Roman"/>
          <w:sz w:val="18"/>
          <w:szCs w:val="18"/>
          <w:color w:val="auto"/>
        </w:rPr>
        <w:t>As of December 31, 2023, we classified our $750 million, 3.60% senior notes due November 2024 as long-term based on our ability and intent to refinance the notes on a long-term basis at that time. We redeemed these senior notes on November 1, 2024.</w:t>
      </w:r>
    </w:p>
    <w:p>
      <w:pPr>
        <w:spacing w:after="0" w:line="54" w:lineRule="exact"/>
        <w:rPr>
          <w:sz w:val="20"/>
          <w:szCs w:val="20"/>
          <w:color w:val="auto"/>
        </w:rPr>
      </w:pPr>
    </w:p>
    <w:p>
      <w:pPr>
        <w:ind w:right="240" w:hanging="11"/>
        <w:spacing w:after="0" w:line="255" w:lineRule="auto"/>
        <w:rPr>
          <w:sz w:val="20"/>
          <w:szCs w:val="20"/>
          <w:color w:val="auto"/>
        </w:rPr>
      </w:pPr>
      <w:r>
        <w:rPr>
          <w:rFonts w:ascii="Times New Roman" w:cs="Times New Roman" w:eastAsia="Times New Roman" w:hAnsi="Times New Roman"/>
          <w:sz w:val="18"/>
          <w:szCs w:val="18"/>
          <w:color w:val="auto"/>
        </w:rPr>
        <w:t>Our fixed-rate senior notes had a face value of approximately $7.9 billion and $7.3 billion as of September 30, 2024 and December 31, 2023, respectively. We estimated the aggregate fair value of these notes as of September 30, 2024 and December 31, 2023 to be approximately $7.7 billion and $6.9 billion, respectively.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commercial paper program approximates fair value as interest rates reflect current market rates. The fair value estimates for our senior notes and commercial paper program are based upon observable market data and are classified in Level 2 of the fair value hierarchy.</w:t>
      </w:r>
    </w:p>
    <w:p>
      <w:pPr>
        <w:spacing w:after="0" w:line="200" w:lineRule="exact"/>
        <w:rPr>
          <w:sz w:val="20"/>
          <w:szCs w:val="20"/>
          <w:color w:val="auto"/>
        </w:rPr>
      </w:pPr>
    </w:p>
    <w:p>
      <w:pPr>
        <w:sectPr>
          <w:pgSz w:w="11900" w:h="16838" w:orient="portrait"/>
          <w:cols w:equalWidth="0" w:num="2">
            <w:col w:w="140" w:space="520"/>
            <w:col w:w="10560"/>
          </w:cols>
          <w:pgMar w:left="320" w:top="121" w:right="35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25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 June 2024, we completed the offering of $650 million, 5.70% senior notes due September 2034 at a public offering price of 99.953%. Interest payments are due on March 15 and September 15 of each year, commencing on March 15,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5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August 2024, we amended our credit facility agreements to, among other things, extend the maturity dates of our senior secured hedged inventory facility and senior unsecured revolving credit facility by one year to August 2027 and August 2029, respectively, for each extending lender. The maturity dates with respect to the non-extending lender under our senior secured hedged inventory facility and senior unsecured revolving credit facility (which represents a commitment of approximately $64 million out of total commitments of $1.35 billion from all lenders under each facility) remain August 2026 and August 2027,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 and Repayments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Total borrowings under our commercial paper program for the nine months ended September 30, 2024 and 2023 were approximately $20.7 billion and $4.9 billion, respectively. Total repayments under our commercial paper program were approximately $21.1 billion and $4.9 billion for the nine months ended September 30, 2024 and 2023, respectively. The variance in total gross borrowings and repayments is impacted by various business and financial factors including, but not limited to, the timing, average term and method of general partnership borrowing activities.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our merchant activities, we provide certain suppliers with irrevocable standby letters of credit to secure our obligation for the purchase and transportation of crude oil and NGL. Additionally, we issue letters of credit to support insurance programs, derivative transactions, including hedging-related margin obligations, and construction activities. At September 30, 2024 and December 31, 2023, we had outstanding letters of credit of $108 million and $205 million,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6—Partners’ Capital and Distributions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Units Outstanding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activity for our preferred and common units: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20" w:type="dxa"/>
            <w:vAlign w:val="bottom"/>
            <w:gridSpan w:val="3"/>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20" w:type="dxa"/>
            <w:vAlign w:val="bottom"/>
          </w:tcPr>
          <w:p>
            <w:pPr>
              <w:spacing w:after="0"/>
              <w:rPr>
                <w:sz w:val="11"/>
                <w:szCs w:val="11"/>
                <w:color w:val="auto"/>
              </w:rPr>
            </w:pPr>
          </w:p>
        </w:tc>
        <w:tc>
          <w:tcPr>
            <w:tcW w:w="1600" w:type="dxa"/>
            <w:vAlign w:val="bottom"/>
            <w:gridSpan w:val="3"/>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40" w:type="dxa"/>
            <w:vAlign w:val="bottom"/>
          </w:tcPr>
          <w:p>
            <w:pPr>
              <w:spacing w:after="0"/>
              <w:rPr>
                <w:sz w:val="11"/>
                <w:szCs w:val="11"/>
                <w:color w:val="auto"/>
              </w:rPr>
            </w:pPr>
          </w:p>
        </w:tc>
        <w:tc>
          <w:tcPr>
            <w:tcW w:w="150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20" w:type="dxa"/>
            <w:vAlign w:val="bottom"/>
          </w:tcPr>
          <w:p>
            <w:pPr>
              <w:spacing w:after="0"/>
              <w:rPr>
                <w:sz w:val="16"/>
                <w:szCs w:val="16"/>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4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380" w:type="dxa"/>
            <w:vAlign w:val="bottom"/>
            <w:tcBorders>
              <w:top w:val="single" w:sz="8" w:color="CCEEFF"/>
              <w:bottom w:val="single" w:sz="8" w:color="CCEEFF"/>
            </w:tcBorders>
            <w:gridSpan w:val="2"/>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Outstanding at December 31, 2023</w:t>
            </w:r>
          </w:p>
        </w:tc>
        <w:tc>
          <w:tcPr>
            <w:tcW w:w="1520" w:type="dxa"/>
            <w:vAlign w:val="bottom"/>
            <w:tcBorders>
              <w:top w:val="single" w:sz="8" w:color="auto"/>
              <w:bottom w:val="single" w:sz="8" w:color="auto"/>
            </w:tcBorders>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71,090,468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800,000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701,008,749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Issuances of common units under equity-indexed compensation plans</w:t>
            </w:r>
          </w:p>
        </w:tc>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6360" w:type="dxa"/>
            <w:vAlign w:val="bottom"/>
            <w:tcBorders>
              <w:top w:val="single" w:sz="8" w:color="CCEEFF"/>
              <w:bottom w:val="single" w:sz="8" w:color="CCEEFF"/>
            </w:tcBorders>
            <w:vMerge w:val="continue"/>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62,282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38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Outstanding at March 31, 2024</w:t>
            </w:r>
          </w:p>
        </w:tc>
        <w:tc>
          <w:tcPr>
            <w:tcW w:w="152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71,090,468</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800,000</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701,071,031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Issuances of common units under equity-indexed compensation plans</w:t>
            </w:r>
          </w:p>
        </w:tc>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6360" w:type="dxa"/>
            <w:vAlign w:val="bottom"/>
            <w:tcBorders>
              <w:top w:val="single" w:sz="8" w:color="CCEEFF"/>
              <w:bottom w:val="single" w:sz="8" w:color="CCEEFF"/>
            </w:tcBorders>
            <w:vMerge w:val="continue"/>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10,268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38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Outstanding at June 30, 2024</w:t>
            </w:r>
          </w:p>
        </w:tc>
        <w:tc>
          <w:tcPr>
            <w:tcW w:w="152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71,090,468</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800,000</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701,081,299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Issuances of common units under equity-indexed compensation plans</w:t>
            </w:r>
          </w:p>
        </w:tc>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6360" w:type="dxa"/>
            <w:vAlign w:val="bottom"/>
            <w:tcBorders>
              <w:top w:val="single" w:sz="8" w:color="CCEEFF"/>
              <w:bottom w:val="single" w:sz="8" w:color="CCEEFF"/>
            </w:tcBorders>
            <w:vMerge w:val="continue"/>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2,587,760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71,090,468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703,669,059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6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2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20" w:type="dxa"/>
            <w:vAlign w:val="bottom"/>
          </w:tcPr>
          <w:p>
            <w:pPr>
              <w:spacing w:after="0"/>
              <w:rPr>
                <w:sz w:val="11"/>
                <w:szCs w:val="11"/>
                <w:color w:val="auto"/>
              </w:rPr>
            </w:pPr>
          </w:p>
        </w:tc>
        <w:tc>
          <w:tcPr>
            <w:tcW w:w="160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40" w:type="dxa"/>
            <w:vAlign w:val="bottom"/>
          </w:tcPr>
          <w:p>
            <w:pPr>
              <w:spacing w:after="0"/>
              <w:rPr>
                <w:sz w:val="11"/>
                <w:szCs w:val="11"/>
                <w:color w:val="auto"/>
              </w:rPr>
            </w:pPr>
          </w:p>
        </w:tc>
        <w:tc>
          <w:tcPr>
            <w:tcW w:w="150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20" w:type="dxa"/>
            <w:vAlign w:val="bottom"/>
          </w:tcPr>
          <w:p>
            <w:pPr>
              <w:spacing w:after="0"/>
              <w:rPr>
                <w:sz w:val="17"/>
                <w:szCs w:val="17"/>
                <w:color w:val="auto"/>
              </w:rPr>
            </w:pP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4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60" w:type="dxa"/>
            <w:vAlign w:val="bottom"/>
            <w:tcBorders>
              <w:top w:val="single" w:sz="8" w:color="CCEEFF"/>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Outstanding at December 31, 2022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71,090,468</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800,000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698,354,498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Issuances of common units under equity-indexed compensation plans</w:t>
            </w: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gridSpan w:val="3"/>
          </w:tcPr>
          <w:p>
            <w:pPr>
              <w:spacing w:after="0" w:line="20" w:lineRule="exact"/>
              <w:rPr>
                <w:sz w:val="1"/>
                <w:szCs w:val="1"/>
                <w:color w:val="auto"/>
              </w:rPr>
            </w:pPr>
          </w:p>
        </w:tc>
        <w:tc>
          <w:tcPr>
            <w:tcW w:w="15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Borders>
              <w:top w:val="single" w:sz="8" w:color="CCEEFF"/>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gridSpan w:val="2"/>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35,508</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63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Outstanding at March 31, 2023 and June 30, 2023</w:t>
            </w:r>
          </w:p>
        </w:tc>
        <w:tc>
          <w:tcPr>
            <w:tcW w:w="2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71,090,468</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800,000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698,390,006</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Issuances of common units under equity-indexed compensation plans</w:t>
            </w: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gridSpan w:val="3"/>
          </w:tcPr>
          <w:p>
            <w:pPr>
              <w:spacing w:after="0" w:line="20" w:lineRule="exact"/>
              <w:rPr>
                <w:sz w:val="1"/>
                <w:szCs w:val="1"/>
                <w:color w:val="auto"/>
              </w:rPr>
            </w:pPr>
          </w:p>
        </w:tc>
        <w:tc>
          <w:tcPr>
            <w:tcW w:w="15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Borders>
              <w:top w:val="single" w:sz="8" w:color="CCEEFF"/>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gridSpan w:val="2"/>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2,602,506</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2023</w:t>
            </w:r>
          </w:p>
        </w:tc>
        <w:tc>
          <w:tcPr>
            <w:tcW w:w="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71,090,468</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700,992,512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5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Series A Preferred Unit Distributions</w:t>
      </w:r>
      <w:r>
        <w:rPr>
          <w:rFonts w:ascii="Times New Roman" w:cs="Times New Roman" w:eastAsia="Times New Roman" w:hAnsi="Times New Roman"/>
          <w:sz w:val="18"/>
          <w:szCs w:val="18"/>
          <w:color w:val="auto"/>
        </w:rPr>
        <w:t>. Distributions on the Series A preferred units accumulate and are payable quarterly within 45 days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end of each quarter. See Note 11 to our Consolidated Financial Statements included in Part IV of our 2023 Annual Report on Form 10-K for additional information regarding Series A preferred unit distributions. The following table details distributions to our Series A preferred unitholders paid during or pertaining to the first nine months of 2024 (in millions, except per unit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gridSpan w:val="5"/>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Series A Preferred Unitholders</w:t>
            </w:r>
          </w:p>
        </w:tc>
        <w:tc>
          <w:tcPr>
            <w:tcW w:w="0" w:type="dxa"/>
            <w:vAlign w:val="bottom"/>
          </w:tcPr>
          <w:p>
            <w:pPr>
              <w:spacing w:after="0"/>
              <w:rPr>
                <w:sz w:val="1"/>
                <w:szCs w:val="1"/>
                <w:color w:val="auto"/>
              </w:rPr>
            </w:pPr>
          </w:p>
        </w:tc>
      </w:tr>
      <w:tr>
        <w:trPr>
          <w:trHeight w:val="23"/>
        </w:trPr>
        <w:tc>
          <w:tcPr>
            <w:tcW w:w="7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Cash Distribution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Distribution per Unit</w:t>
            </w:r>
          </w:p>
        </w:tc>
        <w:tc>
          <w:tcPr>
            <w:tcW w:w="0" w:type="dxa"/>
            <w:vAlign w:val="bottom"/>
          </w:tcPr>
          <w:p>
            <w:pPr>
              <w:spacing w:after="0"/>
              <w:rPr>
                <w:sz w:val="1"/>
                <w:szCs w:val="1"/>
                <w:color w:val="auto"/>
              </w:rPr>
            </w:pPr>
          </w:p>
        </w:tc>
      </w:tr>
      <w:tr>
        <w:trPr>
          <w:trHeight w:val="229"/>
        </w:trPr>
        <w:tc>
          <w:tcPr>
            <w:tcW w:w="7760" w:type="dxa"/>
            <w:vAlign w:val="bottom"/>
            <w:tcBorders>
              <w:top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November 14, 2024 </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0.615</w:t>
            </w:r>
          </w:p>
        </w:tc>
        <w:tc>
          <w:tcPr>
            <w:tcW w:w="0" w:type="dxa"/>
            <w:vAlign w:val="bottom"/>
          </w:tcPr>
          <w:p>
            <w:pPr>
              <w:spacing w:after="0"/>
              <w:rPr>
                <w:sz w:val="1"/>
                <w:szCs w:val="1"/>
                <w:color w:val="auto"/>
              </w:rPr>
            </w:pPr>
          </w:p>
        </w:tc>
      </w:tr>
      <w:tr>
        <w:trPr>
          <w:trHeight w:val="23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14, 2024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right w:val="single" w:sz="8" w:color="auto"/>
            </w:tcBorders>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0.615</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15,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right w:val="single" w:sz="8" w:color="auto"/>
            </w:tcBorders>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0.615</w:t>
            </w:r>
          </w:p>
        </w:tc>
        <w:tc>
          <w:tcPr>
            <w:tcW w:w="0" w:type="dxa"/>
            <w:vAlign w:val="bottom"/>
          </w:tcPr>
          <w:p>
            <w:pPr>
              <w:spacing w:after="0"/>
              <w:rPr>
                <w:sz w:val="1"/>
                <w:szCs w:val="1"/>
                <w:color w:val="auto"/>
              </w:rPr>
            </w:pPr>
          </w:p>
        </w:tc>
      </w:tr>
      <w:tr>
        <w:trPr>
          <w:trHeight w:val="229"/>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14, 2024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right w:val="single" w:sz="8" w:color="auto"/>
            </w:tcBorders>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4599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32" w:lineRule="exact"/>
        <w:rPr>
          <w:sz w:val="20"/>
          <w:szCs w:val="20"/>
          <w:color w:val="auto"/>
        </w:rPr>
      </w:pPr>
    </w:p>
    <w:p>
      <w:pPr>
        <w:ind w:left="660" w:right="340" w:hanging="652"/>
        <w:spacing w:after="0" w:line="235" w:lineRule="auto"/>
        <w:tabs>
          <w:tab w:leader="none" w:pos="64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Payable to unitholders of record at the close of business on October 31, 2024 for the period from July 1, 2024 through September 30, 2024. At September 30, 2024, such amount was accrued as distributions payable in “Other current liabilities” on our Condensed Consolidated Balance Sheet.</w:t>
      </w:r>
    </w:p>
    <w:p>
      <w:pPr>
        <w:spacing w:after="0" w:line="225"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Series B Preferred Unit Distributions</w:t>
      </w:r>
      <w:r>
        <w:rPr>
          <w:rFonts w:ascii="Times New Roman" w:cs="Times New Roman" w:eastAsia="Times New Roman" w:hAnsi="Times New Roman"/>
          <w:sz w:val="17"/>
          <w:szCs w:val="17"/>
          <w:color w:val="auto"/>
        </w:rPr>
        <w:t>. Distributions on the Series B preferred units accumulate and are payable quarterly in arrears on the 15th day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February, May, August and November. See Note 11 to our Consolidated Financial Statements included in Part IV of our 2023 Annual Report on Form</w:t>
      </w:r>
    </w:p>
    <w:p>
      <w:pPr>
        <w:spacing w:after="0" w:line="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10-K for additional information regarding Series B preferred unit distributions. The following table details distributions paid or to be paid to our Series B preferred unitholders (in millions, except per unit data):</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gridSpan w:val="5"/>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Series B Preferred Unitholders</w:t>
            </w:r>
          </w:p>
        </w:tc>
        <w:tc>
          <w:tcPr>
            <w:tcW w:w="0" w:type="dxa"/>
            <w:vAlign w:val="bottom"/>
          </w:tcPr>
          <w:p>
            <w:pPr>
              <w:spacing w:after="0"/>
              <w:rPr>
                <w:sz w:val="1"/>
                <w:szCs w:val="1"/>
                <w:color w:val="auto"/>
              </w:rPr>
            </w:pPr>
          </w:p>
        </w:tc>
      </w:tr>
      <w:tr>
        <w:trPr>
          <w:trHeight w:val="23"/>
        </w:trPr>
        <w:tc>
          <w:tcPr>
            <w:tcW w:w="7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Cash Distribution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Distribution per Unit</w:t>
            </w:r>
          </w:p>
        </w:tc>
        <w:tc>
          <w:tcPr>
            <w:tcW w:w="0" w:type="dxa"/>
            <w:vAlign w:val="bottom"/>
          </w:tcPr>
          <w:p>
            <w:pPr>
              <w:spacing w:after="0"/>
              <w:rPr>
                <w:sz w:val="1"/>
                <w:szCs w:val="1"/>
                <w:color w:val="auto"/>
              </w:rPr>
            </w:pPr>
          </w:p>
        </w:tc>
      </w:tr>
      <w:tr>
        <w:trPr>
          <w:trHeight w:val="229"/>
        </w:trPr>
        <w:tc>
          <w:tcPr>
            <w:tcW w:w="7700" w:type="dxa"/>
            <w:vAlign w:val="bottom"/>
            <w:tcBorders>
              <w:top w:val="single" w:sz="8" w:color="auto"/>
            </w:tcBorders>
            <w:shd w:val="clear" w:color="auto" w:fill="CCEEFF"/>
          </w:tcPr>
          <w:p>
            <w:pPr>
              <w:spacing w:after="0" w:line="229" w:lineRule="exact"/>
              <w:rPr>
                <w:sz w:val="20"/>
                <w:szCs w:val="20"/>
                <w:color w:val="auto"/>
              </w:rPr>
            </w:pPr>
            <w:r>
              <w:rPr>
                <w:rFonts w:ascii="Times New Roman" w:cs="Times New Roman" w:eastAsia="Times New Roman" w:hAnsi="Times New Roman"/>
                <w:sz w:val="18"/>
                <w:szCs w:val="18"/>
                <w:color w:val="auto"/>
              </w:rPr>
              <w:t xml:space="preserve">November 15, 2024 </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0" w:type="dxa"/>
            <w:vAlign w:val="bottom"/>
          </w:tcPr>
          <w:p>
            <w:pPr>
              <w:spacing w:after="0"/>
              <w:rPr>
                <w:sz w:val="1"/>
                <w:szCs w:val="1"/>
                <w:color w:val="auto"/>
              </w:rPr>
            </w:pPr>
          </w:p>
        </w:tc>
      </w:tr>
      <w:tr>
        <w:trPr>
          <w:trHeight w:val="230"/>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15,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right w:val="single" w:sz="8" w:color="auto"/>
            </w:tcBorders>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0" w:type="dxa"/>
            <w:vAlign w:val="bottom"/>
          </w:tcPr>
          <w:p>
            <w:pPr>
              <w:spacing w:after="0"/>
              <w:rPr>
                <w:sz w:val="1"/>
                <w:szCs w:val="1"/>
                <w:color w:val="auto"/>
              </w:rPr>
            </w:pPr>
          </w:p>
        </w:tc>
      </w:tr>
      <w:tr>
        <w:trPr>
          <w:trHeight w:val="229"/>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15,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right w:val="single" w:sz="8" w:color="auto"/>
            </w:tcBorders>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0" w:type="dxa"/>
            <w:vAlign w:val="bottom"/>
          </w:tcPr>
          <w:p>
            <w:pPr>
              <w:spacing w:after="0"/>
              <w:rPr>
                <w:sz w:val="1"/>
                <w:szCs w:val="1"/>
                <w:color w:val="auto"/>
              </w:rPr>
            </w:pPr>
          </w:p>
        </w:tc>
      </w:tr>
      <w:tr>
        <w:trPr>
          <w:trHeight w:val="230"/>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15,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right w:val="single" w:sz="8" w:color="auto"/>
            </w:tcBorders>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4599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45" w:lineRule="exact"/>
        <w:rPr>
          <w:sz w:val="20"/>
          <w:szCs w:val="20"/>
          <w:color w:val="auto"/>
        </w:rPr>
      </w:pPr>
    </w:p>
    <w:p>
      <w:pPr>
        <w:jc w:val="both"/>
        <w:ind w:left="660" w:right="180" w:hanging="652"/>
        <w:spacing w:after="0" w:line="235" w:lineRule="auto"/>
        <w:tabs>
          <w:tab w:leader="none" w:pos="64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Payable to unitholders of record at the close of business on November 1, 2024 for the period from August 15, 2024 through November 14, 2024. At September 30, 2024, approximately $10 million of accrued distributions payable to our Series B preferred unitholders was included in “Other current liabilities” on our Condensed Consolidated Balance Sheet.</w:t>
      </w:r>
    </w:p>
    <w:p>
      <w:pPr>
        <w:spacing w:after="0" w:line="225"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Common Unit Distributions</w:t>
      </w:r>
      <w:r>
        <w:rPr>
          <w:rFonts w:ascii="Times New Roman" w:cs="Times New Roman" w:eastAsia="Times New Roman" w:hAnsi="Times New Roman"/>
          <w:sz w:val="18"/>
          <w:szCs w:val="18"/>
          <w:color w:val="auto"/>
        </w:rPr>
        <w:t>. The following table details distributions to our common unitholders paid during or pertaining to the first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2024 (in millions, except per unit data):</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3"/>
        </w:trPr>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90"/>
        </w:trPr>
        <w:tc>
          <w:tcPr>
            <w:tcW w:w="4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Common Unitholders</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Distribution per</w:t>
            </w:r>
          </w:p>
        </w:tc>
      </w:tr>
      <w:tr>
        <w:trPr>
          <w:trHeight w:val="196"/>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11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AAP</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Total Cash Distribution</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Common Unit</w:t>
            </w:r>
          </w:p>
        </w:tc>
      </w:tr>
      <w:tr>
        <w:trPr>
          <w:trHeight w:val="229"/>
        </w:trPr>
        <w:tc>
          <w:tcPr>
            <w:tcW w:w="4380" w:type="dxa"/>
            <w:vAlign w:val="bottom"/>
            <w:tcBorders>
              <w:top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November 14, 2024 </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3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0.3175</w:t>
            </w:r>
          </w:p>
        </w:tc>
      </w:tr>
      <w:tr>
        <w:trPr>
          <w:trHeight w:val="229"/>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14, 2024</w:t>
            </w:r>
          </w:p>
        </w:tc>
        <w:tc>
          <w:tcPr>
            <w:tcW w:w="11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1240" w:type="dxa"/>
            <w:vAlign w:val="bottom"/>
          </w:tcPr>
          <w:p>
            <w:pPr>
              <w:jc w:val="right"/>
              <w:ind w:right="103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78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0.3175</w:t>
            </w:r>
          </w:p>
        </w:tc>
      </w:tr>
      <w:tr>
        <w:trPr>
          <w:trHeight w:val="230"/>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15, 2024</w:t>
            </w: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780" w:type="dxa"/>
            <w:vAlign w:val="bottom"/>
            <w:gridSpan w:val="2"/>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0.3175</w:t>
            </w:r>
          </w:p>
        </w:tc>
      </w:tr>
      <w:tr>
        <w:trPr>
          <w:trHeight w:val="230"/>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14, 2024</w:t>
            </w:r>
          </w:p>
        </w:tc>
        <w:tc>
          <w:tcPr>
            <w:tcW w:w="11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1240" w:type="dxa"/>
            <w:vAlign w:val="bottom"/>
          </w:tcPr>
          <w:p>
            <w:pPr>
              <w:jc w:val="right"/>
              <w:ind w:right="103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78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24599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2" w:lineRule="exact"/>
        <w:rPr>
          <w:sz w:val="20"/>
          <w:szCs w:val="20"/>
          <w:color w:val="auto"/>
        </w:rPr>
      </w:pPr>
    </w:p>
    <w:p>
      <w:pPr>
        <w:ind w:left="640" w:hanging="632"/>
        <w:spacing w:after="0"/>
        <w:tabs>
          <w:tab w:leader="none" w:pos="64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Payable to unitholders of record at the close of business on October 31, 2024 for the period from July 1, 2024 through September 30, 2024.</w:t>
      </w:r>
    </w:p>
    <w:p>
      <w:pPr>
        <w:spacing w:after="0" w:line="200" w:lineRule="exact"/>
        <w:rPr>
          <w:rFonts w:ascii="Times New Roman" w:cs="Times New Roman" w:eastAsia="Times New Roman" w:hAnsi="Times New Roman"/>
          <w:sz w:val="23"/>
          <w:szCs w:val="23"/>
          <w:color w:val="auto"/>
          <w:vertAlign w:val="superscript"/>
        </w:rPr>
      </w:pPr>
    </w:p>
    <w:p>
      <w:pPr>
        <w:spacing w:after="0" w:line="375"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 in Subsidiaries</w:t>
      </w:r>
    </w:p>
    <w:p>
      <w:pPr>
        <w:spacing w:after="0" w:line="256" w:lineRule="exact"/>
        <w:rPr>
          <w:sz w:val="20"/>
          <w:szCs w:val="20"/>
          <w:color w:val="auto"/>
        </w:rPr>
      </w:pPr>
    </w:p>
    <w:p>
      <w:pPr>
        <w:ind w:right="380" w:firstLine="648"/>
        <w:spacing w:after="0" w:line="312" w:lineRule="auto"/>
        <w:rPr>
          <w:sz w:val="20"/>
          <w:szCs w:val="20"/>
          <w:color w:val="auto"/>
        </w:rPr>
      </w:pPr>
      <w:r>
        <w:rPr>
          <w:rFonts w:ascii="Times New Roman" w:cs="Times New Roman" w:eastAsia="Times New Roman" w:hAnsi="Times New Roman"/>
          <w:sz w:val="17"/>
          <w:szCs w:val="17"/>
          <w:color w:val="auto"/>
        </w:rPr>
        <w:t>As of September 30, 2024, noncontrolling interests in our subsidiaries consisted of (i) a 35% interest in Plains Oryx Permian Basin LLC (the “Permian JV”), (ii) a 30% interest in Cactus II Pipeline LLC (“Cactus II”) and (iii) a 33% interest in Red River Pipeline Company LLC (“Red River”).</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Distributions to Noncontrolling Interests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distributions paid to noncontrolling interests during the periods presented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26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3"/>
                <w:szCs w:val="13"/>
                <w:color w:val="auto"/>
              </w:rPr>
            </w:pPr>
          </w:p>
        </w:tc>
      </w:tr>
      <w:tr>
        <w:trPr>
          <w:trHeight w:val="195"/>
        </w:trPr>
        <w:tc>
          <w:tcPr>
            <w:tcW w:w="58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r>
      <w:tr>
        <w:trPr>
          <w:trHeight w:val="195"/>
        </w:trPr>
        <w:tc>
          <w:tcPr>
            <w:tcW w:w="58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Permian JV</w:t>
            </w:r>
          </w:p>
        </w:tc>
        <w:tc>
          <w:tcPr>
            <w:tcW w:w="8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Cactus II</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 River</w:t>
            </w:r>
          </w:p>
        </w:tc>
        <w:tc>
          <w:tcPr>
            <w:tcW w:w="8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5860" w:type="dxa"/>
            <w:vAlign w:val="bottom"/>
          </w:tcPr>
          <w:p>
            <w:pPr>
              <w:spacing w:after="0"/>
              <w:rPr>
                <w:sz w:val="19"/>
                <w:szCs w:val="19"/>
                <w:color w:val="auto"/>
              </w:rPr>
            </w:pPr>
          </w:p>
        </w:tc>
        <w:tc>
          <w:tcPr>
            <w:tcW w:w="8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1"/>
        </w:trPr>
        <w:tc>
          <w:tcPr>
            <w:tcW w:w="5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7—Derivatives and Risk Management Activities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identify the risks that underlie our core business activities and use risk management strategies to mitigate those risks when we determine that there is value in doing so. We use various derivative instruments to optimize our profits while managing our exposure to commodity price risk and interest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or interest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19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Condensed Consolidated Statements of Cash Flows.</w:t>
      </w:r>
    </w:p>
    <w:p>
      <w:pPr>
        <w:spacing w:after="0" w:line="21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203" w:lineRule="exact"/>
        <w:rPr>
          <w:sz w:val="20"/>
          <w:szCs w:val="20"/>
          <w:color w:val="auto"/>
        </w:rPr>
      </w:pPr>
    </w:p>
    <w:p>
      <w:pPr>
        <w:ind w:right="260" w:firstLine="607"/>
        <w:spacing w:after="0" w:line="261" w:lineRule="auto"/>
        <w:rPr>
          <w:sz w:val="20"/>
          <w:szCs w:val="20"/>
          <w:color w:val="auto"/>
        </w:rPr>
      </w:pPr>
      <w:r>
        <w:rPr>
          <w:rFonts w:ascii="Times New Roman" w:cs="Times New Roman" w:eastAsia="Times New Roman" w:hAnsi="Times New Roman"/>
          <w:sz w:val="18"/>
          <w:szCs w:val="18"/>
          <w:color w:val="auto"/>
        </w:rPr>
        <w:t>At September 30, 2024 and December 31, 2023,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 Hedging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are described below.</w:t>
      </w:r>
    </w:p>
    <w:p>
      <w:pPr>
        <w:spacing w:after="0" w:line="207"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In the normal course of our operations, we purchase and sell commodities. We use derivatives to manage the associated risks and to optimize profits. As of September 30, 2024, net derivative positions related to these activities included:</w:t>
      </w:r>
    </w:p>
    <w:p>
      <w:pPr>
        <w:spacing w:after="0" w:line="162" w:lineRule="exact"/>
        <w:rPr>
          <w:sz w:val="20"/>
          <w:szCs w:val="20"/>
          <w:color w:val="auto"/>
        </w:rPr>
      </w:pPr>
    </w:p>
    <w:p>
      <w:pPr>
        <w:ind w:left="980" w:right="4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long position of 14.1 million barrels associated with our crude oil purchases, which was unwound ratably during October 2024 to match monthly average pricing.</w:t>
      </w:r>
    </w:p>
    <w:p>
      <w:pPr>
        <w:spacing w:after="0" w:line="107"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short time spread position of 3.2 million barrels, which hedges a portion of our anticipated crude oil lease gathering purchases through November 2025.</w:t>
      </w:r>
    </w:p>
    <w:p>
      <w:pPr>
        <w:spacing w:after="0" w:line="107"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crude oil basis spread position of 5.7 million barrels at multiple locations through December 2025. These derivatives allow us to lock in grade and location basis differentials.</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short position of 17.2 million barrels through December 2028 related to anticipated net sales of crude oil and NGL inventory.</w:t>
      </w:r>
    </w:p>
    <w:p>
      <w:pPr>
        <w:spacing w:after="0" w:line="252"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We purchase natural gas for processing and operational needs. Additionally, we purchase NGL 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September 30, 2024:</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Notional Volume</w:t>
            </w:r>
          </w:p>
        </w:tc>
        <w:tc>
          <w:tcPr>
            <w:tcW w:w="2180" w:type="dxa"/>
            <w:vAlign w:val="bottom"/>
          </w:tcPr>
          <w:p>
            <w:pPr>
              <w:spacing w:after="0"/>
              <w:rPr>
                <w:sz w:val="16"/>
                <w:szCs w:val="16"/>
                <w:color w:val="auto"/>
              </w:rPr>
            </w:pPr>
          </w:p>
        </w:tc>
      </w:tr>
      <w:tr>
        <w:trPr>
          <w:trHeight w:val="203"/>
        </w:trPr>
        <w:tc>
          <w:tcPr>
            <w:tcW w:w="6660" w:type="dxa"/>
            <w:vAlign w:val="bottom"/>
          </w:tcPr>
          <w:p>
            <w:pPr>
              <w:spacing w:after="0"/>
              <w:rPr>
                <w:sz w:val="17"/>
                <w:szCs w:val="17"/>
                <w:color w:val="auto"/>
              </w:rPr>
            </w:pP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(Short)/Long</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Tenor</w:t>
            </w:r>
          </w:p>
        </w:tc>
      </w:tr>
      <w:tr>
        <w:trPr>
          <w:trHeight w:val="23"/>
        </w:trPr>
        <w:tc>
          <w:tcPr>
            <w:tcW w:w="66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23"/>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 purchases</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37.8 Bcf</w:t>
            </w:r>
          </w:p>
        </w:tc>
        <w:tc>
          <w:tcPr>
            <w:tcW w:w="16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2025</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Propane sales</w:t>
            </w: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(6.6) MMbls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2025</w:t>
            </w:r>
          </w:p>
        </w:tc>
      </w:tr>
      <w:tr>
        <w:trPr>
          <w:trHeight w:val="23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Butane sales</w:t>
            </w:r>
          </w:p>
        </w:tc>
        <w:tc>
          <w:tcPr>
            <w:tcW w:w="23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(1.5) MMbls</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2025</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Condensate sales</w:t>
            </w: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(1.4) MMbls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2025</w:t>
            </w:r>
          </w:p>
        </w:tc>
      </w:tr>
      <w:tr>
        <w:trPr>
          <w:trHeight w:val="230"/>
        </w:trPr>
        <w:tc>
          <w:tcPr>
            <w:tcW w:w="666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Fuel gas requirements </w:t>
            </w:r>
            <w:r>
              <w:rPr>
                <w:rFonts w:ascii="Times New Roman" w:cs="Times New Roman" w:eastAsia="Times New Roman" w:hAnsi="Times New Roman"/>
                <w:sz w:val="23"/>
                <w:szCs w:val="23"/>
                <w:color w:val="auto"/>
                <w:vertAlign w:val="superscript"/>
              </w:rPr>
              <w:t>(1)</w:t>
            </w:r>
          </w:p>
        </w:tc>
        <w:tc>
          <w:tcPr>
            <w:tcW w:w="23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2.7 Bcf</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2025</w:t>
            </w:r>
          </w:p>
        </w:tc>
      </w:tr>
      <w:tr>
        <w:trPr>
          <w:trHeight w:val="30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Power supply requirements </w:t>
            </w:r>
            <w:r>
              <w:rPr>
                <w:rFonts w:ascii="Times New Roman" w:cs="Times New Roman" w:eastAsia="Times New Roman" w:hAnsi="Times New Roman"/>
                <w:sz w:val="23"/>
                <w:szCs w:val="23"/>
                <w:color w:val="auto"/>
                <w:vertAlign w:val="superscript"/>
              </w:rPr>
              <w:t>(1)</w:t>
            </w:r>
          </w:p>
        </w:tc>
        <w:tc>
          <w:tcPr>
            <w:tcW w:w="2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2.1 TWh</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24599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79" w:lineRule="exact"/>
        <w:rPr>
          <w:sz w:val="20"/>
          <w:szCs w:val="20"/>
          <w:color w:val="auto"/>
        </w:rPr>
      </w:pPr>
    </w:p>
    <w:p>
      <w:pPr>
        <w:ind w:left="640" w:hanging="632"/>
        <w:spacing w:after="0"/>
        <w:tabs>
          <w:tab w:leader="none" w:pos="64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Positions to hedge a portion of our power supply and fuel gas requirements at our Canadian natural gas processing and fractionation plants.</w:t>
      </w:r>
    </w:p>
    <w:p>
      <w:pPr>
        <w:spacing w:after="0" w:line="225"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180" w:type="dxa"/>
            <w:vAlign w:val="bottom"/>
            <w:gridSpan w:val="4"/>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8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91"/>
        </w:trPr>
        <w:tc>
          <w:tcPr>
            <w:tcW w:w="58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8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revenues</w:t>
            </w:r>
          </w:p>
        </w:tc>
        <w:tc>
          <w:tcPr>
            <w:tcW w:w="82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8"/>
        </w:trPr>
        <w:tc>
          <w:tcPr>
            <w:tcW w:w="5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gain/(loss) from commodity derivative activity</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1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5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margin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center"/>
              <w:ind w:left="716"/>
              <w:spacing w:after="0"/>
              <w:rPr>
                <w:sz w:val="20"/>
                <w:szCs w:val="20"/>
                <w:color w:val="auto"/>
              </w:rPr>
            </w:pPr>
            <w:r>
              <w:rPr>
                <w:rFonts w:ascii="Times New Roman" w:cs="Times New Roman" w:eastAsia="Times New Roman" w:hAnsi="Times New Roman"/>
                <w:sz w:val="18"/>
                <w:szCs w:val="18"/>
                <w:color w:val="auto"/>
                <w:w w:val="99"/>
              </w:rPr>
              <w:t>77</w:t>
            </w:r>
          </w:p>
        </w:tc>
      </w:tr>
      <w:tr>
        <w:trPr>
          <w:trHeight w:val="28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Variation margin posted/(returned)</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center"/>
              <w:ind w:left="676"/>
              <w:spacing w:after="0"/>
              <w:rPr>
                <w:sz w:val="20"/>
                <w:szCs w:val="20"/>
                <w:color w:val="auto"/>
              </w:rPr>
            </w:pPr>
            <w:r>
              <w:rPr>
                <w:rFonts w:ascii="Times New Roman" w:cs="Times New Roman" w:eastAsia="Times New Roman" w:hAnsi="Times New Roman"/>
                <w:sz w:val="18"/>
                <w:szCs w:val="18"/>
                <w:color w:val="auto"/>
                <w:w w:val="99"/>
              </w:rPr>
              <w:t>(65)</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Letters of credit</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676"/>
              <w:spacing w:after="0"/>
              <w:rPr>
                <w:sz w:val="20"/>
                <w:szCs w:val="20"/>
                <w:color w:val="auto"/>
              </w:rPr>
            </w:pPr>
            <w:r>
              <w:rPr>
                <w:rFonts w:ascii="Times New Roman" w:cs="Times New Roman" w:eastAsia="Times New Roman" w:hAnsi="Times New Roman"/>
                <w:sz w:val="18"/>
                <w:szCs w:val="18"/>
                <w:color w:val="auto"/>
                <w:w w:val="99"/>
              </w:rPr>
              <w:t>(25)</w:t>
            </w:r>
          </w:p>
        </w:tc>
      </w:tr>
      <w:tr>
        <w:trPr>
          <w:trHeight w:val="223"/>
        </w:trPr>
        <w:tc>
          <w:tcPr>
            <w:tcW w:w="8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broker receivable/(payable)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center"/>
              <w:ind w:left="676"/>
              <w:spacing w:after="0"/>
              <w:rPr>
                <w:sz w:val="20"/>
                <w:szCs w:val="20"/>
                <w:color w:val="auto"/>
              </w:rPr>
            </w:pPr>
            <w:r>
              <w:rPr>
                <w:rFonts w:ascii="Times New Roman" w:cs="Times New Roman" w:eastAsia="Times New Roman" w:hAnsi="Times New Roman"/>
                <w:sz w:val="18"/>
                <w:szCs w:val="18"/>
                <w:color w:val="auto"/>
                <w:w w:val="99"/>
              </w:rPr>
              <w:t>(13)</w:t>
            </w:r>
          </w:p>
        </w:tc>
      </w:tr>
      <w:tr>
        <w:trPr>
          <w:trHeight w:val="20"/>
        </w:trPr>
        <w:tc>
          <w:tcPr>
            <w:tcW w:w="8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414"/>
        </w:trPr>
        <w:tc>
          <w:tcPr>
            <w:tcW w:w="2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2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2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6"/>
        </w:trPr>
        <w:tc>
          <w:tcPr>
            <w:tcW w:w="2580" w:type="dxa"/>
            <w:vAlign w:val="bottom"/>
          </w:tcPr>
          <w:p>
            <w:pPr>
              <w:spacing w:after="0"/>
              <w:rPr>
                <w:sz w:val="12"/>
                <w:szCs w:val="12"/>
                <w:color w:val="auto"/>
              </w:rPr>
            </w:pPr>
          </w:p>
        </w:tc>
        <w:tc>
          <w:tcPr>
            <w:tcW w:w="2140" w:type="dxa"/>
            <w:vAlign w:val="bottom"/>
            <w:gridSpan w:val="6"/>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Commodity Derivatives</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80" w:type="dxa"/>
            <w:vAlign w:val="bottom"/>
            <w:gridSpan w:val="4"/>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Presented on</w:t>
            </w:r>
          </w:p>
        </w:tc>
        <w:tc>
          <w:tcPr>
            <w:tcW w:w="200" w:type="dxa"/>
            <w:vAlign w:val="bottom"/>
          </w:tcPr>
          <w:p>
            <w:pPr>
              <w:spacing w:after="0"/>
              <w:rPr>
                <w:sz w:val="12"/>
                <w:szCs w:val="12"/>
                <w:color w:val="auto"/>
              </w:rPr>
            </w:pPr>
          </w:p>
        </w:tc>
        <w:tc>
          <w:tcPr>
            <w:tcW w:w="19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Commodity Derivatives</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Presented on</w:t>
            </w:r>
          </w:p>
        </w:tc>
        <w:tc>
          <w:tcPr>
            <w:tcW w:w="0" w:type="dxa"/>
            <w:vAlign w:val="bottom"/>
          </w:tcPr>
          <w:p>
            <w:pPr>
              <w:spacing w:after="0"/>
              <w:rPr>
                <w:sz w:val="1"/>
                <w:szCs w:val="1"/>
                <w:color w:val="auto"/>
              </w:rPr>
            </w:pPr>
          </w:p>
        </w:tc>
      </w:tr>
      <w:tr>
        <w:trPr>
          <w:trHeight w:val="98"/>
        </w:trPr>
        <w:tc>
          <w:tcPr>
            <w:tcW w:w="2580" w:type="dxa"/>
            <w:vAlign w:val="bottom"/>
          </w:tcPr>
          <w:p>
            <w:pPr>
              <w:spacing w:after="0"/>
              <w:rPr>
                <w:sz w:val="8"/>
                <w:szCs w:val="8"/>
                <w:color w:val="auto"/>
              </w:rPr>
            </w:pPr>
          </w:p>
        </w:tc>
        <w:tc>
          <w:tcPr>
            <w:tcW w:w="2140" w:type="dxa"/>
            <w:vAlign w:val="bottom"/>
            <w:gridSpan w:val="6"/>
            <w:vMerge w:val="continu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vMerge w:val="restart"/>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rPr>
              <w:t>Collateral</w:t>
            </w:r>
          </w:p>
        </w:tc>
        <w:tc>
          <w:tcPr>
            <w:tcW w:w="120" w:type="dxa"/>
            <w:vAlign w:val="bottom"/>
          </w:tcPr>
          <w:p>
            <w:pPr>
              <w:spacing w:after="0"/>
              <w:rPr>
                <w:sz w:val="8"/>
                <w:szCs w:val="8"/>
                <w:color w:val="auto"/>
              </w:rPr>
            </w:pPr>
          </w:p>
        </w:tc>
        <w:tc>
          <w:tcPr>
            <w:tcW w:w="1060" w:type="dxa"/>
            <w:vAlign w:val="bottom"/>
            <w:gridSpan w:val="3"/>
            <w:vMerge w:val="restart"/>
          </w:tcPr>
          <w:p>
            <w:pPr>
              <w:jc w:val="center"/>
              <w:ind w:right="300"/>
              <w:spacing w:after="0" w:line="115" w:lineRule="exact"/>
              <w:rPr>
                <w:sz w:val="20"/>
                <w:szCs w:val="20"/>
                <w:color w:val="auto"/>
              </w:rPr>
            </w:pPr>
            <w:r>
              <w:rPr>
                <w:rFonts w:ascii="Times New Roman" w:cs="Times New Roman" w:eastAsia="Times New Roman" w:hAnsi="Times New Roman"/>
                <w:sz w:val="13"/>
                <w:szCs w:val="13"/>
                <w:b w:val="1"/>
                <w:bCs w:val="1"/>
                <w:color w:val="auto"/>
              </w:rPr>
              <w:t>the Balance</w:t>
            </w:r>
          </w:p>
        </w:tc>
        <w:tc>
          <w:tcPr>
            <w:tcW w:w="200" w:type="dxa"/>
            <w:vAlign w:val="bottom"/>
          </w:tcPr>
          <w:p>
            <w:pPr>
              <w:spacing w:after="0"/>
              <w:rPr>
                <w:sz w:val="8"/>
                <w:szCs w:val="8"/>
                <w:color w:val="auto"/>
              </w:rPr>
            </w:pPr>
          </w:p>
        </w:tc>
        <w:tc>
          <w:tcPr>
            <w:tcW w:w="196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vMerge w:val="restart"/>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rPr>
              <w:t>Collateral</w:t>
            </w:r>
          </w:p>
        </w:tc>
        <w:tc>
          <w:tcPr>
            <w:tcW w:w="120" w:type="dxa"/>
            <w:vAlign w:val="bottom"/>
          </w:tcPr>
          <w:p>
            <w:pPr>
              <w:spacing w:after="0"/>
              <w:rPr>
                <w:sz w:val="8"/>
                <w:szCs w:val="8"/>
                <w:color w:val="auto"/>
              </w:rPr>
            </w:pPr>
          </w:p>
        </w:tc>
        <w:tc>
          <w:tcPr>
            <w:tcW w:w="880" w:type="dxa"/>
            <w:vAlign w:val="bottom"/>
            <w:vMerge w:val="restart"/>
          </w:tcPr>
          <w:p>
            <w:pPr>
              <w:jc w:val="center"/>
              <w:ind w:right="37"/>
              <w:spacing w:after="0" w:line="115" w:lineRule="exact"/>
              <w:rPr>
                <w:sz w:val="20"/>
                <w:szCs w:val="20"/>
                <w:color w:val="auto"/>
              </w:rPr>
            </w:pPr>
            <w:r>
              <w:rPr>
                <w:rFonts w:ascii="Times New Roman" w:cs="Times New Roman" w:eastAsia="Times New Roman" w:hAnsi="Times New Roman"/>
                <w:sz w:val="13"/>
                <w:szCs w:val="13"/>
                <w:b w:val="1"/>
                <w:bCs w:val="1"/>
                <w:color w:val="auto"/>
              </w:rPr>
              <w:t>the Balance</w:t>
            </w: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20" w:type="dxa"/>
            <w:vAlign w:val="bottom"/>
          </w:tcPr>
          <w:p>
            <w:pPr>
              <w:spacing w:after="0"/>
              <w:rPr>
                <w:sz w:val="16"/>
                <w:szCs w:val="16"/>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20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20" w:type="dxa"/>
            <w:vAlign w:val="bottom"/>
          </w:tcPr>
          <w:p>
            <w:pPr>
              <w:spacing w:after="0"/>
              <w:rPr>
                <w:sz w:val="16"/>
                <w:szCs w:val="16"/>
                <w:color w:val="auto"/>
              </w:rPr>
            </w:pPr>
          </w:p>
        </w:tc>
        <w:tc>
          <w:tcPr>
            <w:tcW w:w="8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0" w:type="dxa"/>
            <w:vAlign w:val="bottom"/>
          </w:tcPr>
          <w:p>
            <w:pPr>
              <w:spacing w:after="0"/>
              <w:rPr>
                <w:sz w:val="1"/>
                <w:szCs w:val="1"/>
                <w:color w:val="auto"/>
              </w:rPr>
            </w:pPr>
          </w:p>
        </w:tc>
      </w:tr>
      <w:tr>
        <w:trPr>
          <w:trHeight w:val="214"/>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ind w:left="417"/>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left="357"/>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left="357"/>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84"/>
        </w:trPr>
        <w:tc>
          <w:tcPr>
            <w:tcW w:w="25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Other long-term liabilities and</w:t>
            </w: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credits</w:t>
            </w:r>
          </w:p>
        </w:tc>
        <w:tc>
          <w:tcPr>
            <w:tcW w:w="7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center"/>
              <w:ind w:left="357"/>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8"/>
        </w:trPr>
        <w:tc>
          <w:tcPr>
            <w:tcW w:w="25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top w:val="single" w:sz="8" w:color="auto"/>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center"/>
              <w:ind w:left="417"/>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 Hedging</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terms of our outstanding interest rate derivatives as of September 30, 2024 (notional amounts in millions):</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Hedged Transaction</w:t>
            </w: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and Types of</w:t>
            </w:r>
          </w:p>
        </w:tc>
        <w:tc>
          <w:tcPr>
            <w:tcW w:w="16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Rate</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0" w:type="dxa"/>
            <w:vAlign w:val="bottom"/>
          </w:tcPr>
          <w:p>
            <w:pPr>
              <w:spacing w:after="0"/>
              <w:rPr>
                <w:sz w:val="1"/>
                <w:szCs w:val="1"/>
                <w:color w:val="auto"/>
              </w:rPr>
            </w:pPr>
          </w:p>
        </w:tc>
      </w:tr>
      <w:tr>
        <w:trPr>
          <w:trHeight w:val="195"/>
        </w:trPr>
        <w:tc>
          <w:tcPr>
            <w:tcW w:w="2800" w:type="dxa"/>
            <w:vAlign w:val="bottom"/>
            <w:gridSpan w:val="2"/>
            <w:vMerge w:val="continue"/>
          </w:tcPr>
          <w:p>
            <w:pPr>
              <w:spacing w:after="0"/>
              <w:rPr>
                <w:sz w:val="16"/>
                <w:szCs w:val="16"/>
                <w:color w:val="auto"/>
              </w:rPr>
            </w:pP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Derivatives Employed</w:t>
            </w:r>
          </w:p>
        </w:tc>
        <w:tc>
          <w:tcPr>
            <w:tcW w:w="16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Locked</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Treatment</w:t>
            </w:r>
          </w:p>
        </w:tc>
        <w:tc>
          <w:tcPr>
            <w:tcW w:w="0" w:type="dxa"/>
            <w:vAlign w:val="bottom"/>
          </w:tcPr>
          <w:p>
            <w:pPr>
              <w:spacing w:after="0"/>
              <w:rPr>
                <w:sz w:val="1"/>
                <w:szCs w:val="1"/>
                <w:color w:val="auto"/>
              </w:rPr>
            </w:pPr>
          </w:p>
        </w:tc>
      </w:tr>
      <w:tr>
        <w:trPr>
          <w:trHeight w:val="174"/>
        </w:trPr>
        <w:tc>
          <w:tcPr>
            <w:tcW w:w="270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Anticipated interest payments</w:t>
            </w:r>
          </w:p>
        </w:tc>
        <w:tc>
          <w:tcPr>
            <w:tcW w:w="100" w:type="dxa"/>
            <w:vAlign w:val="bottom"/>
            <w:tcBorders>
              <w:top w:val="single" w:sz="8" w:color="CCEEFF"/>
            </w:tcBorders>
            <w:shd w:val="clear" w:color="auto" w:fill="CCEEFF"/>
          </w:tcPr>
          <w:p>
            <w:pPr>
              <w:spacing w:after="0"/>
              <w:rPr>
                <w:sz w:val="15"/>
                <w:szCs w:val="15"/>
                <w:color w:val="auto"/>
              </w:rPr>
            </w:pPr>
          </w:p>
        </w:tc>
        <w:tc>
          <w:tcPr>
            <w:tcW w:w="2400" w:type="dxa"/>
            <w:vAlign w:val="bottom"/>
            <w:tcBorders>
              <w:top w:val="single" w:sz="8" w:color="auto"/>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9"/>
              </w:rPr>
              <w:t>8 forward starting swaps</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ind w:right="2"/>
              <w:spacing w:after="0" w:line="174" w:lineRule="exact"/>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8"/>
              </w:rPr>
              <w:t>6/15/2026</w:t>
            </w: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8"/>
              </w:rPr>
              <w:t>3.09%</w:t>
            </w:r>
          </w:p>
        </w:tc>
        <w:tc>
          <w:tcPr>
            <w:tcW w:w="12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9"/>
              </w:rPr>
              <w:t>Cash flow hedge</w:t>
            </w: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(30-year)</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During the nine months ended September 30, 2024, we terminated $100 million of notional interest hedging instruments for proceeds of</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$57 million, which was recorded in AOCI. As of September 30, 2024, there was a net loss of $66 million deferred in AOCI. The deferred net loss recorded in AOCI is expected to be reclassified to future earnings contemporaneously with interest expense accruals associated with underlying debt instruments. We estimate that substantially all of the remaining deferred loss will be reclassified to earnings through 2056 as the underlying hedged transactions impact earnings. A portion of these amounts is based on market prices as of September 30, 2024; thus, actual amounts to be reclassified will differ and could vary materially as a result of changes in market conditions.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net unrealized gain/(loss) recognized in AOCI for derivatives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2240" w:type="dxa"/>
            <w:vAlign w:val="bottom"/>
            <w:gridSpan w:val="4"/>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588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r>
      <w:tr>
        <w:trPr>
          <w:trHeight w:val="196"/>
        </w:trPr>
        <w:tc>
          <w:tcPr>
            <w:tcW w:w="58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derivatives, net</w:t>
            </w:r>
          </w:p>
        </w:tc>
        <w:tc>
          <w:tcPr>
            <w:tcW w:w="82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30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At September 30, 2024, the net fair value of our interest rate hedges, which were included in “Other long-term assets, net” on our Condensed Consolidated Balance Sheet, totaled $7 million. At December 31, 2023, the net fair value of these hedges totaled $51 million and $4 million, which were included in “Other current assets” and “Other long-term assets, net”,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Derivative Financial Assets and Liabilities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our financial assets and liabilities that were accounted for at fair value on a recurring basis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Recurring Fair Value Measures </w:t>
            </w:r>
            <w:r>
              <w:rPr>
                <w:rFonts w:ascii="Times New Roman" w:cs="Times New Roman" w:eastAsia="Times New Roman" w:hAnsi="Times New Roman"/>
                <w:sz w:val="23"/>
                <w:szCs w:val="23"/>
                <w:b w:val="1"/>
                <w:bCs w:val="1"/>
                <w:color w:val="auto"/>
                <w:vertAlign w:val="superscript"/>
              </w:rPr>
              <w:t>(1)</w:t>
            </w:r>
          </w:p>
        </w:tc>
        <w:tc>
          <w:tcPr>
            <w:tcW w:w="180" w:type="dxa"/>
            <w:vAlign w:val="bottom"/>
          </w:tcPr>
          <w:p>
            <w:pPr>
              <w:spacing w:after="0"/>
              <w:rPr>
                <w:sz w:val="16"/>
                <w:szCs w:val="16"/>
                <w:color w:val="auto"/>
              </w:rPr>
            </w:pPr>
          </w:p>
        </w:tc>
        <w:tc>
          <w:tcPr>
            <w:tcW w:w="3160" w:type="dxa"/>
            <w:vAlign w:val="bottom"/>
            <w:gridSpan w:val="9"/>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 Value as of September 30, 2024</w:t>
            </w:r>
          </w:p>
        </w:tc>
        <w:tc>
          <w:tcPr>
            <w:tcW w:w="200" w:type="dxa"/>
            <w:vAlign w:val="bottom"/>
          </w:tcPr>
          <w:p>
            <w:pPr>
              <w:spacing w:after="0"/>
              <w:rPr>
                <w:sz w:val="16"/>
                <w:szCs w:val="16"/>
                <w:color w:val="auto"/>
              </w:rPr>
            </w:pPr>
          </w:p>
        </w:tc>
        <w:tc>
          <w:tcPr>
            <w:tcW w:w="2640" w:type="dxa"/>
            <w:vAlign w:val="bottom"/>
            <w:gridSpan w:val="6"/>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Fair Value as of December 31, 2023</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760" w:type="dxa"/>
            <w:vAlign w:val="bottom"/>
            <w:gridSpan w:val="3"/>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gridSpan w:val="2"/>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derivatives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center"/>
              <w:ind w:left="337"/>
              <w:spacing w:after="0"/>
              <w:rPr>
                <w:sz w:val="20"/>
                <w:szCs w:val="20"/>
                <w:color w:val="auto"/>
              </w:rPr>
            </w:pPr>
            <w:r>
              <w:rPr>
                <w:rFonts w:ascii="Times New Roman" w:cs="Times New Roman" w:eastAsia="Times New Roman" w:hAnsi="Times New Roman"/>
                <w:sz w:val="18"/>
                <w:szCs w:val="18"/>
                <w:color w:val="auto"/>
                <w:w w:val="99"/>
              </w:rPr>
              <w:t>(21)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80" w:type="dxa"/>
            <w:vAlign w:val="bottom"/>
          </w:tcPr>
          <w:p>
            <w:pPr>
              <w:spacing w:after="0"/>
              <w:rPr>
                <w:sz w:val="19"/>
                <w:szCs w:val="19"/>
                <w:color w:val="auto"/>
              </w:rPr>
            </w:pPr>
          </w:p>
        </w:tc>
        <w:tc>
          <w:tcPr>
            <w:tcW w:w="900" w:type="dxa"/>
            <w:vAlign w:val="bottom"/>
            <w:gridSpan w:val="2"/>
          </w:tcPr>
          <w:p>
            <w:pPr>
              <w:jc w:val="center"/>
              <w:ind w:left="277"/>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8"/>
        </w:trPr>
        <w:tc>
          <w:tcPr>
            <w:tcW w:w="4760" w:type="dxa"/>
            <w:vAlign w:val="bottom"/>
            <w:tcBorders>
              <w:top w:val="single" w:sz="8" w:color="CCEEFF"/>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derivative asset/(liability)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center"/>
              <w:ind w:left="337"/>
              <w:spacing w:after="0"/>
              <w:rPr>
                <w:sz w:val="20"/>
                <w:szCs w:val="20"/>
                <w:color w:val="auto"/>
              </w:rPr>
            </w:pPr>
            <w:r>
              <w:rPr>
                <w:rFonts w:ascii="Times New Roman" w:cs="Times New Roman" w:eastAsia="Times New Roman" w:hAnsi="Times New Roman"/>
                <w:sz w:val="18"/>
                <w:szCs w:val="18"/>
                <w:color w:val="auto"/>
                <w:w w:val="99"/>
              </w:rPr>
              <w:t>(21)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80" w:type="dxa"/>
            <w:vAlign w:val="bottom"/>
            <w:tcBorders>
              <w:bottom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640" w:hanging="632"/>
        <w:spacing w:after="0"/>
        <w:tabs>
          <w:tab w:leader="none" w:pos="64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Derivative assets and liabilities are presented above on a net basis but do not include related cash margin deposits.</w:t>
      </w:r>
    </w:p>
    <w:p>
      <w:pPr>
        <w:spacing w:after="0" w:line="220"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Level 1</w:t>
      </w:r>
    </w:p>
    <w:p>
      <w:pPr>
        <w:spacing w:after="0" w:line="229" w:lineRule="exact"/>
        <w:rPr>
          <w:rFonts w:ascii="Times New Roman" w:cs="Times New Roman" w:eastAsia="Times New Roman" w:hAnsi="Times New Roman"/>
          <w:sz w:val="23"/>
          <w:szCs w:val="23"/>
          <w:color w:val="auto"/>
          <w:vertAlign w:val="superscript"/>
        </w:rPr>
      </w:pPr>
    </w:p>
    <w:p>
      <w:pPr>
        <w:ind w:left="660" w:right="20"/>
        <w:spacing w:after="0" w:line="26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171"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Level 2</w:t>
      </w:r>
    </w:p>
    <w:p>
      <w:pPr>
        <w:spacing w:after="0" w:line="229" w:lineRule="exact"/>
        <w:rPr>
          <w:rFonts w:ascii="Times New Roman" w:cs="Times New Roman" w:eastAsia="Times New Roman" w:hAnsi="Times New Roman"/>
          <w:sz w:val="23"/>
          <w:szCs w:val="23"/>
          <w:color w:val="auto"/>
          <w:vertAlign w:val="superscript"/>
        </w:rPr>
      </w:pPr>
    </w:p>
    <w:p>
      <w:pPr>
        <w:ind w:left="660" w:right="40"/>
        <w:spacing w:after="0" w:line="26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Level 2 of the fair value hierarchy includes exchange-cleared commodity derivatives and over-the-counter commodity and interest rate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Rollforward of Level 3 Net Asset/(Liability)</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Preferred Distribution Rate Reset Option was accounted for as an embedded derivative that was bifurcated from the related host contract and recorded at fair value. The Preferred Distribution Rate Reset Option was settled in January 2023 when we received notice that the Series A preferred unitholders elected the Preferred Distribution Rate Reset Option, which resulted in a gain of $58 million recognized in “Other income, net” in our Condensed Consolidated Statement of Operations for the nine months ended September 30, 2023. See Note 12 to our Consolidated Financial Statements included in Part IV of our 2023 Annual Report on Form 10-K for additional information regarding the Preferred Distribution Rate Reset Option.</w:t>
      </w:r>
    </w:p>
    <w:p>
      <w:pPr>
        <w:spacing w:after="0" w:line="210"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changes in fair value of the beginning and ending balances for the Preferred Distribution Rate Reset Option embedded derivative, which was classified as Level 3 in the fair value hierarchy (in millions):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94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28"/>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9"/>
        </w:trPr>
        <w:tc>
          <w:tcPr>
            <w:tcW w:w="9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gains/(losses) for the period included in earnings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9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Settlements</w:t>
            </w: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3"/>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37"/>
        </w:trPr>
        <w:tc>
          <w:tcPr>
            <w:tcW w:w="9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34"/>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Change in unrealized gains/(losses) included in earnings relating to Level 3 derivatives still held at the end of the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8—Related Party Transactions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See Note 16 to our Consolidated Financial Statements included in Part IV of our 2023 Annual Report on Form 10-K for a complete discussion of related parties, including the determination of our related parties and nature of involvement with such related parties.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 with our General Partner</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and certain Plains entities have issued promissory notes to facilitate financing. In March 2023, we assigned PAGP our interest in an existing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unsecured promissory note due from a consolidated subsidiary (“March 2023 note payable”) with a face value of CAD$500 million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$370 million). Concurrently, PAGP issued an unsecured promissory note to us (“March 2023 note receivable”) for the same face value amount. Both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due April 2027 and bear interest at a rate of 8.25% per annum, payable semi-annually.</w:t>
      </w:r>
    </w:p>
    <w:p>
      <w:pPr>
        <w:spacing w:after="0" w:line="23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July 2024, a consolidated subsidiary issued additional unsecured promissory notes to PAGP (collectively with the March 2023 note payable, the “related party notes payable”) with a face value of CAD$865 million (approximately $629 million). Concurrently, PAGP issued unsecured promissory notes to us (collectively with the March 2023 note receivable, the “related party notes receivable”) for the same face value amount. These notes are due September 2034 and bear interest at a rate of 6.50% per annum, payable semi-annually. In connection with the July 2024 issuance of related party notes, we received cash from PAGP of $629 million, which is reflected in “Proceeds from the issuance of related party notes” (a component of cash flows from financing activities), and we paid an equal and offsetting amount of cash to PAGP, which is reflected in “Investments in related party notes” (a component of cash flows from investing activities) on our Condensed Consolidated Statement of Cash Flows.</w:t>
      </w:r>
    </w:p>
    <w:p>
      <w:pPr>
        <w:spacing w:after="0" w:line="21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Accrued and unpaid interest receivable/payable was $11 million and $10 million as of September 30, 2024 and December 31, 2023, respectively. Interest income/expense on the related party notes totaled $16 million and $31 million for the three and nine months ended September 30, 2024, respectively, and $8 million and $18 million for the three and nine months ended September 30, 2023, respectively.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our outstanding related party notes receivable and related party notes payable balances were as follows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6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60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Related party notes receivable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306"/>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Related party notes payable </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24599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55" w:lineRule="exact"/>
        <w:rPr>
          <w:sz w:val="20"/>
          <w:szCs w:val="20"/>
          <w:color w:val="auto"/>
        </w:rPr>
      </w:pPr>
    </w:p>
    <w:p>
      <w:pPr>
        <w:ind w:left="660" w:right="580" w:hanging="652"/>
        <w:spacing w:after="0" w:line="229" w:lineRule="auto"/>
        <w:tabs>
          <w:tab w:leader="none" w:pos="64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have elected to present our related party notes with the same counterparty on a net basis on our Condensed Consolidated Balance Sheet because there is a legal right to offset and we intend to offset with the counterparty.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Other Related Parties</w:t>
      </w:r>
    </w:p>
    <w:p>
      <w:pPr>
        <w:spacing w:after="0" w:line="256"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and 2023, we recognized sales and transportation revenues, purchased petroleum products and utilized transportation and storage services from related parties. These transactions were conducted at posted tariff rates or prices that we believe approximate market.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impact to our Condensed Consolidated Statements of Operations from these transactions is included below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20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3"/>
                <w:szCs w:val="13"/>
                <w:color w:val="auto"/>
              </w:rPr>
            </w:pPr>
          </w:p>
        </w:tc>
      </w:tr>
      <w:tr>
        <w:trPr>
          <w:trHeight w:val="195"/>
        </w:trPr>
        <w:tc>
          <w:tcPr>
            <w:tcW w:w="58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r>
      <w:tr>
        <w:trPr>
          <w:trHeight w:val="195"/>
        </w:trPr>
        <w:tc>
          <w:tcPr>
            <w:tcW w:w="58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related parties</w:t>
            </w:r>
          </w:p>
        </w:tc>
        <w:tc>
          <w:tcPr>
            <w:tcW w:w="82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57"/>
        </w:trPr>
        <w:tc>
          <w:tcPr>
            <w:tcW w:w="58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and related costs from related parties</w:t>
            </w:r>
          </w:p>
        </w:tc>
        <w:tc>
          <w:tcPr>
            <w:tcW w:w="82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bl>
    <w:p>
      <w:pPr>
        <w:spacing w:after="0" w:line="373"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Our receivable and payable amounts with these related parties as reflected on our Condensed Consolidated Balance Sheets were as follows (in millions):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5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5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Trade accounts receivable and other receivables, net from related parties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57"/>
        </w:trPr>
        <w:tc>
          <w:tcPr>
            <w:tcW w:w="8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29"/>
        </w:trPr>
        <w:tc>
          <w:tcPr>
            <w:tcW w:w="8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Trade accounts payable to related parties </w:t>
            </w:r>
            <w:r>
              <w:rPr>
                <w:rFonts w:ascii="Times New Roman" w:cs="Times New Roman" w:eastAsia="Times New Roman" w:hAnsi="Times New Roman"/>
                <w:sz w:val="23"/>
                <w:szCs w:val="23"/>
                <w:color w:val="auto"/>
                <w:vertAlign w:val="superscript"/>
              </w:rPr>
              <w:t>(1) (2)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4599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32" w:lineRule="exact"/>
        <w:rPr>
          <w:sz w:val="20"/>
          <w:szCs w:val="20"/>
          <w:color w:val="auto"/>
        </w:rPr>
      </w:pPr>
    </w:p>
    <w:p>
      <w:pPr>
        <w:ind w:left="660" w:right="100" w:hanging="652"/>
        <w:spacing w:after="0" w:line="229" w:lineRule="auto"/>
        <w:tabs>
          <w:tab w:leader="none" w:pos="64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amounts related to transportation and storage services and amounts owed to us or advanced to us related to investment capital projects of equity method investees where we serve as construction manager.</w:t>
      </w:r>
    </w:p>
    <w:p>
      <w:pPr>
        <w:spacing w:after="0" w:line="36" w:lineRule="exact"/>
        <w:rPr>
          <w:rFonts w:ascii="Times New Roman" w:cs="Times New Roman" w:eastAsia="Times New Roman" w:hAnsi="Times New Roman"/>
          <w:sz w:val="23"/>
          <w:szCs w:val="23"/>
          <w:color w:val="auto"/>
          <w:vertAlign w:val="superscript"/>
        </w:rPr>
      </w:pPr>
    </w:p>
    <w:p>
      <w:pPr>
        <w:ind w:left="660" w:right="200" w:hanging="652"/>
        <w:spacing w:after="0" w:line="235" w:lineRule="auto"/>
        <w:tabs>
          <w:tab w:leader="none" w:pos="64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 — General</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83"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 General</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214"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 General</w:t>
      </w:r>
    </w:p>
    <w:p>
      <w:pPr>
        <w:spacing w:after="0" w:line="256"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 or insured.</w:t>
      </w:r>
    </w:p>
    <w:p>
      <w:pPr>
        <w:spacing w:after="0" w:line="21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spacing w:after="0" w:line="18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estimated undiscounted reserve for environmental liabilities (excluding liabilities related to the Line 901 incident, as discussed further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reflected on our Condensed Consolidated Balance Sheets as follows (in millions):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14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6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48"/>
        </w:trPr>
        <w:tc>
          <w:tcPr>
            <w:tcW w:w="7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Specific Legal, Environmental or Regulatory Matters</w:t>
      </w:r>
    </w:p>
    <w:p>
      <w:pPr>
        <w:spacing w:after="0" w:line="25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Line 901 Incident</w:t>
      </w:r>
      <w:r>
        <w:rPr>
          <w:rFonts w:ascii="Times New Roman" w:cs="Times New Roman" w:eastAsia="Times New Roman" w:hAnsi="Times New Roman"/>
          <w:sz w:val="18"/>
          <w:szCs w:val="18"/>
          <w:color w:val="auto"/>
        </w:rPr>
        <w:t>. In May 2015, we experienced a crude oil release from our Las Flores to Gaviota Pipeline (Line 901) in Santa Barbara County,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was determined by the Unified Command to be complete in 2016, and the Unified Command was dissolved. Our estimate of the amount of oil spilled, based on relevant facts, data and information, and as set forth in the Consent Decree described below, is approximately 2,934 barrels; of this amount, we estimate that 598 barrels reached the Pacific Ocean.</w:t>
      </w:r>
    </w:p>
    <w:p>
      <w:pPr>
        <w:spacing w:after="0" w:line="214"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Line 901 incident, several governmental agencies and regulators initiated investigations into the Line 901 incident, various claims have been made against us and a number of lawsuits have been filed against us, most of which have been resolved. Set forth below is a brief summary of actions and matters that are currently pending or recently resolved.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federal and state agencies designated or authorized by law to act as trustees for the natural resources of the United States and the State of California (collectively, the “Trustees”). Additionally, various government agencies sought to collect civil fines and penalties under applicable state and federal regulations. On March 13, 2020, the United States and the People of the State of California filed a civil complaint against Plains All American Pipeline, L.P. and Plains Pipeline L.P. along with a pre-negotiated settlement agreement in the form of a Consent Decree (the “Consent Decree”) that was signed by the United States Department of Justice, Environmental and Natural Resources Division, the United States Department of Transportation, Pipeline and Hazardous Materials Safety Administration, the EPA, CDFW, the California Department of Parks and Recreation, the California State Lands Commission, the California Department of Forestry and Fire Protection’s Office of the State Fire Marshal, Central Coast Regional Water Quality Control Board, and Regents of the University of California. The Consent Decree was approved and entered by the Federal District Court for the Central District of California on October 14, 2020. Pursuant to the terms of the Consent Decree, Plains paid $24 million in civil penalties and $22.325 million as compensation for injuries to, destruction of, loss of, or loss of use of natural resources resulting from the Line 901 incident. The Consent Decree, which resolved all regulatory claims related to the incident, also contains requirements for implementing certain agreed-upon injunctive relief, as well as requirements for potentially restarting Line 901 and the Sisquoc to Pentland portion of Line 903. On October 13, 2022, Plains sold Line 901 and the Sisquoc to Pentland portion of Line 903 to Pacific Pipeline Company, an indirect wholly owned subsidiary of Exxon Mobil Corporation. As required by the terms of the Consent Decree, such purchaser assumed responsibility for compliance with the Consent Decree as it relates to the future ownership and operation of Line 901 and the Sisquoc to Pentland portion of Line 903.</w:t>
      </w:r>
    </w:p>
    <w:p>
      <w:pPr>
        <w:spacing w:after="0" w:line="220"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Following an investigation and grand jury proceedings, in May of 2016, PAA was charged by a California state grand jury, pursuant to an indictment filed in California Superior Court, Santa Barbara County (the “May 2016 Indictment”), with alleged violations of California law in connection with the Line 901 incident. Fifteen charges from the May 2016 Indictment were the subject of a jury trial in California Superior Court in Santa Barbara County, and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remaining counts were subsequently dismissed by the Court. On April 25, 2019, PAA was sentenced to pay fines and penalties in the aggregate amount of just under $3.35 million for the convictions covered by the September 2018 jury verdict (the “2019 Sentence”). The fines and penalties imposed in connection with the 2019 Sentence have been paid. In September 2021, the Superior Court concluded a series of hearings on the issue of whether there were any “direct victims” of the spill that are entitled to restitution under applicable criminal law. Through a series of final orders issued at the trial court level and without affecting any rights of the claimants under civil law, the Court dismissed the vast majority of the claims and ruled that the claimants were not entitled to restitution under applicable criminal laws. The Court did award an aggregate amount of less than $150,000 to a handful of claimants and we settled with approximately 40 claimants before the hearings for aggregate consideration that is not material. The prosecution and certain separately represented claimants appealed the Court’s rulings. The Appellate Court’s order resulted in approximately $275,000 of claims being remanded to the trial court for further adjudication and the affirmation of the trial court’s dismissal of all other claims.</w:t>
      </w:r>
    </w:p>
    <w:p>
      <w:pPr>
        <w:spacing w:after="0" w:line="19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also received individual lawsuits and claims from companies, governmental agencies and individuals alleging damages arising out of the Line 901 incident. These lawsuits and claims generally seek restitution, compensatory and punitive damages, and/or injunctive relief. Most of these lawsuits have been settled or dismissed by the court. We recently settled the following two lawsuits (the “2024 Settlements”): (i) a lawsuit in California Superior Court in Santa Barbara County for lost revenue or profit asserted by a former oil producer that declared bankruptcy and shut in its offshore production platform following the Line 901 incident; and (ii) a lawsuit filed by the California State Land Commission in California Superior Court in Santa Barbara County seeking lost royalties following the shut-down of Line 901, as well as costs related to the decommissioning of such platform. In connection with the 2024 Settlements, we recognized additional costs related to the Line 901 incident of $120 million. Our remaining Line 901 lawsuits include various lawsuits filed in California Superior Court in Santa Barbara County by companies and individuals who provided labor, goods, or services associated with oil production activities they claim were disrupted following the Line 901 incident. We are vigorously defending these remaining lawsuits, which have not yet been set for trial, and believe we have strong defenses.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In a separate class action lawsuit that was pending in United States District Court for the Central District of California, the plaintiffs claimed two different classes of claimants were damaged by the release: (i) commercial fishermen who landed fish in certain specified fishing blocks in the waters off the coast of Southern California or persons or businesses who resold commercial seafood caught in those areas; and (ii) owners and lessees of residential beachfront properties, or properties with a private easement to a beach, where plaintiffs claim oil from the spill washed up. In 2022, in order to fully and finally resolve all claims and litigation for both classes, we reached an agreement to settle this case in exchange for a payment of $230 million (the “Class Action Settlement”). The Class Action Settlement was formally approved by the trial court on September 20, 2022, and we made the $230 million settlement payment on October 27, 2022 and the lawsuit was subsequently dismissed.</w:t>
      </w:r>
    </w:p>
    <w:p>
      <w:pPr>
        <w:spacing w:after="0" w:line="21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Plains formally submitted claims for reimbursement of the Class Action Settlement to our insurance carriers on November 7, 2022. To date, we have received payment of approximately $3.6 million from one insurer, which represents the final payment obligation of such insurer and brings the total amount collected from all insurers under such program to $275 million of the $500 million policy limits as of September 30, 2024. Insurers responsible for $185 million of the remaining $225 million of coverage have formally communicated a denial of coverage for the Class Action Settlement, generally alleging that some or all damages encompassed by the Class Action Settlement are not covered by their policies and that all or some portion of the</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$275 million for which Plains has already received insurance reimbursement does not properly exhaust the underlying policies that paid those sums. The insurer responsible for the final $40 million of coverage under such insurance program has not yet accepted nor denied coverage. We have initiated final and binding arbitration proceedings against all of the insurers responsible for the remaining $225 million of coverage with respect to which we have not received reimbursement. With respect to our reimbursement claim against insurers representing $175 million of the $225 million total reimbursement claim, a binding arbitration hearing was concluded in early October and we expect a decision from the arbitration panel in January 2025. We continue to believe that our claim for reimbursement from our insurers of the Class Action Settlement payment is strong and that our ultimate recovery of such amounts is probable. Our belief is based on: (i) our analysis of the terms of the underlying insurance policies as applied to the facts and circumstances that comprise our claim for reimbursement, (ii) our experience with the cost submissions and timely collection of claims for the $275 million collected to date for this incident under the same insurance program as the denied claims, including from some of the same insurers who are now denying claims, (iii) our extensive legal review and assessment of the insurer’s claimed basis for denial of coverage, which review and assessment includes the advice of external legal counsel experienced in these type of matters and solidly supports our belief that our insurers are required to provide coverage based on the terms of the policies and the nature of our claims, and (iv) the financial strength of the insurance carriers as determined by an independent credit ratings agency. Various factors could impact the timing and amount of recovery of our insurance receivable, including future developments that adversely impact our assessment of the strength of our coverage claims, the outcome of any dispute resolution proceedings with respect to our coverage claims (including the arbitration proceeding for which a hearing was completed in October) and the extent to which insurers may become insolvent in the future. An unfavorable resolution could have a material impact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In connection with the foregoing, including the Class Action Settlement and the 2024 Settlements, we have made adjustments to our total estimated Line 901 costs and the portion of such costs that we believe are probable of recovery from insurance carriers, net of deductibles. Effective as of September 30, 2024, we estimate that the aggregate total costs we have incurred or will incur with respect to the Line 901 incident will be approximately $870 million, which includes actual and projected emergency response and clean-up costs, natural resource damage assessments, fines and penalties payable pursuant to the Consent Decree, certain third-party claims settlements (including the Class Action Settlement and the 2024 Settlements), and estimated costs associated with our remaining Line 901 lawsuits and claims as described above, as well as estimates for certain legal fees and statutory interest where applicable.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third-party claims and lawsuits, but excluding claims and lawsuits with respect to which losses are not probable and reasonably estimable,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3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recognized costs, net of amounts probable of recovery from insurance carriers, of $120 million during the nine months ended September 30, 2024. We did not recognize any such costs during the nine months ended September 30, 2023. As of September 30, 2024, we had a remaining undiscounted gross liability of approximately $94 million related to the Line 901 incident, which aggregate amount is reflected in “Current liabilities” on our Condensed Consolidated Balance Sheet. As discussed above, we maintain insurance coverage, which is subject to certain exclusions and deductibles, in the event of such liabilities. As of September 30, 2024, our incurred costs for the Line 901 incident have exceeded our insurance coverage limit of $500 million related to our 2015 insurance program applicable to the Line 901 incident by $370 million. Through September 30, 2024, we had collected, subject to customary reservations, approximately $280 million out of the $505 million of release costs that we believe are probable of recovery from insurance carriers (including the 2015 insurance program and our directors and officers (D&amp;O) insurance policies), net of deductibles. Therefore, as of September 30, 2024, we have recognized a receivable of approximately $225 million for the portion of the release costs that we believe is probable of recovery from insurance, net of deductibles and amounts already collected. We anticipate that the process to enforce our coverage claims with respect to the Class Action Settlement will take time and, accordingly, have classified the related receivable amounts as short-term and long-term based on the resolution status of the process as of the balance sheet date. As of September 30, 2024, we have classified $175 million of the receivable as a short-term asset in “Trade accounts receivable and other receivables, net” with the remaining $50 million recognized as a long-term asset in “Other long-term assets, net” on our Condensed Consolidated Balance Sheet. As of December 31, 2023, we classified $225 million as a long-term asset in “Other long-term assets, net” on our Condensed Consolidated Balance Sheet.</w:t>
      </w:r>
    </w:p>
    <w:p>
      <w:pPr>
        <w:spacing w:after="0" w:line="22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have completed the required clean-up and remediation work as determined by the Unified Command and the Unified Command has been dissolved; however, we expect to make payments for additional legal, professional and regulatory costs during future periods.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lawsuits will have a material adverse effect on our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Litigation Matters. </w:t>
      </w:r>
      <w:r>
        <w:rPr>
          <w:rFonts w:ascii="Times New Roman" w:cs="Times New Roman" w:eastAsia="Times New Roman" w:hAnsi="Times New Roman"/>
          <w:sz w:val="18"/>
          <w:szCs w:val="18"/>
          <w:color w:val="auto"/>
        </w:rPr>
        <w:t>On July 19, 2022, Hartree Natural Gas Storage, LLC (“Hartree”) filed a lawsuit under seal in the Superior Court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of Delaware asserting claims against PAA Natural Gas Storage, L.P. (“PNGS”) and PAA arising out of a Membership Interest Purchase Agreement relating to the 2021 sale of the Pine Prairie Energy Center natural gas storage facility to Hartree. A bifurcated bench and jury trial was held in May of 2024, with the jury deciding claims asserted against PAA (“PAA claims”) and the court to decide the claims asserted against PNGS (“PNGS claims”). The jury found PAA liable but awarded $0 damages on the PAA claims. We are still awaiting a verdict from the court on the PNGS claims and an entry of judgement on the PAA claims. We expect that the outcome of the lawsuit will not have a material adverse effect on our financial condition, results of operations or cash flows.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10—Segment Information</w:t>
      </w:r>
    </w:p>
    <w:p>
      <w:pPr>
        <w:spacing w:after="0" w:line="25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manage our operations through two operating segments, which are also our reportable segments: Crude Oil and NGL. See Note 19 to our Consolidated Financial Statements included in Part IV of our 2023 Annual Report on Form 10-K for a summary of the types of products and services from which each segment derives its revenues. Our CODM (our Chief Executive Officer) evaluates segment performance based on measures including Segment Adjusted EBITDA (as defined below) and maintenance capital.</w:t>
      </w:r>
    </w:p>
    <w:p>
      <w:pPr>
        <w:spacing w:after="0" w:line="207"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The measure of Segment Adjusted EBITDA forms the basis of our internal financial reporting and is the primary performance measure used by our CODM in assessing performance and allocating resources among our operating segments. We define Segment Adjusted EBITDA as revenues and equity earnings in unconsolidated entities less (a) purchases and related costs, (b) field operating costs and (c) segment general and administrative expenses, plus (d) our proportionate share of the depreciation and amortization expense (including write-downs related to cancelled projects and impairments) of unconsolidated entities, further adjusted (e)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(f) to exclude the portion of all preceding items that is attributable to noncontrolling interests (“Segment amounts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reflect certain financial data for each segment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20" w:type="dxa"/>
            <w:vAlign w:val="bottom"/>
          </w:tcPr>
          <w:p>
            <w:pPr>
              <w:spacing w:after="0"/>
              <w:rPr>
                <w:sz w:val="12"/>
                <w:szCs w:val="12"/>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NGL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2"/>
                <w:szCs w:val="12"/>
                <w:color w:val="auto"/>
              </w:rPr>
            </w:pPr>
          </w:p>
        </w:tc>
        <w:tc>
          <w:tcPr>
            <w:tcW w:w="102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12,282</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577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40" w:type="dxa"/>
            <w:vAlign w:val="bottom"/>
            <w:gridSpan w:val="2"/>
            <w:vMerge w:val="continue"/>
          </w:tcPr>
          <w:p>
            <w:pPr>
              <w:spacing w:after="0"/>
              <w:rPr>
                <w:sz w:val="15"/>
                <w:szCs w:val="15"/>
                <w:color w:val="auto"/>
              </w:rPr>
            </w:pPr>
          </w:p>
        </w:tc>
        <w:tc>
          <w:tcPr>
            <w:tcW w:w="220" w:type="dxa"/>
            <w:vAlign w:val="bottom"/>
            <w:tcBorders>
              <w:bottom w:val="single" w:sz="8" w:color="auto"/>
            </w:tcBorders>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11,581</w:t>
            </w: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23"/>
        </w:trPr>
        <w:tc>
          <w:tcPr>
            <w:tcW w:w="5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12,071</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40" w:type="dxa"/>
            <w:vAlign w:val="bottom"/>
            <w:gridSpan w:val="2"/>
            <w:vMerge w:val="continue"/>
          </w:tcPr>
          <w:p>
            <w:pPr>
              <w:spacing w:after="0"/>
              <w:rPr>
                <w:sz w:val="15"/>
                <w:szCs w:val="15"/>
                <w:color w:val="auto"/>
              </w:rPr>
            </w:pPr>
          </w:p>
        </w:tc>
        <w:tc>
          <w:tcPr>
            <w:tcW w:w="220" w:type="dxa"/>
            <w:vAlign w:val="bottom"/>
            <w:tcBorders>
              <w:bottom w:val="single" w:sz="8" w:color="auto"/>
            </w:tcBorders>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Maintenance capital expenditures</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36,321</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1,707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40" w:type="dxa"/>
            <w:vAlign w:val="bottom"/>
            <w:gridSpan w:val="2"/>
            <w:vMerge w:val="continue"/>
          </w:tcPr>
          <w:p>
            <w:pPr>
              <w:spacing w:after="0"/>
              <w:rPr>
                <w:sz w:val="15"/>
                <w:szCs w:val="15"/>
                <w:color w:val="auto"/>
              </w:rPr>
            </w:pPr>
          </w:p>
        </w:tc>
        <w:tc>
          <w:tcPr>
            <w:tcW w:w="220" w:type="dxa"/>
            <w:vAlign w:val="bottom"/>
            <w:tcBorders>
              <w:bottom w:val="single" w:sz="8" w:color="auto"/>
            </w:tcBorders>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34,726</w:t>
            </w: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0" w:type="dxa"/>
            <w:vAlign w:val="bottom"/>
          </w:tcPr>
          <w:p>
            <w:pPr>
              <w:spacing w:after="0"/>
              <w:rPr>
                <w:sz w:val="1"/>
                <w:szCs w:val="1"/>
                <w:color w:val="auto"/>
              </w:rPr>
            </w:pPr>
          </w:p>
        </w:tc>
      </w:tr>
      <w:tr>
        <w:trPr>
          <w:trHeight w:val="223"/>
        </w:trPr>
        <w:tc>
          <w:tcPr>
            <w:tcW w:w="5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34,988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36,014</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40" w:type="dxa"/>
            <w:vAlign w:val="bottom"/>
            <w:gridSpan w:val="2"/>
            <w:vMerge w:val="continue"/>
          </w:tcPr>
          <w:p>
            <w:pPr>
              <w:spacing w:after="0"/>
              <w:rPr>
                <w:sz w:val="15"/>
                <w:szCs w:val="15"/>
                <w:color w:val="auto"/>
              </w:rPr>
            </w:pPr>
          </w:p>
        </w:tc>
        <w:tc>
          <w:tcPr>
            <w:tcW w:w="220" w:type="dxa"/>
            <w:vAlign w:val="bottom"/>
            <w:tcBorders>
              <w:bottom w:val="single" w:sz="8" w:color="auto"/>
            </w:tcBorders>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1,952</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80" w:type="dxa"/>
            <w:vAlign w:val="bottom"/>
            <w:tcBorders>
              <w:bottom w:val="single" w:sz="8" w:color="auto"/>
            </w:tcBorders>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60" w:right="40" w:hanging="652"/>
        <w:spacing w:after="0" w:line="235" w:lineRule="auto"/>
        <w:tabs>
          <w:tab w:leader="none" w:pos="64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Adjusted EBITDA Reconciliation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Segment Adjusted EBITDA to Net income attributable to PAA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18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80" w:type="dxa"/>
            <w:vAlign w:val="bottom"/>
          </w:tcPr>
          <w:p>
            <w:pPr>
              <w:spacing w:after="0"/>
              <w:rPr>
                <w:sz w:val="13"/>
                <w:szCs w:val="13"/>
                <w:color w:val="auto"/>
              </w:rPr>
            </w:pPr>
          </w:p>
        </w:tc>
      </w:tr>
      <w:tr>
        <w:trPr>
          <w:trHeight w:val="195"/>
        </w:trPr>
        <w:tc>
          <w:tcPr>
            <w:tcW w:w="38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19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82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2,033</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1,952</w:t>
            </w:r>
          </w:p>
        </w:tc>
      </w:tr>
      <w:tr>
        <w:trPr>
          <w:trHeight w:val="230"/>
        </w:trPr>
        <w:tc>
          <w:tcPr>
            <w:tcW w:w="5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(1)</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9"/>
        </w:trPr>
        <w:tc>
          <w:tcPr>
            <w:tcW w:w="586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(2)</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586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Derivative activities and inventory valuation adjustments </w:t>
            </w:r>
            <w:r>
              <w:rPr>
                <w:rFonts w:ascii="Times New Roman" w:cs="Times New Roman" w:eastAsia="Times New Roman" w:hAnsi="Times New Roman"/>
                <w:sz w:val="23"/>
                <w:szCs w:val="23"/>
                <w:color w:val="auto"/>
                <w:vertAlign w:val="superscript"/>
              </w:rPr>
              <w:t>(3)</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30"/>
        </w:trPr>
        <w:tc>
          <w:tcPr>
            <w:tcW w:w="586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Long-term inventory costing adjustments </w:t>
            </w:r>
            <w:r>
              <w:rPr>
                <w:rFonts w:ascii="Times New Roman" w:cs="Times New Roman" w:eastAsia="Times New Roman" w:hAnsi="Times New Roman"/>
                <w:sz w:val="23"/>
                <w:szCs w:val="23"/>
                <w:color w:val="auto"/>
                <w:vertAlign w:val="superscript"/>
              </w:rPr>
              <w:t>(4)</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586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Deficiencies under minimum volume commitments, net </w:t>
            </w:r>
            <w:r>
              <w:rPr>
                <w:rFonts w:ascii="Times New Roman" w:cs="Times New Roman" w:eastAsia="Times New Roman" w:hAnsi="Times New Roman"/>
                <w:sz w:val="23"/>
                <w:szCs w:val="23"/>
                <w:color w:val="auto"/>
                <w:vertAlign w:val="superscript"/>
              </w:rPr>
              <w:t>(5)</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586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3"/>
                <w:szCs w:val="23"/>
                <w:color w:val="auto"/>
                <w:vertAlign w:val="superscript"/>
              </w:rPr>
              <w:t>(6)</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586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revaluation </w:t>
            </w:r>
            <w:r>
              <w:rPr>
                <w:rFonts w:ascii="Times New Roman" w:cs="Times New Roman" w:eastAsia="Times New Roman" w:hAnsi="Times New Roman"/>
                <w:sz w:val="23"/>
                <w:szCs w:val="23"/>
                <w:color w:val="auto"/>
                <w:vertAlign w:val="superscript"/>
              </w:rPr>
              <w:t>(7)</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6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Line 901 incident </w:t>
            </w:r>
            <w:r>
              <w:rPr>
                <w:rFonts w:ascii="Times New Roman" w:cs="Times New Roman" w:eastAsia="Times New Roman" w:hAnsi="Times New Roman"/>
                <w:sz w:val="23"/>
                <w:szCs w:val="23"/>
                <w:color w:val="auto"/>
                <w:vertAlign w:val="superscript"/>
              </w:rPr>
              <w:t>(8)</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6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Transaction-related expenses </w:t>
            </w:r>
            <w:r>
              <w:rPr>
                <w:rFonts w:ascii="Times New Roman" w:cs="Times New Roman" w:eastAsia="Times New Roman" w:hAnsi="Times New Roman"/>
                <w:sz w:val="23"/>
                <w:szCs w:val="23"/>
                <w:color w:val="auto"/>
                <w:vertAlign w:val="superscript"/>
              </w:rPr>
              <w:t>(9)</w:t>
            </w:r>
          </w:p>
        </w:tc>
        <w:tc>
          <w:tcPr>
            <w:tcW w:w="8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86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Segment amounts attributable to noncontrolling interests </w:t>
            </w:r>
            <w:r>
              <w:rPr>
                <w:rFonts w:ascii="Times New Roman" w:cs="Times New Roman" w:eastAsia="Times New Roman" w:hAnsi="Times New Roman"/>
                <w:sz w:val="23"/>
                <w:szCs w:val="23"/>
                <w:color w:val="auto"/>
                <w:vertAlign w:val="superscript"/>
              </w:rPr>
              <w:t>(10)</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r>
      <w:tr>
        <w:trPr>
          <w:trHeight w:val="230"/>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Gains/(losses) on asset sales, net</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investment in unconsolidated entities</w:t>
            </w:r>
          </w:p>
        </w:tc>
        <w:tc>
          <w:tcPr>
            <w:tcW w:w="8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58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w:t>
            </w:r>
          </w:p>
        </w:tc>
        <w:tc>
          <w:tcPr>
            <w:tcW w:w="8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1,115</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1,185</w:t>
            </w:r>
          </w:p>
        </w:tc>
      </w:tr>
      <w:tr>
        <w:trPr>
          <w:trHeight w:val="230"/>
        </w:trPr>
        <w:tc>
          <w:tcPr>
            <w:tcW w:w="5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(expense)/benefit</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1,103</w:t>
            </w:r>
          </w:p>
        </w:tc>
      </w:tr>
      <w:tr>
        <w:trPr>
          <w:trHeight w:val="230"/>
        </w:trPr>
        <w:tc>
          <w:tcPr>
            <w:tcW w:w="58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48"/>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880" w:type="dxa"/>
            <w:vAlign w:val="bottom"/>
            <w:tcBorders>
              <w:bottom w:val="single" w:sz="8" w:color="auto"/>
            </w:tcBorders>
          </w:tcPr>
          <w:p>
            <w:pPr>
              <w:spacing w:after="0"/>
              <w:rPr>
                <w:sz w:val="13"/>
                <w:szCs w:val="13"/>
                <w:color w:val="auto"/>
              </w:rPr>
            </w:pPr>
          </w:p>
        </w:tc>
        <w:tc>
          <w:tcPr>
            <w:tcW w:w="1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r>
    </w:tbl>
    <w:p>
      <w:pPr>
        <w:spacing w:after="0" w:line="117"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Represents adjustments utilized by our CODM in the evaluation of segment results.</w:t>
      </w:r>
    </w:p>
    <w:p>
      <w:pPr>
        <w:spacing w:after="0" w:line="117" w:lineRule="exact"/>
        <w:rPr>
          <w:sz w:val="20"/>
          <w:szCs w:val="20"/>
          <w:color w:val="auto"/>
        </w:rPr>
      </w:pPr>
    </w:p>
    <w:p>
      <w:pPr>
        <w:ind w:left="20" w:right="900" w:hanging="11"/>
        <w:spacing w:after="0" w:line="282" w:lineRule="auto"/>
        <w:rPr>
          <w:sz w:val="20"/>
          <w:szCs w:val="20"/>
          <w:color w:val="auto"/>
        </w:rPr>
      </w:pPr>
      <w:r>
        <w:rPr>
          <w:rFonts w:ascii="Times New Roman" w:cs="Times New Roman" w:eastAsia="Times New Roman" w:hAnsi="Times New Roman"/>
          <w:sz w:val="18"/>
          <w:szCs w:val="18"/>
          <w:color w:val="auto"/>
        </w:rPr>
        <w:t>Includes our proportionate share of the depreciation and amortization expense (including write-downs related to cancelled projects and impairments) of unconsolidated entities.</w:t>
      </w:r>
    </w:p>
    <w:p>
      <w:pPr>
        <w:spacing w:after="0" w:line="54" w:lineRule="exact"/>
        <w:rPr>
          <w:sz w:val="20"/>
          <w:szCs w:val="20"/>
          <w:color w:val="auto"/>
        </w:rPr>
      </w:pPr>
    </w:p>
    <w:p>
      <w:pPr>
        <w:ind w:left="20" w:right="20" w:hanging="11"/>
        <w:spacing w:after="0" w:line="254" w:lineRule="auto"/>
        <w:rPr>
          <w:sz w:val="20"/>
          <w:szCs w:val="20"/>
          <w:color w:val="auto"/>
        </w:rPr>
      </w:pPr>
      <w:r>
        <w:rPr>
          <w:rFonts w:ascii="Times New Roman" w:cs="Times New Roman" w:eastAsia="Times New Roman" w:hAnsi="Times New Roman"/>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pacing w:after="0" w:line="84" w:lineRule="exact"/>
        <w:rPr>
          <w:sz w:val="20"/>
          <w:szCs w:val="20"/>
          <w:color w:val="auto"/>
        </w:rPr>
      </w:pPr>
    </w:p>
    <w:p>
      <w:pPr>
        <w:ind w:left="20" w:right="40" w:hanging="11"/>
        <w:spacing w:after="0" w:line="277" w:lineRule="auto"/>
        <w:rPr>
          <w:sz w:val="20"/>
          <w:szCs w:val="20"/>
          <w:color w:val="auto"/>
        </w:rPr>
      </w:pPr>
      <w:r>
        <w:rPr>
          <w:rFonts w:ascii="Times New Roman" w:cs="Times New Roman" w:eastAsia="Times New Roman" w:hAnsi="Times New Roman"/>
          <w:sz w:val="17"/>
          <w:szCs w:val="17"/>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(9)</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left="20" w:right="40" w:hanging="11"/>
        <w:spacing w:after="0" w:line="253" w:lineRule="auto"/>
        <w:rPr>
          <w:sz w:val="20"/>
          <w:szCs w:val="20"/>
          <w:color w:val="auto"/>
        </w:rPr>
      </w:pPr>
      <w:r>
        <w:rPr>
          <w:rFonts w:ascii="Times New Roman" w:cs="Times New Roman" w:eastAsia="Times New Roman" w:hAnsi="Times New Roman"/>
          <w:sz w:val="18"/>
          <w:szCs w:val="18"/>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84" w:lineRule="exact"/>
        <w:rPr>
          <w:sz w:val="20"/>
          <w:szCs w:val="20"/>
          <w:color w:val="auto"/>
        </w:rPr>
      </w:pPr>
    </w:p>
    <w:p>
      <w:pPr>
        <w:ind w:left="20" w:right="40" w:hanging="11"/>
        <w:spacing w:after="0" w:line="255" w:lineRule="auto"/>
        <w:rPr>
          <w:sz w:val="20"/>
          <w:szCs w:val="20"/>
          <w:color w:val="auto"/>
        </w:rPr>
      </w:pPr>
      <w:r>
        <w:rPr>
          <w:rFonts w:ascii="Times New Roman" w:cs="Times New Roman" w:eastAsia="Times New Roman" w:hAnsi="Times New Roman"/>
          <w:sz w:val="18"/>
          <w:szCs w:val="18"/>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exclude compensation expense associated with these awards in determining Segment Adjusted EBITDA as the dilutive impact of the outstanding awards is included in our diluted net income per unit calculation, as applicable. The portion of compensation expense associated with awards that will be settled in cash is not excluded in determining Segment Adjusted EBITDA. See Note 17 to our Consolidated Financial Statements included in Part IV of our 2023 Annual Report on Form 10-K for a discussion regarding our equity-indexed compensation plans.</w:t>
      </w:r>
    </w:p>
    <w:p>
      <w:pPr>
        <w:spacing w:after="0" w:line="81" w:lineRule="exact"/>
        <w:rPr>
          <w:sz w:val="20"/>
          <w:szCs w:val="20"/>
          <w:color w:val="auto"/>
        </w:rPr>
      </w:pPr>
    </w:p>
    <w:p>
      <w:pPr>
        <w:ind w:left="20" w:hanging="11"/>
        <w:spacing w:after="0" w:line="289" w:lineRule="auto"/>
        <w:rPr>
          <w:sz w:val="20"/>
          <w:szCs w:val="20"/>
          <w:color w:val="auto"/>
        </w:rPr>
      </w:pPr>
      <w:r>
        <w:rPr>
          <w:rFonts w:ascii="Times New Roman" w:cs="Times New Roman" w:eastAsia="Times New Roman" w:hAnsi="Times New Roman"/>
          <w:sz w:val="17"/>
          <w:szCs w:val="17"/>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spacing w:after="0" w:line="50" w:lineRule="exact"/>
        <w:rPr>
          <w:sz w:val="20"/>
          <w:szCs w:val="20"/>
          <w:color w:val="auto"/>
        </w:rPr>
      </w:pPr>
    </w:p>
    <w:p>
      <w:pPr>
        <w:ind w:left="20" w:right="100" w:hanging="11"/>
        <w:spacing w:after="0" w:line="282" w:lineRule="auto"/>
        <w:rPr>
          <w:sz w:val="20"/>
          <w:szCs w:val="20"/>
          <w:color w:val="auto"/>
        </w:rPr>
      </w:pPr>
      <w:r>
        <w:rPr>
          <w:rFonts w:ascii="Times New Roman" w:cs="Times New Roman" w:eastAsia="Times New Roman" w:hAnsi="Times New Roman"/>
          <w:sz w:val="18"/>
          <w:szCs w:val="18"/>
          <w:color w:val="auto"/>
        </w:rPr>
        <w:t>Includes costs recognized during the period related to the Line 901 incident that occurred in May 2015, net of amounts we believe are probable of recovery from insurance. See Note 9 for additional information regarding the Line 901 incident.</w:t>
      </w:r>
    </w:p>
    <w:p>
      <w:pPr>
        <w:spacing w:after="0" w:line="54" w:lineRule="exact"/>
        <w:rPr>
          <w:sz w:val="20"/>
          <w:szCs w:val="20"/>
          <w:color w:val="auto"/>
        </w:rPr>
      </w:pPr>
    </w:p>
    <w:p>
      <w:pPr>
        <w:ind w:left="20" w:right="760" w:hanging="11"/>
        <w:spacing w:after="0" w:line="282" w:lineRule="auto"/>
        <w:rPr>
          <w:sz w:val="20"/>
          <w:szCs w:val="20"/>
          <w:color w:val="auto"/>
        </w:rPr>
      </w:pPr>
      <w:r>
        <w:rPr>
          <w:rFonts w:ascii="Times New Roman" w:cs="Times New Roman" w:eastAsia="Times New Roman" w:hAnsi="Times New Roman"/>
          <w:sz w:val="18"/>
          <w:szCs w:val="18"/>
          <w:color w:val="auto"/>
        </w:rPr>
        <w:t>Includes expenses associated with the Rattler Permian Transaction in the third quarter of 2023. See Note 7 to our Consolidated Financial Statements included in Part IV of our 2023 Annual Report on Form 10-K for information regarding this transaction.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Reflects amounts attributable to noncontrolling interests in the Permian JV, Cactus II and Red River.</w:t>
      </w:r>
    </w:p>
    <w:p>
      <w:pPr>
        <w:spacing w:after="0" w:line="200" w:lineRule="exact"/>
        <w:rPr>
          <w:sz w:val="20"/>
          <w:szCs w:val="20"/>
          <w:color w:val="auto"/>
        </w:rPr>
      </w:pPr>
    </w:p>
    <w:p>
      <w:pPr>
        <w:sectPr>
          <w:pgSz w:w="11900" w:h="16838" w:orient="portrait"/>
          <w:cols w:equalWidth="0" w:num="2">
            <w:col w:w="200" w:space="440"/>
            <w:col w:w="1060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2023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Accounting Pronouncements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Our assets and the services we provide are primarily focused on crude oil and NGL.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Operating Results</w:t>
      </w:r>
    </w:p>
    <w:p>
      <w:pPr>
        <w:spacing w:after="0" w:line="256"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During the first nine months of 2024, we recognized net income attributable to PAA of $736 million compared to $918 million during the first nine months of 2023. Results from our operations increased for the first nine months of 2024 over the comparable 2023 period due to more favorable results from our Crude Oil segment, partially offset by less favorable results from our NGL segment. Net income for the 2023 period includes favorable impacts from gains on asset sales and the mark-to-market adjustment of the Preferred Distribution Rate Reset Option, contributing to the relative decrease in net income in 2024. In addition, the 2024 results were impacted by an increase in costs associated with settlements related to the Line 901 incident that occurred in May 2015 and higher income tax expense.</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the “Results of Operations” section below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an overview of our consolidated financial results calculated in accordance with GAAP (in millions, except per unit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0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3"/>
                <w:szCs w:val="13"/>
                <w:color w:val="auto"/>
              </w:rPr>
            </w:pPr>
          </w:p>
        </w:tc>
        <w:tc>
          <w:tcPr>
            <w:tcW w:w="110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6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revenues</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Gains/(losses) on asset sales, net</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investment in unconsolidated entities</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net </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income, net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(expense)/benefit</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interests</w:t>
            </w: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Basic and diluted net income per common</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Basic and diluted weighted average common</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units outstanding</w:t>
            </w:r>
          </w:p>
        </w:tc>
        <w:tc>
          <w:tcPr>
            <w:tcW w:w="1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5"/>
        </w:trPr>
        <w:tc>
          <w:tcPr>
            <w:tcW w:w="2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40" w:hanging="232"/>
        <w:spacing w:after="0"/>
        <w:tabs>
          <w:tab w:leader="none" w:pos="24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pacing w:after="0" w:line="42" w:lineRule="exact"/>
        <w:rPr>
          <w:sz w:val="20"/>
          <w:szCs w:val="20"/>
          <w:color w:val="auto"/>
        </w:rPr>
      </w:pPr>
    </w:p>
    <w:p>
      <w:pPr>
        <w:ind w:left="660" w:right="400" w:hanging="652"/>
        <w:spacing w:after="0" w:line="212" w:lineRule="auto"/>
        <w:tabs>
          <w:tab w:leader="none" w:pos="64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expense, net” and “Other income, net” each include $16 million and $31 million for the three and nine months ended September 30, 2024, respectively, related to interest on promissory notes by and among PAA and certain Plains entities.</w:t>
      </w:r>
    </w:p>
    <w:p>
      <w:pPr>
        <w:spacing w:after="0" w:line="275"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color w:val="auto"/>
        </w:rPr>
        <w:t>Revenues and Purchases</w:t>
      </w:r>
    </w:p>
    <w:p>
      <w:pPr>
        <w:spacing w:after="0" w:line="25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Fluctuations in our consolidated revenues and purchases and related costs are primarily associated with our merchant activities and are generally explained by changes in commodity prices and the impact of gains and losses related to derivative instruments used to manage our commodity price exposure. Because both product sales revenues and purchases and related costs are generally based off of the same pricing indices, the market price of the commodities will not necessarily have an impact on the absolute margins related to those sales and 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majority of our sales and purchases are indexed to the prompt month price of the NYMEX Light, Sweet crude oil futures contract (“NYMEX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The following table presents the range of the NYMEX Price over the last two years (in dollars per barrel):</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NYMEX Price</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7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Low</w:t>
            </w: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40" w:type="dxa"/>
            <w:vAlign w:val="bottom"/>
          </w:tcPr>
          <w:p>
            <w:pPr>
              <w:spacing w:after="0"/>
              <w:rPr>
                <w:sz w:val="16"/>
                <w:szCs w:val="16"/>
                <w:color w:val="auto"/>
              </w:rPr>
            </w:pPr>
          </w:p>
        </w:tc>
        <w:tc>
          <w:tcPr>
            <w:tcW w:w="10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29"/>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2024</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2023</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7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2024</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2023</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bl>
    <w:p>
      <w:pPr>
        <w:spacing w:after="0" w:line="31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Product sales revenues and purchases increased for the three months ended September 30, 2024 compared to the same period in 2023 primarily due to higher crude oil sales volumes in the 2024 period, partially offset by lower commodity prices.</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Product sales revenues and purchases increased for the nine months ended September 30, 2024 compared to the same period in 2023 due to higher commodity prices in the 2024 period, primarily in the first half of 2024, as well as higher crude oil sales volumes.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Revenues from services decreased for the three months ended September 30, 2024 compared to the same period in 2023 primarily due to timing of revenue recognition in 2023, partially offset by higher revenues from pipeline volumes and the impact of acquisitions.</w:t>
      </w:r>
    </w:p>
    <w:p>
      <w:pPr>
        <w:spacing w:after="0" w:line="189" w:lineRule="exact"/>
        <w:rPr>
          <w:sz w:val="20"/>
          <w:szCs w:val="20"/>
          <w:color w:val="auto"/>
        </w:rPr>
      </w:pPr>
    </w:p>
    <w:p>
      <w:pPr>
        <w:ind w:right="160" w:firstLine="648"/>
        <w:spacing w:after="0" w:line="312" w:lineRule="auto"/>
        <w:rPr>
          <w:sz w:val="20"/>
          <w:szCs w:val="20"/>
          <w:color w:val="auto"/>
        </w:rPr>
      </w:pPr>
      <w:r>
        <w:rPr>
          <w:rFonts w:ascii="Times New Roman" w:cs="Times New Roman" w:eastAsia="Times New Roman" w:hAnsi="Times New Roman"/>
          <w:sz w:val="17"/>
          <w:szCs w:val="17"/>
          <w:color w:val="auto"/>
        </w:rPr>
        <w:t>Revenues from services increased for the nine months ended September 30, 2024 compared to the same period in 2023 primarily due to higher pipeline volumes and tariff escalations, as well as the impact of acquisitions, partially offset by timing of revenue recognition in the third quarter of 2023.</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further discussion of our net revenues (revenues less purchases and related costs)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Field Operating Costs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discussion of field operating costs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5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three and nine months ended September 30, 2024 compared to the same periods in 2023 was primarily due to (i) higher employee-related costs and (ii) higher information systems costs due to ongoing systems conversion and integration work.</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Gains/(Losses) on Asset Sales, Net</w:t>
      </w:r>
    </w:p>
    <w:p>
      <w:pPr>
        <w:spacing w:after="0" w:line="25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net gain on asset sales for the nine months ended September 30, 2023 was primarily comprised of a gain of approximately $140 million related to the sale of our Keyera Fort Saskatchewan facility in the first quarter of 2023. See Note 7 to our Consolidated Financial Statements included in Part IV of our 2023 Annual Report on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Equity Earnings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discussion of Equity earnings in unconsolidated entities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Interest Expense, Net and Other Income, Net</w:t>
      </w:r>
    </w:p>
    <w:p>
      <w:pPr>
        <w:spacing w:after="0" w:line="256" w:lineRule="exact"/>
        <w:rPr>
          <w:sz w:val="20"/>
          <w:szCs w:val="20"/>
          <w:color w:val="auto"/>
        </w:rPr>
      </w:pPr>
    </w:p>
    <w:p>
      <w:pPr>
        <w:ind w:right="40" w:firstLine="648"/>
        <w:spacing w:after="0" w:line="277" w:lineRule="auto"/>
        <w:rPr>
          <w:sz w:val="20"/>
          <w:szCs w:val="20"/>
          <w:color w:val="auto"/>
        </w:rPr>
      </w:pPr>
      <w:r>
        <w:rPr>
          <w:rFonts w:ascii="Times New Roman" w:cs="Times New Roman" w:eastAsia="Times New Roman" w:hAnsi="Times New Roman"/>
          <w:sz w:val="17"/>
          <w:szCs w:val="17"/>
          <w:color w:val="auto"/>
        </w:rPr>
        <w:t>For the three and nine months ended September 30, 2024, “Interest expense, net” and “Other income, net” each include interest expense and interest income associated with promissory notes payable and receivable by and among PAA and certain Plains entities, which is the primary driver of the increase in interest expense compared to the same periods in 2023 and is a component of the variance in other income year-over-year. These amounts are excluded from our non-GAAP performance measures Adjusted EBITDA and Implied DCF. As such, the interest expense and interest income associated with these notes is presented on a net basis in the reconciliation of these metrics to Net Income. See the “—Non-GAAP Financial Measures” section below.</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impacting Interest expense, net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20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20" w:type="dxa"/>
            <w:vAlign w:val="bottom"/>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38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20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on third-party borrowings</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30"/>
        </w:trPr>
        <w:tc>
          <w:tcPr>
            <w:tcW w:w="59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on related party promissory notes </w:t>
            </w:r>
            <w:r>
              <w:rPr>
                <w:rFonts w:ascii="Times New Roman" w:cs="Times New Roman" w:eastAsia="Times New Roman" w:hAnsi="Times New Roman"/>
                <w:sz w:val="23"/>
                <w:szCs w:val="23"/>
                <w:color w:val="auto"/>
                <w:vertAlign w:val="superscript"/>
              </w:rPr>
              <w:t>(1)</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38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0"/>
        </w:trPr>
        <w:tc>
          <w:tcPr>
            <w:tcW w:w="3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2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pacing w:after="0" w:line="117" w:lineRule="exact"/>
        <w:rPr>
          <w:sz w:val="20"/>
          <w:szCs w:val="20"/>
          <w:color w:val="auto"/>
        </w:rPr>
      </w:pPr>
    </w:p>
    <w:p>
      <w:pPr>
        <w:ind w:left="660" w:right="1340" w:hanging="652"/>
        <w:spacing w:after="0" w:line="512" w:lineRule="auto"/>
        <w:tabs>
          <w:tab w:leader="none" w:pos="64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interest expense associated with promissory notes by and among PAA and certain Plains entities, as described above. The following table summarizes the components impacting Other income, net (in millions):</w:t>
      </w:r>
    </w:p>
    <w:tbl>
      <w:tblPr>
        <w:tblLayout w:type="fixed"/>
        <w:tblInd w:w="0" w:type="dxa"/>
        <w:tblCellMar>
          <w:top w:w="0" w:type="dxa"/>
          <w:left w:w="0" w:type="dxa"/>
          <w:bottom w:w="0" w:type="dxa"/>
          <w:right w:w="0" w:type="dxa"/>
        </w:tblCellMar>
      </w:tblPr>
      <w:tr>
        <w:trPr>
          <w:trHeight w:val="149"/>
        </w:trPr>
        <w:tc>
          <w:tcPr>
            <w:tcW w:w="38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0" w:type="dxa"/>
            <w:vAlign w:val="bottom"/>
            <w:gridSpan w:val="4"/>
          </w:tcPr>
          <w:p>
            <w:pPr>
              <w:jc w:val="right"/>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00" w:type="dxa"/>
            <w:vAlign w:val="bottom"/>
            <w:gridSpan w:val="4"/>
          </w:tcPr>
          <w:p>
            <w:pPr>
              <w:jc w:val="right"/>
              <w:ind w:right="593"/>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38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20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94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Interest income on related party promissory notes </w:t>
            </w:r>
            <w:r>
              <w:rPr>
                <w:rFonts w:ascii="Times New Roman" w:cs="Times New Roman" w:eastAsia="Times New Roman" w:hAnsi="Times New Roman"/>
                <w:sz w:val="23"/>
                <w:szCs w:val="23"/>
                <w:color w:val="auto"/>
                <w:vertAlign w:val="superscript"/>
              </w:rPr>
              <w:t>(1)</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 from other sources</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59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gain/(loss) on foreign currency revaluation </w:t>
            </w:r>
            <w:r>
              <w:rPr>
                <w:rFonts w:ascii="Times New Roman" w:cs="Times New Roman" w:eastAsia="Times New Roman" w:hAnsi="Times New Roman"/>
                <w:sz w:val="23"/>
                <w:szCs w:val="23"/>
                <w:color w:val="auto"/>
                <w:vertAlign w:val="superscript"/>
              </w:rPr>
              <w:t>(2)</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81"/>
        </w:trPr>
        <w:tc>
          <w:tcPr>
            <w:tcW w:w="59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Gain on mark-to-market adjustment of Preferred Distribution Rate Reset Option</w:t>
            </w: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8"/>
        </w:trPr>
        <w:tc>
          <w:tcPr>
            <w:tcW w:w="5940" w:type="dxa"/>
            <w:vAlign w:val="bottom"/>
            <w:gridSpan w:val="2"/>
          </w:tcPr>
          <w:p>
            <w:pPr>
              <w:ind w:left="180"/>
              <w:spacing w:after="0" w:line="237" w:lineRule="exact"/>
              <w:rPr>
                <w:sz w:val="20"/>
                <w:szCs w:val="20"/>
                <w:color w:val="auto"/>
              </w:rPr>
            </w:pPr>
            <w:r>
              <w:rPr>
                <w:rFonts w:ascii="Times New Roman" w:cs="Times New Roman" w:eastAsia="Times New Roman" w:hAnsi="Times New Roman"/>
                <w:sz w:val="18"/>
                <w:szCs w:val="18"/>
                <w:color w:val="auto"/>
              </w:rPr>
              <w:t xml:space="preserve">embedded derivative </w:t>
            </w:r>
            <w:r>
              <w:rPr>
                <w:rFonts w:ascii="Times New Roman" w:cs="Times New Roman" w:eastAsia="Times New Roman" w:hAnsi="Times New Roman"/>
                <w:sz w:val="23"/>
                <w:szCs w:val="23"/>
                <w:color w:val="auto"/>
                <w:vertAlign w:val="superscript"/>
              </w:rPr>
              <w:t>(3)</w:t>
            </w:r>
          </w:p>
        </w:tc>
        <w:tc>
          <w:tcPr>
            <w:tcW w:w="82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0"/>
                <w:szCs w:val="20"/>
                <w:color w:val="auto"/>
              </w:rPr>
            </w:pP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38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3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2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pacing w:after="0" w:line="127"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Represents interest income associated with promissory notes by and among PAA and certain Plains entities, as described above.</w:t>
      </w:r>
    </w:p>
    <w:p>
      <w:pPr>
        <w:spacing w:after="0" w:line="63" w:lineRule="exact"/>
        <w:rPr>
          <w:sz w:val="20"/>
          <w:szCs w:val="20"/>
          <w:color w:val="auto"/>
        </w:rPr>
      </w:pPr>
    </w:p>
    <w:p>
      <w:pPr>
        <w:ind w:left="20" w:right="120" w:hanging="11"/>
        <w:spacing w:after="0" w:line="279" w:lineRule="auto"/>
        <w:rPr>
          <w:sz w:val="20"/>
          <w:szCs w:val="20"/>
          <w:color w:val="auto"/>
        </w:rPr>
      </w:pPr>
      <w:r>
        <w:rPr>
          <w:rFonts w:ascii="Times New Roman" w:cs="Times New Roman" w:eastAsia="Times New Roman" w:hAnsi="Times New Roman"/>
          <w:sz w:val="18"/>
          <w:szCs w:val="18"/>
          <w:color w:val="auto"/>
        </w:rPr>
        <w:t>The activity during the periods presented was primarily related to the impact from the change in the CAD to USD exchange rate on the portion of our intercompany net investment that is not long-term in nature.</w:t>
      </w:r>
    </w:p>
    <w:p>
      <w:pPr>
        <w:spacing w:after="0" w:line="1"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ind w:left="640" w:hanging="632"/>
        <w:spacing w:after="0" w:line="216" w:lineRule="auto"/>
        <w:tabs>
          <w:tab w:leader="none" w:pos="64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7 to our Condensed Consolidated Financial Statements for additional information.</w:t>
      </w:r>
    </w:p>
    <w:p>
      <w:pPr>
        <w:spacing w:after="0" w:line="275"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color w:val="auto"/>
        </w:rPr>
        <w:t>Income Tax (Expense)/Benefit</w:t>
      </w:r>
    </w:p>
    <w:p>
      <w:pPr>
        <w:spacing w:after="0" w:line="25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net unfavorable income tax variance for the three months ended September 30, 2024 compared to the same period in 2023 was primarily due to higher year-over-year income within our Canadian operations as impacted by fluctuations of derivative mark-to-market valuations.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net unfavorable income tax variance for the nine months ended September 30, 2024 compared to the same period in 2023 was primarily due to higher income tax expense in the second quarter of 2024 associated with Canadian withholding tax on dividends from our Canadian entities to other Plains entities.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25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increase in amounts attributable to noncontrolling interests for the three and nine months ended September 30, 2024 compared to the same periods in 2023 was primarily due to higher volumes, as well as contributions from acquisitions completed by the Permian JV.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Adjusted Free Cash Flow and Adjusted Free Cash Flow after Distributions.</w:t>
      </w:r>
    </w:p>
    <w:p>
      <w:pPr>
        <w:spacing w:after="0" w:line="21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definition and calculation of certain non-GAAP financial measures may not be comparable to similarly-titled measures of other companies. Adjusted EBITDA, Adjusted EBITDA attributable to PAA and Implied DCF are reconciled to Net Income, and Adjusted Free Cash Flow and Adjusted Free Cash Flow after Distributions are reconciled to Net Cash Provided by Operating Activities, the most directly comparable measures as reported in accordance with GAAP, and should be viewed in addition to, and not in lieu of, our Condensed Consolidated Financial Statements and accompanying notes. See “—Liquidity and Capital Resources—Non-GAAP Financial Liquidity Measures” for additional information regarding Adjusted Free Cash Flow and Adjusted Free Cash Flow after Distributions.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Performance Measures</w:t>
      </w:r>
    </w:p>
    <w:p>
      <w:pPr>
        <w:spacing w:after="0" w:line="25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Adjusted EBITDA is defined as earnings before interest expense, income tax (expense)/benefit, depreciation and amortization (including our proportionate share of depreciation and amortization, including write-downs related to cancelled projects and impairments, of unconsolidated entities), gains and losses on asset sales, gains or losses on investments in unconsolidated entities and interest income on promissory notes by and among PAA and certain Plains entities, adjusted for certain selected items impacting comparability. Adjusted EBITDA attributable to PAA excludes the portion of Adjusted EBITDA that is attributable to noncontrolling interests.</w:t>
      </w:r>
    </w:p>
    <w:p>
      <w:pPr>
        <w:spacing w:after="0" w:line="21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spacing w:after="0" w:line="207"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reconciliation of the non-GAAP financial performance measures Adjusted EBITDA, Adjusted EBITDA attributable to PAA and Implied DCF to Net Income (in millions):</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040" w:type="dxa"/>
            <w:vAlign w:val="bottom"/>
            <w:gridSpan w:val="3"/>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Pr>
          <w:p>
            <w:pPr>
              <w:spacing w:after="0"/>
              <w:rPr>
                <w:sz w:val="13"/>
                <w:szCs w:val="13"/>
                <w:color w:val="auto"/>
              </w:rPr>
            </w:pPr>
          </w:p>
        </w:tc>
        <w:tc>
          <w:tcPr>
            <w:tcW w:w="10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348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net of certain items </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expense/(benefit)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29"/>
        </w:trPr>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(Gains)/losses on asset sales, net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175"/>
        </w:trPr>
        <w:tc>
          <w:tcPr>
            <w:tcW w:w="348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Gain on investment in unconsolidated</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entities</w:t>
            </w:r>
          </w:p>
        </w:tc>
        <w:tc>
          <w:tcPr>
            <w:tcW w:w="16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175"/>
        </w:trPr>
        <w:tc>
          <w:tcPr>
            <w:tcW w:w="34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Depreciation and amortization of</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320"/>
              <w:spacing w:after="0" w:line="243" w:lineRule="exact"/>
              <w:rPr>
                <w:sz w:val="20"/>
                <w:szCs w:val="20"/>
                <w:color w:val="auto"/>
              </w:rPr>
            </w:pPr>
            <w:r>
              <w:rPr>
                <w:rFonts w:ascii="Times New Roman" w:cs="Times New Roman" w:eastAsia="Times New Roman" w:hAnsi="Times New Roman"/>
                <w:sz w:val="18"/>
                <w:szCs w:val="18"/>
                <w:color w:val="auto"/>
              </w:rPr>
              <w:t xml:space="preserve">unconsolidated entities </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Selected Items Impacting Comparability:</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Derivative activities and inventory valuation</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4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Deficiencies under minimum volume</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commitments, net</w:t>
            </w: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Line 901 incident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34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Selected Items Impacting Comparability -</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Segment Adjusted EBITDA </w:t>
            </w:r>
            <w:r>
              <w:rPr>
                <w:rFonts w:ascii="Times New Roman" w:cs="Times New Roman" w:eastAsia="Times New Roman" w:hAnsi="Times New Roman"/>
                <w:sz w:val="23"/>
                <w:szCs w:val="23"/>
                <w:color w:val="auto"/>
                <w:vertAlign w:val="superscript"/>
              </w:rPr>
              <w:t>(3)</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4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Mark-to-market adjustment of Preferred</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480" w:type="dxa"/>
            <w:vAlign w:val="bottom"/>
            <w:shd w:val="clear" w:color="auto" w:fill="CCEEFF"/>
          </w:tcPr>
          <w:p>
            <w:pPr>
              <w:ind w:left="320"/>
              <w:spacing w:after="0" w:line="181" w:lineRule="exact"/>
              <w:rPr>
                <w:sz w:val="20"/>
                <w:szCs w:val="20"/>
                <w:color w:val="auto"/>
              </w:rPr>
            </w:pPr>
            <w:r>
              <w:rPr>
                <w:rFonts w:ascii="Times New Roman" w:cs="Times New Roman" w:eastAsia="Times New Roman" w:hAnsi="Times New Roman"/>
                <w:sz w:val="18"/>
                <w:szCs w:val="18"/>
                <w:color w:val="auto"/>
              </w:rPr>
              <w:t>Distribution Rate Reset Option embedded</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480" w:type="dxa"/>
            <w:vAlign w:val="bottom"/>
            <w:shd w:val="clear" w:color="auto" w:fill="CCEEFF"/>
          </w:tcPr>
          <w:p>
            <w:pPr>
              <w:ind w:left="320"/>
              <w:spacing w:after="0" w:line="237" w:lineRule="exact"/>
              <w:rPr>
                <w:sz w:val="20"/>
                <w:szCs w:val="20"/>
                <w:color w:val="auto"/>
              </w:rPr>
            </w:pPr>
            <w:r>
              <w:rPr>
                <w:rFonts w:ascii="Times New Roman" w:cs="Times New Roman" w:eastAsia="Times New Roman" w:hAnsi="Times New Roman"/>
                <w:sz w:val="18"/>
                <w:szCs w:val="18"/>
                <w:color w:val="auto"/>
              </w:rPr>
              <w:t xml:space="preserve">derivative </w:t>
            </w:r>
            <w:r>
              <w:rPr>
                <w:rFonts w:ascii="Times New Roman" w:cs="Times New Roman" w:eastAsia="Times New Roman" w:hAnsi="Times New Roman"/>
                <w:sz w:val="23"/>
                <w:szCs w:val="23"/>
                <w:color w:val="auto"/>
                <w:vertAlign w:val="superscript"/>
              </w:rPr>
              <w:t>(4)</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CCEEFF"/>
            </w:tcBorders>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revaluation </w:t>
            </w:r>
            <w:r>
              <w:rPr>
                <w:rFonts w:ascii="Times New Roman" w:cs="Times New Roman" w:eastAsia="Times New Roman" w:hAnsi="Times New Roman"/>
                <w:sz w:val="23"/>
                <w:szCs w:val="23"/>
                <w:color w:val="auto"/>
                <w:vertAlign w:val="superscript"/>
              </w:rPr>
              <w:t>(5)</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34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Selected Items Impacting Comparability -</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(6)</w:t>
            </w:r>
          </w:p>
        </w:tc>
        <w:tc>
          <w:tcPr>
            <w:tcW w:w="1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48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155"/>
        </w:trPr>
        <w:tc>
          <w:tcPr>
            <w:tcW w:w="3480" w:type="dxa"/>
            <w:vAlign w:val="bottom"/>
            <w:shd w:val="clear" w:color="auto" w:fill="CCEEFF"/>
          </w:tcPr>
          <w:p>
            <w:pPr>
              <w:ind w:left="120"/>
              <w:spacing w:after="0" w:line="156" w:lineRule="exact"/>
              <w:rPr>
                <w:sz w:val="20"/>
                <w:szCs w:val="20"/>
                <w:color w:val="auto"/>
              </w:rPr>
            </w:pPr>
            <w:r>
              <w:rPr>
                <w:rFonts w:ascii="Times New Roman" w:cs="Times New Roman" w:eastAsia="Times New Roman" w:hAnsi="Times New Roman"/>
                <w:sz w:val="18"/>
                <w:szCs w:val="18"/>
                <w:color w:val="auto"/>
              </w:rPr>
              <w:t>Adjusted EBITDA attributable to</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320"/>
              <w:spacing w:after="0" w:line="243" w:lineRule="exact"/>
              <w:rPr>
                <w:sz w:val="20"/>
                <w:szCs w:val="20"/>
                <w:color w:val="auto"/>
              </w:rPr>
            </w:pPr>
            <w:r>
              <w:rPr>
                <w:rFonts w:ascii="Times New Roman" w:cs="Times New Roman" w:eastAsia="Times New Roman" w:hAnsi="Times New Roman"/>
                <w:sz w:val="18"/>
                <w:szCs w:val="18"/>
                <w:color w:val="auto"/>
              </w:rPr>
              <w:t xml:space="preserve">noncontrolling interests </w:t>
            </w:r>
            <w:r>
              <w:rPr>
                <w:rFonts w:ascii="Times New Roman" w:cs="Times New Roman" w:eastAsia="Times New Roman" w:hAnsi="Times New Roman"/>
                <w:sz w:val="23"/>
                <w:szCs w:val="23"/>
                <w:color w:val="auto"/>
                <w:vertAlign w:val="superscript"/>
              </w:rPr>
              <w:t>(7)</w:t>
            </w:r>
          </w:p>
        </w:tc>
        <w:tc>
          <w:tcPr>
            <w:tcW w:w="1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6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attributable to PAA</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5"/>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4"/>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(6) (8)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Interest expense, net of certain non-cash and</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60" w:type="dxa"/>
            <w:vAlign w:val="bottom"/>
          </w:tcPr>
          <w:p>
            <w:pPr>
              <w:ind w:left="320"/>
              <w:spacing w:after="0" w:line="243" w:lineRule="exact"/>
              <w:rPr>
                <w:sz w:val="20"/>
                <w:szCs w:val="20"/>
                <w:color w:val="auto"/>
              </w:rPr>
            </w:pPr>
            <w:r>
              <w:rPr>
                <w:rFonts w:ascii="Times New Roman" w:cs="Times New Roman" w:eastAsia="Times New Roman" w:hAnsi="Times New Roman"/>
                <w:sz w:val="18"/>
                <w:szCs w:val="18"/>
                <w:color w:val="auto"/>
              </w:rPr>
              <w:t xml:space="preserve">other items </w:t>
            </w:r>
            <w:r>
              <w:rPr>
                <w:rFonts w:ascii="Times New Roman" w:cs="Times New Roman" w:eastAsia="Times New Roman" w:hAnsi="Times New Roman"/>
                <w:sz w:val="23"/>
                <w:szCs w:val="23"/>
                <w:color w:val="auto"/>
                <w:vertAlign w:val="superscript"/>
              </w:rPr>
              <w:t>(9)</w:t>
            </w:r>
          </w:p>
        </w:tc>
        <w:tc>
          <w:tcPr>
            <w:tcW w:w="1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6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Maintenance capital </w:t>
            </w:r>
            <w:r>
              <w:rPr>
                <w:rFonts w:ascii="Times New Roman" w:cs="Times New Roman" w:eastAsia="Times New Roman" w:hAnsi="Times New Roman"/>
                <w:sz w:val="23"/>
                <w:szCs w:val="23"/>
                <w:color w:val="auto"/>
                <w:vertAlign w:val="superscript"/>
              </w:rPr>
              <w:t>(10)</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Investment capital of noncontrolling</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60" w:type="dxa"/>
            <w:vAlign w:val="bottom"/>
          </w:tcPr>
          <w:p>
            <w:pPr>
              <w:ind w:left="320"/>
              <w:spacing w:after="0" w:line="243" w:lineRule="exact"/>
              <w:rPr>
                <w:sz w:val="20"/>
                <w:szCs w:val="20"/>
                <w:color w:val="auto"/>
              </w:rPr>
            </w:pPr>
            <w:r>
              <w:rPr>
                <w:rFonts w:ascii="Times New Roman" w:cs="Times New Roman" w:eastAsia="Times New Roman" w:hAnsi="Times New Roman"/>
                <w:sz w:val="18"/>
                <w:szCs w:val="18"/>
                <w:color w:val="auto"/>
              </w:rPr>
              <w:t xml:space="preserve">interests </w:t>
            </w:r>
            <w:r>
              <w:rPr>
                <w:rFonts w:ascii="Times New Roman" w:cs="Times New Roman" w:eastAsia="Times New Roman" w:hAnsi="Times New Roman"/>
                <w:sz w:val="23"/>
                <w:szCs w:val="23"/>
                <w:color w:val="auto"/>
                <w:vertAlign w:val="superscript"/>
              </w:rPr>
              <w:t>(11)</w:t>
            </w:r>
          </w:p>
        </w:tc>
        <w:tc>
          <w:tcPr>
            <w:tcW w:w="1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Distributions from unconsolidated entities in</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6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excess of/(less than) adjusted equity</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60" w:type="dxa"/>
            <w:vAlign w:val="bottom"/>
          </w:tcPr>
          <w:p>
            <w:pPr>
              <w:ind w:left="320"/>
              <w:spacing w:after="0" w:line="237" w:lineRule="exact"/>
              <w:rPr>
                <w:sz w:val="20"/>
                <w:szCs w:val="20"/>
                <w:color w:val="auto"/>
              </w:rPr>
            </w:pPr>
            <w:r>
              <w:rPr>
                <w:rFonts w:ascii="Times New Roman" w:cs="Times New Roman" w:eastAsia="Times New Roman" w:hAnsi="Times New Roman"/>
                <w:sz w:val="18"/>
                <w:szCs w:val="18"/>
                <w:color w:val="auto"/>
              </w:rPr>
              <w:t xml:space="preserve">earnings </w:t>
            </w:r>
            <w:r>
              <w:rPr>
                <w:rFonts w:ascii="Times New Roman" w:cs="Times New Roman" w:eastAsia="Times New Roman" w:hAnsi="Times New Roman"/>
                <w:sz w:val="23"/>
                <w:szCs w:val="23"/>
                <w:color w:val="auto"/>
                <w:vertAlign w:val="superscript"/>
              </w:rPr>
              <w:t>(12)</w:t>
            </w:r>
          </w:p>
        </w:tc>
        <w:tc>
          <w:tcPr>
            <w:tcW w:w="160" w:type="dxa"/>
            <w:vAlign w:val="bottom"/>
          </w:tcPr>
          <w:p>
            <w:pPr>
              <w:spacing w:after="0"/>
              <w:rPr>
                <w:sz w:val="20"/>
                <w:szCs w:val="20"/>
                <w:color w:val="auto"/>
              </w:rPr>
            </w:pP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6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Distributions to noncontrolling interests </w:t>
            </w:r>
            <w:r>
              <w:rPr>
                <w:rFonts w:ascii="Times New Roman" w:cs="Times New Roman" w:eastAsia="Times New Roman" w:hAnsi="Times New Roman"/>
                <w:sz w:val="23"/>
                <w:szCs w:val="23"/>
                <w:color w:val="auto"/>
                <w:vertAlign w:val="superscript"/>
              </w:rPr>
              <w:t>(13)</w:t>
            </w: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Implied DCF</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6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Preferred unit distributions </w:t>
            </w:r>
            <w:r>
              <w:rPr>
                <w:rFonts w:ascii="Times New Roman" w:cs="Times New Roman" w:eastAsia="Times New Roman" w:hAnsi="Times New Roman"/>
                <w:sz w:val="23"/>
                <w:szCs w:val="23"/>
                <w:color w:val="auto"/>
                <w:vertAlign w:val="superscript"/>
              </w:rPr>
              <w:t>(13)</w:t>
            </w: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Implied DCF Available to Common</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34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34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Unitholders</w:t>
            </w:r>
          </w:p>
        </w:tc>
        <w:tc>
          <w:tcPr>
            <w:tcW w:w="160" w:type="dxa"/>
            <w:vAlign w:val="bottom"/>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Common unit cash distributions </w:t>
            </w:r>
            <w:r>
              <w:rPr>
                <w:rFonts w:ascii="Times New Roman" w:cs="Times New Roman" w:eastAsia="Times New Roman" w:hAnsi="Times New Roman"/>
                <w:sz w:val="23"/>
                <w:szCs w:val="23"/>
                <w:color w:val="auto"/>
                <w:vertAlign w:val="superscript"/>
              </w:rPr>
              <w:t>(13)</w:t>
            </w: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Implied DCF Excess </w:t>
            </w:r>
            <w:r>
              <w:rPr>
                <w:rFonts w:ascii="Times New Roman" w:cs="Times New Roman" w:eastAsia="Times New Roman" w:hAnsi="Times New Roman"/>
                <w:sz w:val="23"/>
                <w:szCs w:val="23"/>
                <w:color w:val="auto"/>
                <w:vertAlign w:val="superscript"/>
              </w:rPr>
              <w:t>(14)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40" w:hanging="232"/>
        <w:spacing w:after="0"/>
        <w:tabs>
          <w:tab w:leader="none" w:pos="24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pacing w:after="0" w:line="56" w:lineRule="exact"/>
        <w:rPr>
          <w:sz w:val="20"/>
          <w:szCs w:val="20"/>
          <w:color w:val="auto"/>
        </w:rPr>
      </w:pPr>
    </w:p>
    <w:p>
      <w:pPr>
        <w:ind w:left="660" w:right="260" w:hanging="652"/>
        <w:spacing w:after="0" w:line="219" w:lineRule="auto"/>
        <w:tabs>
          <w:tab w:leader="none" w:pos="64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“Interest expense, net” as reported on our Condensed Consolidated Statements of Operations, net of interest income associated with promissory notes by and among PAA and certain Plains entities.</w:t>
      </w:r>
    </w:p>
    <w:p>
      <w:pPr>
        <w:spacing w:after="0" w:line="89" w:lineRule="exact"/>
        <w:rPr>
          <w:rFonts w:ascii="Times New Roman" w:cs="Times New Roman" w:eastAsia="Times New Roman" w:hAnsi="Times New Roman"/>
          <w:sz w:val="23"/>
          <w:szCs w:val="23"/>
          <w:color w:val="auto"/>
          <w:vertAlign w:val="superscript"/>
        </w:rPr>
      </w:pPr>
    </w:p>
    <w:p>
      <w:pPr>
        <w:ind w:left="660" w:right="640" w:hanging="652"/>
        <w:spacing w:after="0" w:line="229" w:lineRule="auto"/>
        <w:tabs>
          <w:tab w:leader="none" w:pos="64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exclude our proportionate share of the depreciation and amortization expense (including write-downs related to cancelled projects and impairments) of unconsolidated entities when reviewing Adjusted EBITDA, similar to our consolidated assets.</w:t>
      </w:r>
    </w:p>
    <w:p>
      <w:pPr>
        <w:spacing w:after="0" w:line="90" w:lineRule="exact"/>
        <w:rPr>
          <w:rFonts w:ascii="Times New Roman" w:cs="Times New Roman" w:eastAsia="Times New Roman" w:hAnsi="Times New Roman"/>
          <w:sz w:val="23"/>
          <w:szCs w:val="23"/>
          <w:color w:val="auto"/>
          <w:vertAlign w:val="superscript"/>
        </w:rPr>
      </w:pPr>
    </w:p>
    <w:p>
      <w:pPr>
        <w:ind w:left="660" w:hanging="652"/>
        <w:spacing w:after="0" w:line="229" w:lineRule="auto"/>
        <w:tabs>
          <w:tab w:leader="none" w:pos="64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a more detailed discussion of these selected items impacting comparability, see the footnotes to the Segment Adjusted EBITDA Reconciliation table in Note 10 to our Condensed Consolidated Financial Statements.</w:t>
      </w:r>
    </w:p>
    <w:p>
      <w:pPr>
        <w:spacing w:after="0" w:line="90" w:lineRule="exact"/>
        <w:rPr>
          <w:rFonts w:ascii="Times New Roman" w:cs="Times New Roman" w:eastAsia="Times New Roman" w:hAnsi="Times New Roman"/>
          <w:sz w:val="23"/>
          <w:szCs w:val="23"/>
          <w:color w:val="auto"/>
          <w:vertAlign w:val="superscript"/>
        </w:rPr>
      </w:pPr>
    </w:p>
    <w:p>
      <w:pPr>
        <w:ind w:left="660" w:right="80" w:hanging="652"/>
        <w:spacing w:after="0" w:line="239" w:lineRule="auto"/>
        <w:tabs>
          <w:tab w:leader="none" w:pos="64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Preferred Distribution Rate Reset Option of our Series A preferred units was accounted for as an embedded derivative and recorded at fair value in our Condensed Consolidated Financial Statements. The associated gains and losses are not integral to our results and were thus classified as a selected item impacting comparability. See Note 7 to our Condensed Consolidated Financial Statements for additional information regarding the Preferred Distribution Rate Reset Option.</w:t>
      </w:r>
    </w:p>
    <w:p>
      <w:pPr>
        <w:spacing w:after="0" w:line="90" w:lineRule="exact"/>
        <w:rPr>
          <w:rFonts w:ascii="Times New Roman" w:cs="Times New Roman" w:eastAsia="Times New Roman" w:hAnsi="Times New Roman"/>
          <w:sz w:val="23"/>
          <w:szCs w:val="23"/>
          <w:color w:val="auto"/>
          <w:vertAlign w:val="superscript"/>
        </w:rPr>
      </w:pPr>
    </w:p>
    <w:p>
      <w:pPr>
        <w:ind w:left="660" w:hanging="652"/>
        <w:spacing w:after="0" w:line="235" w:lineRule="auto"/>
        <w:tabs>
          <w:tab w:leader="none" w:pos="64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91" w:lineRule="exact"/>
        <w:rPr>
          <w:rFonts w:ascii="Times New Roman" w:cs="Times New Roman" w:eastAsia="Times New Roman" w:hAnsi="Times New Roman"/>
          <w:sz w:val="23"/>
          <w:szCs w:val="23"/>
          <w:color w:val="auto"/>
          <w:vertAlign w:val="superscript"/>
        </w:rPr>
      </w:pPr>
    </w:p>
    <w:p>
      <w:pPr>
        <w:jc w:val="both"/>
        <w:ind w:left="660" w:hanging="652"/>
        <w:spacing w:after="0" w:line="235" w:lineRule="auto"/>
        <w:tabs>
          <w:tab w:leader="none" w:pos="64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income, net” on our Condensed Consolidated Statements of Operations, excluding interest income associated with promissory notes by and among PAA and certain Plains entities, adjusted for selected items impacting comparability (“Adjusted other income, net”) is included in Adjusted EBITDA and excluded from Segment Adjusted EBITDA.</w:t>
      </w:r>
    </w:p>
    <w:p>
      <w:pPr>
        <w:sectPr>
          <w:pgSz w:w="11900" w:h="16838" w:orient="portrait"/>
          <w:cols w:equalWidth="0" w:num="1">
            <w:col w:w="11220"/>
          </w:cols>
          <w:pgMar w:left="320" w:top="121" w:right="359" w:bottom="1440" w:gutter="0" w:footer="0" w:header="0"/>
        </w:sectPr>
      </w:pP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Reflects amounts attributable to noncontrolling interests in the Permian JV, Cactus II and Red River.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table above for a reconciliation from Net Income to Adjusted EBITDA.</w:t>
      </w:r>
    </w:p>
    <w:p>
      <w:pPr>
        <w:spacing w:after="0" w:line="117" w:lineRule="exact"/>
        <w:rPr>
          <w:sz w:val="20"/>
          <w:szCs w:val="20"/>
          <w:color w:val="auto"/>
        </w:rPr>
      </w:pPr>
    </w:p>
    <w:p>
      <w:pPr>
        <w:ind w:left="20" w:right="60" w:hanging="11"/>
        <w:spacing w:after="0" w:line="282" w:lineRule="auto"/>
        <w:rPr>
          <w:sz w:val="20"/>
          <w:szCs w:val="20"/>
          <w:color w:val="auto"/>
        </w:rPr>
      </w:pPr>
      <w:r>
        <w:rPr>
          <w:rFonts w:ascii="Times New Roman" w:cs="Times New Roman" w:eastAsia="Times New Roman" w:hAnsi="Times New Roman"/>
          <w:sz w:val="18"/>
          <w:szCs w:val="18"/>
          <w:color w:val="auto"/>
        </w:rPr>
        <w:t>Amount excludes certain non-cash items impacting interest expense such as amortization of debt issuance costs and terminated interest rate swaps and is net of interest income associated with promissory notes by and among PAA and certain Plains entities.</w:t>
      </w:r>
    </w:p>
    <w:p>
      <w:pPr>
        <w:spacing w:after="0" w:line="54" w:lineRule="exact"/>
        <w:rPr>
          <w:sz w:val="20"/>
          <w:szCs w:val="20"/>
          <w:color w:val="auto"/>
        </w:rPr>
      </w:pPr>
    </w:p>
    <w:p>
      <w:pPr>
        <w:sectPr>
          <w:pgSz w:w="11900" w:h="16838" w:orient="portrait"/>
          <w:cols w:equalWidth="0" w:num="2">
            <w:col w:w="140" w:space="500"/>
            <w:col w:w="10580"/>
          </w:cols>
          <w:pgMar w:left="320" w:top="121" w:right="359" w:bottom="1440" w:gutter="0" w:footer="0" w:header="0"/>
          <w:type w:val="continuous"/>
        </w:sectPr>
      </w:pPr>
    </w:p>
    <w:p>
      <w:pPr>
        <w:ind w:left="660" w:right="320" w:hanging="652"/>
        <w:spacing w:after="0" w:line="229" w:lineRule="auto"/>
        <w:tabs>
          <w:tab w:leader="none" w:pos="652"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Maintenance capital expenditures are defined as capital expenditures for the replacement and/or refurbishment of partially or fully depreciated assets in order to maintain the operating and/or earnings capacity of our existing assets.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40" w:hanging="632"/>
        <w:spacing w:after="0"/>
        <w:tabs>
          <w:tab w:leader="none" w:pos="64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Investment capital expenditures attributable to noncontrolling interests that reduce Implied DCF available to PAA common unitholders.</w:t>
      </w:r>
    </w:p>
    <w:p>
      <w:pPr>
        <w:spacing w:after="0" w:line="89" w:lineRule="exact"/>
        <w:rPr>
          <w:rFonts w:ascii="Times New Roman" w:cs="Times New Roman" w:eastAsia="Times New Roman" w:hAnsi="Times New Roman"/>
          <w:sz w:val="23"/>
          <w:szCs w:val="23"/>
          <w:color w:val="auto"/>
          <w:vertAlign w:val="superscript"/>
        </w:rPr>
      </w:pPr>
    </w:p>
    <w:p>
      <w:pPr>
        <w:ind w:left="660" w:right="840" w:hanging="652"/>
        <w:spacing w:after="0" w:line="235" w:lineRule="auto"/>
        <w:tabs>
          <w:tab w:leader="none" w:pos="652"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Comprised of cash distributions received from unconsolidated entities less equity earnings in unconsolidated entities (adjusted for our proportionate share of depreciation and amortization, including write-downs related to cancelled projects, and selected items impacting comparability of unconsolidated entities).</w:t>
      </w:r>
    </w:p>
    <w:p>
      <w:pPr>
        <w:spacing w:after="0" w:line="61" w:lineRule="exact"/>
        <w:rPr>
          <w:rFonts w:ascii="Times New Roman" w:cs="Times New Roman" w:eastAsia="Times New Roman" w:hAnsi="Times New Roman"/>
          <w:sz w:val="23"/>
          <w:szCs w:val="23"/>
          <w:color w:val="auto"/>
          <w:vertAlign w:val="superscript"/>
        </w:rPr>
      </w:pPr>
    </w:p>
    <w:p>
      <w:pPr>
        <w:ind w:left="640" w:hanging="632"/>
        <w:spacing w:after="0"/>
        <w:tabs>
          <w:tab w:leader="none" w:pos="64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distributions paid during the period presented.</w:t>
      </w:r>
    </w:p>
    <w:p>
      <w:pPr>
        <w:spacing w:after="0" w:line="89" w:lineRule="exact"/>
        <w:rPr>
          <w:rFonts w:ascii="Times New Roman" w:cs="Times New Roman" w:eastAsia="Times New Roman" w:hAnsi="Times New Roman"/>
          <w:sz w:val="23"/>
          <w:szCs w:val="23"/>
          <w:color w:val="auto"/>
          <w:vertAlign w:val="superscript"/>
        </w:rPr>
      </w:pPr>
    </w:p>
    <w:p>
      <w:pPr>
        <w:ind w:left="660" w:right="160" w:hanging="652"/>
        <w:spacing w:after="0" w:line="229" w:lineRule="auto"/>
        <w:tabs>
          <w:tab w:leader="none" w:pos="652"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Excess DCF is retained to establish reserves for debt repayment, future distributions, common equity repurchases, capital expenditures and other partnership purposes.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Analysis of Operating Segments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manage our operations through two operating segments: Crude Oil and NGL. Our CODM (our Chief Executive Officer) evaluates segment performance based on a variety of measures including Segment Adjusted EBITDA, segment volumes and maintenance capital investment. See Note 10 to our Condensed Consolidated Financial Statements for our definition of Segment Adjusted EBITDA and a reconciliation of Segment Adjusted EBITDA to Net income attributable to PAA. See Note 19 to our Consolidated Financial Statements included in Part IV of our 2023 Annual Report on Form 10-K for our definition of maintenance capital.</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Crude Oil Segment</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Crude Oil segment operations generally consist of gathering and transporting crude oil using pipelines (including gathering systems), trucks and, at times, on barges or railcars, in addition to providing terminalling, storage and other related services utilizing our integrated assets across the United States and Canada. Our assets provide services to third parties as well as to our merchant activities. Our merchant activities include the purchase of crude oil supply and the movement of this supply on our assets or third-party assets to sales locations, including our terminals, third-party connecting carriers, regional hubs or to refineries. Our merchant activities are governed by our risk management policies.</w:t>
      </w:r>
    </w:p>
    <w:p>
      <w:pPr>
        <w:spacing w:after="0" w:line="21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impacted by (i) increases or decreases in our lease gathering crude oil purchases volumes and (ii) volatility in commodity price differentials, particularly grade and location differentials, as well as time spreads. The segment results also include the direct fixed and variable field costs of operating the crude oil assets, as well as an allocation of indirect operating costs.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operating results from our Crude Oil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Operating Results </w:t>
            </w:r>
            <w:r>
              <w:rPr>
                <w:rFonts w:ascii="Times New Roman" w:cs="Times New Roman" w:eastAsia="Times New Roman" w:hAnsi="Times New Roman"/>
                <w:sz w:val="18"/>
                <w:szCs w:val="18"/>
                <w:b w:val="1"/>
                <w:bCs w:val="1"/>
                <w:color w:val="auto"/>
                <w:vertAlign w:val="superscript"/>
              </w:rPr>
              <w:t>(1)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118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340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7"/>
                <w:szCs w:val="17"/>
                <w:color w:val="auto"/>
              </w:rPr>
            </w:pPr>
          </w:p>
        </w:tc>
        <w:tc>
          <w:tcPr>
            <w:tcW w:w="1180" w:type="dxa"/>
            <w:vAlign w:val="bottom"/>
            <w:gridSpan w:val="5"/>
            <w:vMerge w:val="continue"/>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3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12,444</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3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(11,529)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3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75"/>
        </w:trPr>
        <w:tc>
          <w:tcPr>
            <w:tcW w:w="340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Segment general and administrative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3"/>
                <w:szCs w:val="23"/>
                <w:color w:val="auto"/>
                <w:vertAlign w:val="superscript"/>
              </w:rPr>
              <w:t>(2)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3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40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00" w:type="dxa"/>
            <w:vAlign w:val="bottom"/>
            <w:gridSpan w:val="3"/>
          </w:tcPr>
          <w:p>
            <w:pPr>
              <w:ind w:left="140"/>
              <w:spacing w:after="0" w:line="176" w:lineRule="exact"/>
              <w:rPr>
                <w:sz w:val="20"/>
                <w:szCs w:val="20"/>
                <w:color w:val="auto"/>
              </w:rPr>
            </w:pPr>
            <w:r>
              <w:rPr>
                <w:rFonts w:ascii="Times New Roman" w:cs="Times New Roman" w:eastAsia="Times New Roman" w:hAnsi="Times New Roman"/>
                <w:sz w:val="18"/>
                <w:szCs w:val="18"/>
                <w:color w:val="auto"/>
              </w:rPr>
              <w:t>Depreciation and amortization of</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unconsolidated entities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400" w:type="dxa"/>
            <w:vAlign w:val="bottom"/>
            <w:gridSpan w:val="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Derivative activities and inventory</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valuation adjustments</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400" w:type="dxa"/>
            <w:vAlign w:val="bottom"/>
            <w:gridSpan w:val="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Deficiencies under minimum volume</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commitments, net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Line 901 incident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400" w:type="dxa"/>
            <w:vAlign w:val="bottom"/>
            <w:gridSpan w:val="3"/>
          </w:tcPr>
          <w:p>
            <w:pPr>
              <w:ind w:left="140"/>
              <w:spacing w:after="0" w:line="176" w:lineRule="exact"/>
              <w:rPr>
                <w:sz w:val="20"/>
                <w:szCs w:val="20"/>
                <w:color w:val="auto"/>
              </w:rPr>
            </w:pPr>
            <w:r>
              <w:rPr>
                <w:rFonts w:ascii="Times New Roman" w:cs="Times New Roman" w:eastAsia="Times New Roman" w:hAnsi="Times New Roman"/>
                <w:sz w:val="18"/>
                <w:szCs w:val="18"/>
                <w:color w:val="auto"/>
              </w:rPr>
              <w:t>Segment amounts attributable to</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right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4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4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3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24"/>
                <w:szCs w:val="24"/>
                <w:color w:val="auto"/>
              </w:rPr>
            </w:pPr>
          </w:p>
        </w:tc>
        <w:tc>
          <w:tcPr>
            <w:tcW w:w="118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7"/>
                <w:szCs w:val="17"/>
                <w:color w:val="auto"/>
              </w:rPr>
            </w:pPr>
          </w:p>
        </w:tc>
        <w:tc>
          <w:tcPr>
            <w:tcW w:w="1180" w:type="dxa"/>
            <w:vAlign w:val="bottom"/>
            <w:gridSpan w:val="5"/>
            <w:vMerge w:val="continue"/>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Average Volumes</w:t>
            </w: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60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62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3340" w:type="dxa"/>
            <w:vAlign w:val="bottom"/>
            <w:tcBorders>
              <w:top w:val="single" w:sz="8" w:color="auto"/>
            </w:tcBorders>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Crude oil pipeline tariff (by region) </w:t>
            </w:r>
            <w:r>
              <w:rPr>
                <w:rFonts w:ascii="Times New Roman" w:cs="Times New Roman" w:eastAsia="Times New Roman" w:hAnsi="Times New Roman"/>
                <w:sz w:val="23"/>
                <w:szCs w:val="23"/>
                <w:color w:val="auto"/>
                <w:vertAlign w:val="superscript"/>
              </w:rPr>
              <w:t>(4)</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gridSpan w:val="3"/>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Permian Basin </w:t>
            </w:r>
            <w:r>
              <w:rPr>
                <w:rFonts w:ascii="Times New Roman" w:cs="Times New Roman" w:eastAsia="Times New Roman" w:hAnsi="Times New Roman"/>
                <w:sz w:val="23"/>
                <w:szCs w:val="23"/>
                <w:color w:val="auto"/>
                <w:vertAlign w:val="superscript"/>
              </w:rPr>
              <w:t>(5)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6,944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30"/>
        </w:trPr>
        <w:tc>
          <w:tcPr>
            <w:tcW w:w="3400" w:type="dxa"/>
            <w:vAlign w:val="bottom"/>
            <w:gridSpan w:val="3"/>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Rocky Mountain </w:t>
            </w:r>
            <w:r>
              <w:rPr>
                <w:rFonts w:ascii="Times New Roman" w:cs="Times New Roman" w:eastAsia="Times New Roman" w:hAnsi="Times New Roman"/>
                <w:sz w:val="23"/>
                <w:szCs w:val="23"/>
                <w:color w:val="auto"/>
                <w:vertAlign w:val="superscript"/>
              </w:rPr>
              <w:t>(5)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CCEEFF"/>
            </w:tcBorders>
            <w:gridSpan w:val="3"/>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(5)</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4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crude oil pipeline tariff</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162"/>
        </w:trPr>
        <w:tc>
          <w:tcPr>
            <w:tcW w:w="33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spacing w:after="0"/>
              <w:rPr>
                <w:sz w:val="14"/>
                <w:szCs w:val="14"/>
                <w:color w:val="auto"/>
              </w:rPr>
            </w:pPr>
          </w:p>
        </w:tc>
        <w:tc>
          <w:tcPr>
            <w:tcW w:w="620" w:type="dxa"/>
            <w:vAlign w:val="bottom"/>
            <w:gridSpan w:val="2"/>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360" w:type="dxa"/>
            <w:vAlign w:val="bottom"/>
            <w:gridSpan w:val="2"/>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40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crude oil storage capacity </w:t>
            </w:r>
            <w:r>
              <w:rPr>
                <w:rFonts w:ascii="Times New Roman" w:cs="Times New Roman" w:eastAsia="Times New Roman" w:hAnsi="Times New Roman"/>
                <w:sz w:val="23"/>
                <w:szCs w:val="23"/>
                <w:color w:val="auto"/>
                <w:vertAlign w:val="superscript"/>
              </w:rPr>
              <w:t>(5)(6)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5"/>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62"/>
        </w:trPr>
        <w:tc>
          <w:tcPr>
            <w:tcW w:w="33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40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Crude oil lease gathering purchases </w:t>
            </w:r>
            <w:r>
              <w:rPr>
                <w:rFonts w:ascii="Times New Roman" w:cs="Times New Roman" w:eastAsia="Times New Roman" w:hAnsi="Times New Roman"/>
                <w:sz w:val="23"/>
                <w:szCs w:val="23"/>
                <w:color w:val="auto"/>
                <w:vertAlign w:val="superscript"/>
              </w:rPr>
              <w:t>(4)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162"/>
        </w:trPr>
        <w:tc>
          <w:tcPr>
            <w:tcW w:w="33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40" w:hanging="232"/>
        <w:spacing w:after="0"/>
        <w:tabs>
          <w:tab w:leader="none" w:pos="24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ectPr>
          <w:pgSz w:w="11900" w:h="16838" w:orient="portrait"/>
          <w:cols w:equalWidth="0" w:num="1">
            <w:col w:w="11240"/>
          </w:cols>
          <w:pgMar w:left="320" w:top="121" w:right="339" w:bottom="1440" w:gutter="0" w:footer="0" w:header="0"/>
        </w:sectPr>
      </w:pP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proportional allocations by segment require judgment by management and are based on the business activities that exist during each period.</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right="440" w:hanging="11"/>
        <w:spacing w:after="0" w:line="282" w:lineRule="auto"/>
        <w:rPr>
          <w:sz w:val="20"/>
          <w:szCs w:val="20"/>
          <w:color w:val="auto"/>
        </w:rPr>
      </w:pPr>
      <w:r>
        <w:rPr>
          <w:rFonts w:ascii="Times New Roman" w:cs="Times New Roman" w:eastAsia="Times New Roman" w:hAnsi="Times New Roman"/>
          <w:sz w:val="18"/>
          <w:szCs w:val="18"/>
          <w:color w:val="auto"/>
        </w:rPr>
        <w:t>Represents adjustments included in the performance measure utilized by our CODM in the evaluation of segment results. See Note 10 to our Condensed Consolidated Financial Statements for additional discussion of such adjustments.</w:t>
      </w:r>
    </w:p>
    <w:p>
      <w:pPr>
        <w:spacing w:after="0" w:line="54" w:lineRule="exact"/>
        <w:rPr>
          <w:sz w:val="20"/>
          <w:szCs w:val="20"/>
          <w:color w:val="auto"/>
        </w:rPr>
      </w:pPr>
    </w:p>
    <w:p>
      <w:pPr>
        <w:ind w:left="20" w:right="160" w:hanging="11"/>
        <w:spacing w:after="0" w:line="266" w:lineRule="auto"/>
        <w:rPr>
          <w:sz w:val="20"/>
          <w:szCs w:val="20"/>
          <w:color w:val="auto"/>
        </w:rPr>
      </w:pPr>
      <w:r>
        <w:rPr>
          <w:rFonts w:ascii="Times New Roman" w:cs="Times New Roman" w:eastAsia="Times New Roman" w:hAnsi="Times New Roman"/>
          <w:sz w:val="18"/>
          <w:szCs w:val="18"/>
          <w:color w:val="auto"/>
        </w:rPr>
        <w:t>Average daily volumes in thousands of barrels per day calculated as the total volumes (attributable to our interest for assets owned by unconsolidated entities or through undivided joint interests) for the period divided by the number of days in the period. Volumes associated with acquisitions represent total volumes for the number of days we actually owned the assets divided by the number of days in the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volumes (attributable to our interest) from assets owned by unconsolidated entities.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Average monthly capacity in millions of barrels per day calculated as total volumes for the period divided by the number of months in the period.</w:t>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Segment Adjusted EBITDA</w:t>
      </w:r>
    </w:p>
    <w:p>
      <w:pPr>
        <w:spacing w:after="0" w:line="200" w:lineRule="exact"/>
        <w:rPr>
          <w:sz w:val="20"/>
          <w:szCs w:val="20"/>
          <w:color w:val="auto"/>
        </w:rPr>
      </w:pPr>
    </w:p>
    <w:p>
      <w:pPr>
        <w:sectPr>
          <w:pgSz w:w="11900" w:h="16838" w:orient="portrait"/>
          <w:cols w:equalWidth="0" w:num="2">
            <w:col w:w="140" w:space="500"/>
            <w:col w:w="10560"/>
          </w:cols>
          <w:pgMar w:left="320" w:top="121" w:right="379" w:bottom="1440" w:gutter="0" w:footer="0" w:header="0"/>
          <w:type w:val="continuous"/>
        </w:sectPr>
      </w:pPr>
    </w:p>
    <w:p>
      <w:pPr>
        <w:spacing w:after="0" w:line="54"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Crude Oil Segment Adjusted EBITDA increased for the three and nine months ended September 30, 2024 compared to the same periods in 2023 primarily due to higher tariff volumes on our pipelines, tariff escalations and contributions from acquisitions, partially offset by fewer market-based opportunities.</w:t>
      </w:r>
    </w:p>
    <w:p>
      <w:pPr>
        <w:spacing w:after="0" w:line="203"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more detailed discussion of the significant factors impacting Segment Adjusted EBITDA for the three and nine months ended September 30, 2024 compared to the same periods in 2023.</w:t>
      </w:r>
    </w:p>
    <w:p>
      <w:pPr>
        <w:spacing w:after="0" w:line="187" w:lineRule="exact"/>
        <w:rPr>
          <w:sz w:val="20"/>
          <w:szCs w:val="20"/>
          <w:color w:val="auto"/>
        </w:rPr>
      </w:pPr>
    </w:p>
    <w:p>
      <w:pPr>
        <w:jc w:val="both"/>
        <w:ind w:right="2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Revenues and Equity Earnings. </w:t>
      </w:r>
      <w:r>
        <w:rPr>
          <w:rFonts w:ascii="Times New Roman" w:cs="Times New Roman" w:eastAsia="Times New Roman" w:hAnsi="Times New Roman"/>
          <w:sz w:val="18"/>
          <w:szCs w:val="18"/>
          <w:color w:val="auto"/>
        </w:rPr>
        <w:t>Our results were favorably impacted by (i) volume growth across our pipeline systems driven by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in the Permian Basin region as well as increased movements from the Rocky Mountain region to Cushing, Oklahoma, (ii) the benefit of tariff escalations and (iii) contributions from acquisitions.</w:t>
      </w:r>
    </w:p>
    <w:p>
      <w:pPr>
        <w:spacing w:after="0" w:line="20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Additionally, our results for the three and nine months ended September 30, 2024 compared to the same periods in 2023 reflect fewer crude oil market-based opportunities.</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Field Operating Costs. </w:t>
      </w:r>
      <w:r>
        <w:rPr>
          <w:rFonts w:ascii="Times New Roman" w:cs="Times New Roman" w:eastAsia="Times New Roman" w:hAnsi="Times New Roman"/>
          <w:sz w:val="18"/>
          <w:szCs w:val="18"/>
          <w:color w:val="auto"/>
        </w:rPr>
        <w:t>For the three and nine months ended September 30, 2024 compared to the same periods in 2023, we recognized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associated with (i) an increase in costs associated with settlements related to the Line 901 incident that occurred in May 2015 (which impact field operating costs, but are excluded from Segment Adjusted EBITDA, and thus are reflected as an “Adjustment” in the table above), (ii) employee-related costs primarily resulting from higher average headcount and salaries, (iii) property taxes due to the impact of favorable adjustments in 2023 and (iv) incremental operating costs associated with acquisitions, partially offset by (v) decreased costs resulting from lower third-party trucked volumes. Field operating costs for the nine months ended September 30, 2024 compared to the same period in 2023 were also favorably impacted by lower utilities-related costs as a result of lower prices, partially offset by higher volumes and an increase in the amount of drag reducing agents used.</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Maintenance Capital</w:t>
      </w:r>
    </w:p>
    <w:p>
      <w:pPr>
        <w:spacing w:after="0" w:line="24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increase in maintenance capital spending for the three and nine months ended September 30, 2024 compared to the same periods in 2023 was primarily due to higher costs resulting from increased pipeline integrity activities and trucking lease buyouts. Additionally, the three months ended September 30, 2024 compared to the same 2023 period was further impacted by timing of tank integrity activities.</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NGL Segment</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our merchant activities of extracting NGL mix from the gas stream processed at our Empress straddle plant facility as well as acquiring NGL mix, which is then transported, stored and fractionated into finished products and sold to customers. The commodity exposure associated with our merchant activities is governed by our risk management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Generally, our segment results are impacted by (i) increases or decreases in our NGL sales volumes, (ii) volatility in commodity price differentials, primarily the differential between the price of natural gas and the extracted NGL (“frac spread”), as well as location differentials and time spreads, (iii) the quality and volume of natural gas transported on third-party assets through our Empress straddle plant and (iv) our share of the NGLs received from a third-party straddle plant.</w:t>
      </w:r>
    </w:p>
    <w:p>
      <w:pPr>
        <w:spacing w:after="0" w:line="207"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 as well as the impact of comparative performance between financial reporting periods that bisect the five-month peak heating season.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operating results from our NGL segment:</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Operating Results </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13"/>
                <w:szCs w:val="13"/>
                <w:color w:val="auto"/>
              </w:rPr>
            </w:pPr>
          </w:p>
        </w:tc>
        <w:tc>
          <w:tcPr>
            <w:tcW w:w="168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16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1180" w:type="dxa"/>
            <w:vAlign w:val="bottom"/>
            <w:gridSpan w:val="3"/>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3480" w:type="dxa"/>
            <w:vAlign w:val="bottom"/>
            <w:gridSpan w:val="4"/>
            <w:vMerge w:val="continue"/>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7"/>
                <w:szCs w:val="17"/>
                <w:color w:val="auto"/>
              </w:rPr>
            </w:pPr>
          </w:p>
        </w:tc>
        <w:tc>
          <w:tcPr>
            <w:tcW w:w="1160" w:type="dxa"/>
            <w:vAlign w:val="bottom"/>
            <w:gridSpan w:val="5"/>
            <w:vMerge w:val="continue"/>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4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33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34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0"/>
        </w:trPr>
        <w:tc>
          <w:tcPr>
            <w:tcW w:w="3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175"/>
        </w:trPr>
        <w:tc>
          <w:tcPr>
            <w:tcW w:w="348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8"/>
                <w:szCs w:val="18"/>
                <w:color w:val="auto"/>
              </w:rPr>
              <w:t>Segment general and administrative expenses</w:t>
            </w:r>
          </w:p>
        </w:tc>
        <w:tc>
          <w:tcPr>
            <w:tcW w:w="160" w:type="dxa"/>
            <w:vAlign w:val="bottom"/>
          </w:tcPr>
          <w:p>
            <w:pPr>
              <w:spacing w:after="0"/>
              <w:rPr>
                <w:sz w:val="15"/>
                <w:szCs w:val="15"/>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76"/>
        </w:trPr>
        <w:tc>
          <w:tcPr>
            <w:tcW w:w="3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48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activities</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5"/>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48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24"/>
                <w:szCs w:val="24"/>
                <w:color w:val="auto"/>
              </w:rPr>
            </w:pPr>
          </w:p>
        </w:tc>
        <w:tc>
          <w:tcPr>
            <w:tcW w:w="116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24"/>
                <w:szCs w:val="24"/>
                <w:color w:val="auto"/>
              </w:rPr>
            </w:pPr>
          </w:p>
        </w:tc>
        <w:tc>
          <w:tcPr>
            <w:tcW w:w="1180" w:type="dxa"/>
            <w:vAlign w:val="bottom"/>
            <w:gridSpan w:val="3"/>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5"/>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7"/>
                <w:szCs w:val="17"/>
                <w:color w:val="auto"/>
              </w:rPr>
            </w:pPr>
          </w:p>
        </w:tc>
        <w:tc>
          <w:tcPr>
            <w:tcW w:w="1160" w:type="dxa"/>
            <w:vAlign w:val="bottom"/>
            <w:gridSpan w:val="5"/>
            <w:vMerge w:val="continue"/>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346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Average Volumes</w:t>
            </w: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480" w:type="dxa"/>
            <w:vAlign w:val="bottom"/>
            <w:gridSpan w:val="4"/>
          </w:tcPr>
          <w:p>
            <w:pPr>
              <w:ind w:left="20"/>
              <w:spacing w:after="0" w:line="243" w:lineRule="exact"/>
              <w:rPr>
                <w:sz w:val="20"/>
                <w:szCs w:val="20"/>
                <w:color w:val="auto"/>
              </w:rPr>
            </w:pPr>
            <w:r>
              <w:rPr>
                <w:rFonts w:ascii="Times New Roman" w:cs="Times New Roman" w:eastAsia="Times New Roman" w:hAnsi="Times New Roman"/>
                <w:sz w:val="14"/>
                <w:szCs w:val="14"/>
                <w:b w:val="1"/>
                <w:bCs w:val="1"/>
                <w:color w:val="auto"/>
              </w:rPr>
              <w:t>(in thousands of barrels per day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3"/>
                <w:szCs w:val="23"/>
                <w:b w:val="1"/>
                <w:bCs w:val="1"/>
                <w:color w:val="auto"/>
                <w:vertAlign w:val="superscript"/>
              </w:rPr>
              <w:t>(4)</w:t>
            </w:r>
          </w:p>
        </w:tc>
        <w:tc>
          <w:tcPr>
            <w:tcW w:w="160" w:type="dxa"/>
            <w:vAlign w:val="bottom"/>
          </w:tcPr>
          <w:p>
            <w:pPr>
              <w:spacing w:after="0"/>
              <w:rPr>
                <w:sz w:val="21"/>
                <w:szCs w:val="21"/>
                <w:color w:val="auto"/>
              </w:rPr>
            </w:pPr>
          </w:p>
        </w:tc>
        <w:tc>
          <w:tcPr>
            <w:tcW w:w="66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6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6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 fractionation</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10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 pipeline tariff</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10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Propane and butane sales</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162"/>
        </w:trPr>
        <w:tc>
          <w:tcPr>
            <w:tcW w:w="3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00" w:hanging="292"/>
        <w:spacing w:after="0"/>
        <w:tabs>
          <w:tab w:leader="none" w:pos="30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ectPr>
          <w:pgSz w:w="11900" w:h="16838" w:orient="portrait"/>
          <w:cols w:equalWidth="0" w:num="1">
            <w:col w:w="11240"/>
          </w:cols>
          <w:pgMar w:left="320" w:top="121" w:right="339" w:bottom="1440" w:gutter="0" w:footer="0" w:header="0"/>
        </w:sectPr>
      </w:pP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proportional allocations by segment require judgment by management and are based on the business activities that exist during each period.</w:t>
      </w:r>
    </w:p>
    <w:p>
      <w:pPr>
        <w:spacing w:after="0" w:line="95"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ind w:right="480" w:hanging="11"/>
        <w:spacing w:after="0" w:line="282" w:lineRule="auto"/>
        <w:rPr>
          <w:sz w:val="20"/>
          <w:szCs w:val="20"/>
          <w:color w:val="auto"/>
        </w:rPr>
      </w:pPr>
      <w:r>
        <w:rPr>
          <w:rFonts w:ascii="Times New Roman" w:cs="Times New Roman" w:eastAsia="Times New Roman" w:hAnsi="Times New Roman"/>
          <w:sz w:val="18"/>
          <w:szCs w:val="18"/>
          <w:color w:val="auto"/>
        </w:rPr>
        <w:t>Represents adjustments included in the performance measure utilized by our CODM in the evaluation of segment results. See Note 10 to our Condensed Consolidated Financial Statements for additional discussion of such adjustments.</w:t>
      </w:r>
    </w:p>
    <w:p>
      <w:pPr>
        <w:spacing w:after="0" w:line="54" w:lineRule="exact"/>
        <w:rPr>
          <w:sz w:val="20"/>
          <w:szCs w:val="20"/>
          <w:color w:val="auto"/>
        </w:rPr>
      </w:pPr>
    </w:p>
    <w:p>
      <w:pPr>
        <w:ind w:right="500" w:hanging="11"/>
        <w:spacing w:after="0" w:line="282" w:lineRule="auto"/>
        <w:rPr>
          <w:sz w:val="20"/>
          <w:szCs w:val="20"/>
          <w:color w:val="auto"/>
        </w:rPr>
      </w:pPr>
      <w:r>
        <w:rPr>
          <w:rFonts w:ascii="Times New Roman" w:cs="Times New Roman" w:eastAsia="Times New Roman" w:hAnsi="Times New Roman"/>
          <w:sz w:val="18"/>
          <w:szCs w:val="18"/>
          <w:color w:val="auto"/>
        </w:rPr>
        <w:t>Average daily volumes are calculated as total volumes (attributable to our interest for assets owned through undivided joint interests) for the period divided by the number of days in the period.</w:t>
      </w:r>
    </w:p>
    <w:p>
      <w:pPr>
        <w:spacing w:after="0" w:line="200" w:lineRule="exact"/>
        <w:rPr>
          <w:sz w:val="20"/>
          <w:szCs w:val="20"/>
          <w:color w:val="auto"/>
        </w:rPr>
      </w:pPr>
    </w:p>
    <w:p>
      <w:pPr>
        <w:sectPr>
          <w:pgSz w:w="11900" w:h="16838" w:orient="portrait"/>
          <w:cols w:equalWidth="0" w:num="2">
            <w:col w:w="140" w:space="520"/>
            <w:col w:w="10580"/>
          </w:cols>
          <w:pgMar w:left="320" w:top="121" w:right="339" w:bottom="1440" w:gutter="0" w:footer="0" w:header="0"/>
          <w:type w:val="continuous"/>
        </w:sect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Segment Adjusted EBITDA</w:t>
      </w:r>
    </w:p>
    <w:p>
      <w:pPr>
        <w:spacing w:after="0" w:line="25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NGL Segment Adjusted EBITDA decreased for the three and nine months ended September 30, 2024 compared to the same periods in 2023 primarily as a result of the impact of lower realized frac spreads, partially offset by higher propane and butane sales volumes. The nine months ended September 30, 2024 compared to the same period in 2023 further benefited from incremental margins from iso-to-normal butane spreads in the first half of 2024.</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variances in the components of Segment Adjusted EBITDA are discussed in more detail below.</w:t>
      </w:r>
    </w:p>
    <w:p>
      <w:pPr>
        <w:spacing w:after="0" w:line="250"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Revenues. </w:t>
      </w:r>
      <w:r>
        <w:rPr>
          <w:rFonts w:ascii="Times New Roman" w:cs="Times New Roman" w:eastAsia="Times New Roman" w:hAnsi="Times New Roman"/>
          <w:sz w:val="18"/>
          <w:szCs w:val="18"/>
          <w:color w:val="auto"/>
        </w:rPr>
        <w:t>Net revenues include the impact of derivative activities and long-term inventory costing adjustments, which are excluded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Adjusted EBITDA, and thus are reflected as an “Adjustment” in the table above. Excluding such impacts, net revenues decreased for the three and nine months ended September 30, 2024 compared to the same periods in 2023.</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decrease in net revenues for the three and nine months ended September 30, 2024 compared to the same periods in 2023 was primarily due to</w:t>
      </w:r>
    </w:p>
    <w:p>
      <w:pPr>
        <w:spacing w:after="0" w:line="27" w:lineRule="exact"/>
        <w:rPr>
          <w:sz w:val="20"/>
          <w:szCs w:val="20"/>
          <w:color w:val="auto"/>
        </w:rPr>
      </w:pPr>
    </w:p>
    <w:p>
      <w:pPr>
        <w:ind w:right="300" w:firstLine="8"/>
        <w:spacing w:after="0" w:line="260" w:lineRule="auto"/>
        <w:tabs>
          <w:tab w:leader="none" w:pos="2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realized frac spreads and (ii) lower field operating cost recoveries at our Empress straddle plants realized through our commercial agreements, partially offset by (iii) higher propane and butane sales volumes.</w:t>
      </w:r>
    </w:p>
    <w:p>
      <w:pPr>
        <w:spacing w:after="0" w:line="208"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nine months ended September 30, 2024 compared to the same period in 2023 further benefited from incremental margins from iso-to-normal butane spreads in the first half of 2024.</w:t>
      </w:r>
    </w:p>
    <w:p>
      <w:pPr>
        <w:spacing w:after="0" w:line="187"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Field Operating Costs. </w:t>
      </w:r>
      <w:r>
        <w:rPr>
          <w:rFonts w:ascii="Times New Roman" w:cs="Times New Roman" w:eastAsia="Times New Roman" w:hAnsi="Times New Roman"/>
          <w:sz w:val="18"/>
          <w:szCs w:val="18"/>
          <w:color w:val="auto"/>
        </w:rPr>
        <w:t>The decrease in field operating costs for the three and nine months ended September 30, 2024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in 2023 was primarily due to (i) decreased utilities-related costs largely as a result of lower prices and (ii) a decrease in unrealized mark-to-market losses on power hedges (which impact our field operating costs, but are excluded from Segment Adjusted EBITDA, and thus are reflected as an “Adjustment” in the table above), partially offset by (iii) higher maintenance costs and (iv) higher employee-related costs primarily resulting from higher average headcount and salaries. The decrease in utilities-related costs was partially offset by the lower benefit to net revenues of operating cost recoveries realized through commercial agreements.</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Maintenance Capital</w:t>
      </w:r>
    </w:p>
    <w:p>
      <w:pPr>
        <w:spacing w:after="0" w:line="254"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decrease in maintenance capital spending for the nine months ended September 30, 2024 compared to the same period in 2023 was primarily due to timing of equipment repairs and replacement projects for certain of our pipeline systems and fractionation facilities.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220" w:firstLine="648"/>
        <w:spacing w:after="0" w:line="254" w:lineRule="auto"/>
        <w:rPr>
          <w:sz w:val="20"/>
          <w:szCs w:val="20"/>
          <w:color w:val="auto"/>
        </w:rPr>
      </w:pPr>
      <w:r>
        <w:rPr>
          <w:rFonts w:ascii="Times New Roman" w:cs="Times New Roman" w:eastAsia="Times New Roman" w:hAnsi="Times New Roman"/>
          <w:sz w:val="18"/>
          <w:szCs w:val="18"/>
          <w:color w:val="auto"/>
        </w:rPr>
        <w:t>Our primary sources of liquidity are (i) cash flow from operating activities and (ii) borrowings under our credit facilities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payment of other expenses and interest payments on outstanding debt, (ii) investment and maintenance capital activities, (iii) acquisitions of assets or businesses, (iv) repayment of principal on our long-term debt and</w:t>
      </w:r>
    </w:p>
    <w:p>
      <w:pPr>
        <w:spacing w:after="0" w:line="3" w:lineRule="exact"/>
        <w:rPr>
          <w:sz w:val="20"/>
          <w:szCs w:val="20"/>
          <w:color w:val="auto"/>
        </w:rPr>
      </w:pPr>
    </w:p>
    <w:p>
      <w:pPr>
        <w:jc w:val="both"/>
        <w:ind w:right="240" w:firstLine="8"/>
        <w:spacing w:after="0" w:line="253" w:lineRule="auto"/>
        <w:tabs>
          <w:tab w:leader="none" w:pos="2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our unitholders and noncontrolling interests. In addition, we may use cash for repurchases of common equity. We generally expect to fund our short-term cash requirements through cash flow generated from operating activities and/or borrowings under our credit facilities or commercial paper program. In addition, we generally expect to fund our long-term needs, such as those resulting from investment capital activities, acquisitions or refinancing our long-term debt, through a variety of sources, which may include any or a combination of the sources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we had a working capital surplus of $33 million and approximately $3.3 billion of liquidity available to meet our ongoing operating, investing and financing needs, subject to continued covenant compliance, as noted below (in millions):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 xml:space="preserve">Availability under senior unsecured revolving credit facility </w:t>
      </w:r>
      <w:r>
        <w:rPr>
          <w:rFonts w:ascii="Times New Roman" w:cs="Times New Roman" w:eastAsia="Times New Roman" w:hAnsi="Times New Roman"/>
          <w:sz w:val="22"/>
          <w:szCs w:val="22"/>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-156210</wp:posOffset>
            </wp:positionV>
            <wp:extent cx="7106285"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ind w:left="40"/>
        <w:spacing w:after="0" w:line="228" w:lineRule="auto"/>
        <w:rPr>
          <w:sz w:val="20"/>
          <w:szCs w:val="20"/>
          <w:color w:val="auto"/>
        </w:rPr>
      </w:pPr>
      <w:r>
        <w:rPr>
          <w:rFonts w:ascii="Times New Roman" w:cs="Times New Roman" w:eastAsia="Times New Roman" w:hAnsi="Times New Roman"/>
          <w:sz w:val="17"/>
          <w:szCs w:val="17"/>
          <w:color w:val="auto"/>
        </w:rPr>
        <w:t xml:space="preserve">Availability under senior secured hedged inventory facility </w:t>
      </w:r>
      <w:r>
        <w:rPr>
          <w:rFonts w:ascii="Times New Roman" w:cs="Times New Roman" w:eastAsia="Times New Roman" w:hAnsi="Times New Roman"/>
          <w:sz w:val="22"/>
          <w:szCs w:val="22"/>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-8890</wp:posOffset>
            </wp:positionV>
            <wp:extent cx="7106285"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Amounts outstanding under commercial paper program</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As of</w:t>
      </w:r>
    </w:p>
    <w:p>
      <w:pPr>
        <w:spacing w:after="0" w:line="6"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September 30, 2024</w:t>
      </w:r>
    </w:p>
    <w:p>
      <w:pPr>
        <w:spacing w:after="0" w:line="30" w:lineRule="exact"/>
        <w:rPr>
          <w:sz w:val="20"/>
          <w:szCs w:val="20"/>
          <w:color w:val="auto"/>
        </w:rPr>
      </w:pPr>
    </w:p>
    <w:p>
      <w:pPr>
        <w:ind w:left="1163" w:hanging="1163"/>
        <w:spacing w:after="0"/>
        <w:tabs>
          <w:tab w:leader="none" w:pos="1163"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1,350</w:t>
      </w:r>
    </w:p>
    <w:p>
      <w:pPr>
        <w:spacing w:after="0" w:line="38" w:lineRule="exact"/>
        <w:rPr>
          <w:rFonts w:ascii="Times New Roman" w:cs="Times New Roman" w:eastAsia="Times New Roman" w:hAnsi="Times New Roman"/>
          <w:sz w:val="17"/>
          <w:szCs w:val="17"/>
          <w:color w:val="auto"/>
        </w:rPr>
      </w:pPr>
    </w:p>
    <w:p>
      <w:pPr>
        <w:ind w:left="116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1,316</w:t>
      </w:r>
    </w:p>
    <w:p>
      <w:pPr>
        <w:spacing w:after="0" w:line="34" w:lineRule="exact"/>
        <w:rPr>
          <w:rFonts w:ascii="Times New Roman" w:cs="Times New Roman" w:eastAsia="Times New Roman" w:hAnsi="Times New Roman"/>
          <w:sz w:val="17"/>
          <w:szCs w:val="17"/>
          <w:color w:val="auto"/>
        </w:rPr>
      </w:pPr>
    </w:p>
    <w:p>
      <w:pPr>
        <w:ind w:left="138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t>
      </w:r>
    </w:p>
    <w:p>
      <w:pPr>
        <w:spacing w:after="0" w:line="22" w:lineRule="exact"/>
        <w:rPr>
          <w:sz w:val="20"/>
          <w:szCs w:val="20"/>
          <w:color w:val="auto"/>
        </w:rPr>
      </w:pPr>
    </w:p>
    <w:p>
      <w:pPr>
        <w:sectPr>
          <w:pgSz w:w="11900" w:h="16838" w:orient="portrait"/>
          <w:cols w:equalWidth="0" w:num="2">
            <w:col w:w="8857" w:space="720"/>
            <w:col w:w="1663"/>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0" w:type="dxa"/>
            <w:vAlign w:val="bottom"/>
          </w:tcPr>
          <w:p>
            <w:pPr>
              <w:spacing w:after="0"/>
              <w:rPr>
                <w:sz w:val="19"/>
                <w:szCs w:val="19"/>
                <w:color w:val="auto"/>
              </w:rPr>
            </w:pPr>
          </w:p>
        </w:tc>
        <w:tc>
          <w:tcPr>
            <w:tcW w:w="9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Subtotal</w:t>
            </w:r>
          </w:p>
        </w:tc>
        <w:tc>
          <w:tcPr>
            <w:tcW w:w="6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2,666</w:t>
            </w:r>
          </w:p>
        </w:tc>
      </w:tr>
      <w:tr>
        <w:trPr>
          <w:trHeight w:val="230"/>
        </w:trPr>
        <w:tc>
          <w:tcPr>
            <w:tcW w:w="40" w:type="dxa"/>
            <w:vAlign w:val="bottom"/>
          </w:tcPr>
          <w:p>
            <w:pPr>
              <w:spacing w:after="0"/>
              <w:rPr>
                <w:sz w:val="19"/>
                <w:szCs w:val="19"/>
                <w:color w:val="auto"/>
              </w:rPr>
            </w:pPr>
          </w:p>
        </w:tc>
        <w:tc>
          <w:tcPr>
            <w:tcW w:w="95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3"/>
                <w:szCs w:val="23"/>
                <w:color w:val="auto"/>
                <w:vertAlign w:val="superscript"/>
              </w:rPr>
              <w:t>(3)</w:t>
            </w: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23"/>
        </w:trPr>
        <w:tc>
          <w:tcPr>
            <w:tcW w:w="40" w:type="dxa"/>
            <w:vAlign w:val="bottom"/>
          </w:tcPr>
          <w:p>
            <w:pPr>
              <w:spacing w:after="0"/>
              <w:rPr>
                <w:sz w:val="19"/>
                <w:szCs w:val="19"/>
                <w:color w:val="auto"/>
              </w:rPr>
            </w:pPr>
          </w:p>
        </w:tc>
        <w:tc>
          <w:tcPr>
            <w:tcW w:w="9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w:t>
            </w:r>
          </w:p>
        </w:tc>
      </w:tr>
      <w:tr>
        <w:trPr>
          <w:trHeight w:val="21"/>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9"/>
        </w:trPr>
        <w:tc>
          <w:tcPr>
            <w:tcW w:w="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5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117"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ind w:left="20" w:right="360" w:hanging="11"/>
        <w:spacing w:after="0" w:line="282" w:lineRule="auto"/>
        <w:rPr>
          <w:sz w:val="20"/>
          <w:szCs w:val="20"/>
          <w:color w:val="auto"/>
        </w:rPr>
      </w:pPr>
      <w:r>
        <w:rPr>
          <w:rFonts w:ascii="Times New Roman" w:cs="Times New Roman" w:eastAsia="Times New Roman" w:hAnsi="Times New Roman"/>
          <w:sz w:val="18"/>
          <w:szCs w:val="18"/>
          <w:color w:val="auto"/>
        </w:rPr>
        <w:t>Represents availability prior to giving effect to borrowings outstanding under our commercial paper program, which reduce available capacity under our credit facilities.</w:t>
      </w:r>
    </w:p>
    <w:p>
      <w:pPr>
        <w:spacing w:after="0" w:line="54" w:lineRule="exact"/>
        <w:rPr>
          <w:sz w:val="20"/>
          <w:szCs w:val="20"/>
          <w:color w:val="auto"/>
        </w:rPr>
      </w:pPr>
    </w:p>
    <w:p>
      <w:pPr>
        <w:ind w:left="20" w:right="240" w:hanging="11"/>
        <w:spacing w:after="0" w:line="282" w:lineRule="auto"/>
        <w:rPr>
          <w:sz w:val="20"/>
          <w:szCs w:val="20"/>
          <w:color w:val="auto"/>
        </w:rPr>
      </w:pPr>
      <w:r>
        <w:rPr>
          <w:rFonts w:ascii="Times New Roman" w:cs="Times New Roman" w:eastAsia="Times New Roman" w:hAnsi="Times New Roman"/>
          <w:sz w:val="18"/>
          <w:szCs w:val="18"/>
          <w:color w:val="auto"/>
        </w:rPr>
        <w:t>Available capacity under our senior unsecured revolving credit facility and senior secured hedged inventory facility was reduced by outstanding letters of credit issued under these facilities of less than $1 million and $34 million,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Excludes restricted cash of $4 million.</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5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August 2024, we amended our credit facility agreements to, among other things, extend the maturity dates of our senior secured hedged inventory facility and senior unsecured revolving credit facility by one year to August 2027 and August 2029, respectively, for each extending lender. The maturity dates with respect to the non-extending lender under our senior secured hedged inventory facility and senior unsecured revolving credit facility (which represents a commitment of approximately $64 million out of total commitments of $1.35 billion from all lenders under each facility) remain August 2026 and August 2027, respectively.</w:t>
      </w:r>
    </w:p>
    <w:p>
      <w:pPr>
        <w:spacing w:after="0" w:line="21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Usage of our credit facilities, and, in turn, our commercial paper program, is subject to ongoing compliance with covenants. The credit agreements for our revolving credit facilities (which impact our ability to access our commercial paper program because they provide the financial backstop that supports our short-term credit ratings) and the indentures governing our senior notes contain cross-default provisions. A default under our credit agreements or indentures would permit the lenders to accelerate the maturity of the outstanding debt. As long as we are in compliance with the provisions in our credit agreements, our ability to make distributions of available cash is not restricted. We were in compliance with the covenants contained in our credit agreements and indentures as of September 30, 2024.</w:t>
      </w:r>
    </w:p>
    <w:p>
      <w:pPr>
        <w:spacing w:after="0" w:line="21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believe that we have, and will continue to have, the ability to access our commercial paper program and credit facilities, which we use to meet our short-term cash needs. We believe that our financial position remains strong and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including actions by the Organization of Petroleum Exporting Countries (OPEC). A prolonged material decrease in our cash flows would likely produce an adverse effect on our borrowing capacity and cost of borrowing. Our borrowing capacity and borrowing costs are also impacted by our credit rating. See Item 1A. “Risk Factors” included in our 2023 Annual Report on Form 10-K for further discussion regarding risks that may impact our 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Liquidity Measures</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is defined as Net cash provided by operating activities, less Net cash provided by/(used in) investing activities, which primarily includes acquisition, investment and maintenance capital expenditures, investments in unconsolidated entities and the impact from the purchase and sale of linefill, net of proceeds from the sales of assets and further impacted by distributions to and contributions from noncontrolling interests and proceeds from the issuance of related party notes. Adjusted Free Cash Flow is further reduced by cash distributions paid to our preferred and common unitholders to arrive at Adjusted Free Cash Flow after Distributions. Also see “Results of Operations–Non-GAAP Financial Measures” above for more information about our non-GAAP measures.</w:t>
      </w:r>
    </w:p>
    <w:p>
      <w:pPr>
        <w:spacing w:after="0" w:line="21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reconciliation of the non-GAAP financial liquidity measures Adjusted Free Cash Flow and Adjusted Free Cash Flow after Distributions from Net Cash Provided by Operating Activities (in millions):</w:t>
      </w:r>
    </w:p>
    <w:p>
      <w:pPr>
        <w:spacing w:after="0" w:line="223"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80" w:type="dxa"/>
            <w:vAlign w:val="bottom"/>
            <w:tcBorders>
              <w:bottom w:val="single" w:sz="8" w:color="CCEEFF"/>
            </w:tcBorders>
          </w:tcPr>
          <w:p>
            <w:pPr>
              <w:spacing w:after="0"/>
              <w:rPr>
                <w:sz w:val="17"/>
                <w:szCs w:val="17"/>
                <w:color w:val="auto"/>
              </w:rPr>
            </w:pPr>
          </w:p>
        </w:tc>
        <w:tc>
          <w:tcPr>
            <w:tcW w:w="47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r>
      <w:tr>
        <w:trPr>
          <w:trHeight w:val="229"/>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cash provided by operating activities to adjusted free cash flow:</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6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cash used in investing activities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contributions from noncontrolling interests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86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distributions paid to noncontrolling interests </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30"/>
        </w:trPr>
        <w:tc>
          <w:tcPr>
            <w:tcW w:w="862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Proceeds from the issuance of related party notes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r>
      <w:tr>
        <w:trPr>
          <w:trHeight w:val="230"/>
        </w:trPr>
        <w:tc>
          <w:tcPr>
            <w:tcW w:w="862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distributions </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r>
      <w:tr>
        <w:trPr>
          <w:trHeight w:val="248"/>
        </w:trPr>
        <w:tc>
          <w:tcPr>
            <w:tcW w:w="862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Free Cash Flow after Distributions </w:t>
            </w:r>
            <w:r>
              <w:rPr>
                <w:rFonts w:ascii="Times New Roman" w:cs="Times New Roman" w:eastAsia="Times New Roman" w:hAnsi="Times New Roman"/>
                <w:sz w:val="23"/>
                <w:szCs w:val="23"/>
                <w:color w:val="auto"/>
                <w:vertAlign w:val="superscript"/>
              </w:rPr>
              <w:t>(4)</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880" w:type="dxa"/>
            <w:vAlign w:val="bottom"/>
            <w:tcBorders>
              <w:bottom w:val="single" w:sz="8" w:color="auto"/>
            </w:tcBorders>
          </w:tcPr>
          <w:p>
            <w:pPr>
              <w:spacing w:after="0"/>
              <w:rPr>
                <w:sz w:val="17"/>
                <w:szCs w:val="17"/>
                <w:color w:val="auto"/>
              </w:rPr>
            </w:pPr>
          </w:p>
        </w:tc>
        <w:tc>
          <w:tcPr>
            <w:tcW w:w="4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pacing w:after="0" w:line="117"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ind w:left="20" w:right="160" w:hanging="11"/>
        <w:spacing w:after="0" w:line="261" w:lineRule="auto"/>
        <w:rPr>
          <w:sz w:val="20"/>
          <w:szCs w:val="20"/>
          <w:color w:val="auto"/>
        </w:rPr>
      </w:pPr>
      <w:r>
        <w:rPr>
          <w:rFonts w:ascii="Times New Roman" w:cs="Times New Roman" w:eastAsia="Times New Roman" w:hAnsi="Times New Roman"/>
          <w:sz w:val="18"/>
          <w:szCs w:val="18"/>
          <w:color w:val="auto"/>
        </w:rPr>
        <w:t>PAA and certain Plains entities have issued promissory notes by and among such entities to facilitate financing. “Proceeds from the issuance of related party notes” has an equal and offsetting cash outflow associated with our investment in related party notes, which is included as a component of “Net cash used in investing activities.” See Note 8 to our Condensed Consolidated Financial Statements for additional information on our related party notes.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distributions paid during the period presented.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distributions paid to our preferred and common unitholders during the period presented.</w:t>
      </w:r>
    </w:p>
    <w:p>
      <w:pPr>
        <w:spacing w:after="0" w:line="63" w:lineRule="exact"/>
        <w:rPr>
          <w:sz w:val="20"/>
          <w:szCs w:val="20"/>
          <w:color w:val="auto"/>
        </w:rPr>
      </w:pPr>
    </w:p>
    <w:p>
      <w:pPr>
        <w:ind w:left="20" w:right="240" w:hanging="11"/>
        <w:spacing w:after="0" w:line="266" w:lineRule="auto"/>
        <w:rPr>
          <w:sz w:val="20"/>
          <w:szCs w:val="20"/>
          <w:color w:val="auto"/>
        </w:rPr>
      </w:pPr>
      <w:r>
        <w:rPr>
          <w:rFonts w:ascii="Times New Roman" w:cs="Times New Roman" w:eastAsia="Times New Roman" w:hAnsi="Times New Roman"/>
          <w:sz w:val="18"/>
          <w:szCs w:val="18"/>
          <w:color w:val="auto"/>
        </w:rPr>
        <w:t>Excess Adjusted Free Cash Flow after Distributions is retained to establish reserves for future distributions, capital expenditures, debt reduction and other partnership purposes. Adjusted Free Cash Flow after Distributions shortages, if any, may be funded from previously established reserves, cash on hand or from borrowings under our credit facilities or commercial paper program.</w:t>
      </w:r>
    </w:p>
    <w:p>
      <w:pPr>
        <w:spacing w:after="0" w:line="199"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2023 Annual Report on Form 10-K.</w:t>
      </w:r>
    </w:p>
    <w:p>
      <w:pPr>
        <w:spacing w:after="0" w:line="17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for the first nine months of 2024 and 2023 was $1.763 billion and $1.716 billion, respectively, and primarily resulted from earnings from our operations.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In addition to our operating needs, we also use cash for our investment capital projects, maintenance capital activities and acquisition activities. We fund these expenditures with cash generated by operating activities, financing activities and/or proceeds from asset sales. The following table summarizes our investment, maintenance and acquisition capital expenditures (in millions):</w:t>
      </w:r>
    </w:p>
    <w:p>
      <w:pPr>
        <w:spacing w:after="0" w:line="237"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80" w:type="dxa"/>
            <w:vAlign w:val="bottom"/>
            <w:tcBorders>
              <w:bottom w:val="single" w:sz="8" w:color="CCEEFF"/>
            </w:tcBorders>
          </w:tcPr>
          <w:p>
            <w:pPr>
              <w:spacing w:after="0"/>
              <w:rPr>
                <w:sz w:val="17"/>
                <w:szCs w:val="17"/>
                <w:color w:val="auto"/>
              </w:rPr>
            </w:pPr>
          </w:p>
        </w:tc>
        <w:tc>
          <w:tcPr>
            <w:tcW w:w="438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6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Investment capital </w:t>
            </w:r>
            <w:r>
              <w:rPr>
                <w:rFonts w:ascii="Times New Roman" w:cs="Times New Roman" w:eastAsia="Times New Roman" w:hAnsi="Times New Roman"/>
                <w:sz w:val="23"/>
                <w:szCs w:val="23"/>
                <w:color w:val="auto"/>
                <w:vertAlign w:val="superscript"/>
              </w:rPr>
              <w:t>(1) (2) (3)</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30"/>
        </w:trPr>
        <w:tc>
          <w:tcPr>
            <w:tcW w:w="82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Maintenance capital </w:t>
            </w:r>
            <w:r>
              <w:rPr>
                <w:rFonts w:ascii="Times New Roman" w:cs="Times New Roman" w:eastAsia="Times New Roman" w:hAnsi="Times New Roman"/>
                <w:sz w:val="23"/>
                <w:szCs w:val="23"/>
                <w:color w:val="auto"/>
                <w:vertAlign w:val="superscript"/>
              </w:rPr>
              <w:t>(1) (3)</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9"/>
        </w:trPr>
        <w:tc>
          <w:tcPr>
            <w:tcW w:w="82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Acquisition capital </w:t>
            </w:r>
            <w:r>
              <w:rPr>
                <w:rFonts w:ascii="Times New Roman" w:cs="Times New Roman" w:eastAsia="Times New Roman" w:hAnsi="Times New Roman"/>
                <w:sz w:val="23"/>
                <w:szCs w:val="23"/>
                <w:color w:val="auto"/>
                <w:vertAlign w:val="superscript"/>
              </w:rPr>
              <w:t>(2) (4)</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3"/>
        </w:trPr>
        <w:tc>
          <w:tcPr>
            <w:tcW w:w="38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9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0"/>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117" w:lineRule="exact"/>
        <w:rPr>
          <w:sz w:val="20"/>
          <w:szCs w:val="20"/>
          <w:color w:val="auto"/>
        </w:rPr>
      </w:pPr>
    </w:p>
    <w:p>
      <w:pPr>
        <w:jc w:val="both"/>
        <w:ind w:left="660" w:right="260" w:hanging="652"/>
        <w:spacing w:after="0" w:line="235" w:lineRule="auto"/>
        <w:tabs>
          <w:tab w:leader="none" w:pos="648"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w:t>
      </w:r>
    </w:p>
    <w:p>
      <w:pPr>
        <w:spacing w:after="0" w:line="91" w:lineRule="exact"/>
        <w:rPr>
          <w:rFonts w:ascii="Times New Roman" w:cs="Times New Roman" w:eastAsia="Times New Roman" w:hAnsi="Times New Roman"/>
          <w:sz w:val="23"/>
          <w:szCs w:val="23"/>
          <w:color w:val="auto"/>
          <w:vertAlign w:val="superscript"/>
        </w:rPr>
      </w:pPr>
    </w:p>
    <w:p>
      <w:pPr>
        <w:ind w:left="660" w:right="280" w:hanging="652"/>
        <w:spacing w:after="0" w:line="235" w:lineRule="auto"/>
        <w:tabs>
          <w:tab w:leader="none" w:pos="648"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Contributions to unconsolidated entities, accounted for under the equity method of accounting, that are related to investment capital projects by such entities are recognized in “Investment capital”. Acquisitions of initial investments or additional interests in unconsolidated entities are included in “Acquisition capital”.</w:t>
      </w:r>
    </w:p>
    <w:p>
      <w:pPr>
        <w:sectPr>
          <w:pgSz w:w="11900" w:h="16838" w:orient="portrait"/>
          <w:cols w:equalWidth="0" w:num="1">
            <w:col w:w="11240"/>
          </w:cols>
          <w:pgMar w:left="320" w:top="121" w:right="339" w:bottom="1440" w:gutter="0" w:footer="0" w:header="0"/>
        </w:sectPr>
      </w:pP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right="140" w:hanging="11"/>
        <w:spacing w:after="0" w:line="266" w:lineRule="auto"/>
        <w:rPr>
          <w:sz w:val="20"/>
          <w:szCs w:val="20"/>
          <w:color w:val="auto"/>
        </w:rPr>
      </w:pPr>
      <w:r>
        <w:rPr>
          <w:rFonts w:ascii="Times New Roman" w:cs="Times New Roman" w:eastAsia="Times New Roman" w:hAnsi="Times New Roman"/>
          <w:sz w:val="18"/>
          <w:szCs w:val="18"/>
          <w:color w:val="auto"/>
        </w:rPr>
        <w:t>Investment capital and maintenance capital, net to our 65% interest in the Permian JV, was approximately $232 million and $174 million, respectively, for the nine months ended September 30, 2024, and approximately $221 million and $158 million, respectively, for the nine months ended September 30, 2023.</w:t>
      </w:r>
    </w:p>
    <w:p>
      <w:pPr>
        <w:spacing w:after="0" w:line="68" w:lineRule="exact"/>
        <w:rPr>
          <w:sz w:val="20"/>
          <w:szCs w:val="20"/>
          <w:color w:val="auto"/>
        </w:rPr>
      </w:pPr>
    </w:p>
    <w:p>
      <w:pPr>
        <w:ind w:right="60" w:hanging="11"/>
        <w:spacing w:after="0" w:line="281" w:lineRule="auto"/>
        <w:rPr>
          <w:sz w:val="20"/>
          <w:szCs w:val="20"/>
          <w:color w:val="auto"/>
        </w:rPr>
      </w:pPr>
      <w:r>
        <w:rPr>
          <w:rFonts w:ascii="Times New Roman" w:cs="Times New Roman" w:eastAsia="Times New Roman" w:hAnsi="Times New Roman"/>
          <w:sz w:val="17"/>
          <w:szCs w:val="17"/>
          <w:color w:val="auto"/>
        </w:rPr>
        <w:t>Acquisition capital, net to our 65% interest in the Permian JV, was approximately $141 million and $192 million for the nine months ended September 30, 2024 and 2023, respectively. Acquisition capital for the 2024 period primarily included the acquisition of additional ownership interests in equity method investees. Acquisition capital for the 2023 period was mainly comprised of the Rattler Permian Transaction. See Note 7 to our Consolidated Financial Statements included in Part IV of our 2023 Annual Report on Form 10-K for information regarding this transaction.</w:t>
      </w:r>
    </w:p>
    <w:p>
      <w:pPr>
        <w:spacing w:after="0" w:line="189" w:lineRule="exact"/>
        <w:rPr>
          <w:sz w:val="20"/>
          <w:szCs w:val="20"/>
          <w:color w:val="auto"/>
        </w:rPr>
      </w:pPr>
    </w:p>
    <w:p>
      <w:pPr>
        <w:sectPr>
          <w:pgSz w:w="11900" w:h="16838" w:orient="portrait"/>
          <w:cols w:equalWidth="0" w:num="2">
            <w:col w:w="140" w:space="520"/>
            <w:col w:w="10580"/>
          </w:cols>
          <w:pgMar w:left="320" w:top="121" w:right="339" w:bottom="1440" w:gutter="0" w:footer="0" w:header="0"/>
          <w:type w:val="continuous"/>
        </w:sectPr>
      </w:pPr>
    </w:p>
    <w:p>
      <w:pPr>
        <w:ind w:right="1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2024 Investment and Maintenance Capital. </w:t>
      </w:r>
      <w:r>
        <w:rPr>
          <w:rFonts w:ascii="Times New Roman" w:cs="Times New Roman" w:eastAsia="Times New Roman" w:hAnsi="Times New Roman"/>
          <w:sz w:val="18"/>
          <w:szCs w:val="18"/>
          <w:color w:val="auto"/>
        </w:rPr>
        <w:t>Total investment capital for the year ending December 31, 2024 is projected to be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$455 million ($360 million net to our interest). Approximately half of our projected investment capital expenditures are expected to be invested in the Permian JV assets. Additionally, maintenance capital for 2024 is projected to be approximately $270 million ($250 million net to our interest). We expect to fund our 2024 investment and maintenance capital expenditures primarily with retained cash flow.</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Divestitures</w:t>
      </w:r>
    </w:p>
    <w:p>
      <w:pPr>
        <w:spacing w:after="0" w:line="256"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Proceeds from the sale of assets have generally been used to fund our investment capital projects and reduce debt levels. The following table summarizes the proceeds received during the first nine months of 2024 and 2023 from sales of assets (in millions):</w:t>
      </w:r>
    </w:p>
    <w:p>
      <w:pPr>
        <w:spacing w:after="0" w:line="223"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13335</wp:posOffset>
            </wp:positionV>
            <wp:extent cx="16802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4" w:lineRule="exact"/>
        <w:rPr>
          <w:sz w:val="20"/>
          <w:szCs w:val="20"/>
          <w:color w:val="auto"/>
        </w:rPr>
      </w:pPr>
    </w:p>
    <w:p>
      <w:pPr>
        <w:ind w:left="9080"/>
        <w:spacing w:after="0"/>
        <w:tabs>
          <w:tab w:leader="none" w:pos="104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p>
      <w:pPr>
        <w:ind w:left="40"/>
        <w:spacing w:after="0"/>
        <w:tabs>
          <w:tab w:leader="none" w:pos="8600" w:val="left"/>
          <w:tab w:leader="none" w:pos="9680" w:val="left"/>
          <w:tab w:leader="none" w:pos="9960" w:val="left"/>
          <w:tab w:leader="none" w:pos="10880" w:val="left"/>
        </w:tabs>
        <w:rPr>
          <w:sz w:val="20"/>
          <w:szCs w:val="20"/>
          <w:color w:val="auto"/>
        </w:rPr>
      </w:pPr>
      <w:r>
        <w:rPr>
          <w:rFonts w:ascii="Times New Roman" w:cs="Times New Roman" w:eastAsia="Times New Roman" w:hAnsi="Times New Roman"/>
          <w:sz w:val="18"/>
          <w:szCs w:val="18"/>
          <w:color w:val="auto"/>
        </w:rPr>
        <w:t xml:space="preserve">Proceeds from divestitures </w:t>
      </w:r>
      <w:r>
        <w:rPr>
          <w:rFonts w:ascii="Times New Roman" w:cs="Times New Roman" w:eastAsia="Times New Roman" w:hAnsi="Times New Roman"/>
          <w:sz w:val="23"/>
          <w:szCs w:val="23"/>
          <w:color w:val="auto"/>
          <w:vertAlign w:val="superscript"/>
        </w:rPr>
        <w:t>(1)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w:t>
        <w:tab/>
        <w:t>$</w:t>
      </w:r>
      <w:r>
        <w:rPr>
          <w:sz w:val="20"/>
          <w:szCs w:val="20"/>
          <w:color w:val="auto"/>
        </w:rPr>
        <w:tab/>
      </w:r>
      <w:r>
        <w:rPr>
          <w:rFonts w:ascii="Times New Roman" w:cs="Times New Roman" w:eastAsia="Times New Roman" w:hAnsi="Times New Roman"/>
          <w:sz w:val="17"/>
          <w:szCs w:val="17"/>
          <w:color w:val="auto"/>
        </w:rPr>
        <w:t>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24599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69" w:lineRule="exact"/>
        <w:rPr>
          <w:sz w:val="20"/>
          <w:szCs w:val="20"/>
          <w:color w:val="auto"/>
        </w:rPr>
      </w:pPr>
    </w:p>
    <w:p>
      <w:pPr>
        <w:ind w:left="660" w:right="120" w:hanging="652"/>
        <w:spacing w:after="0" w:line="239" w:lineRule="auto"/>
        <w:tabs>
          <w:tab w:leader="none" w:pos="648"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proceeds, including working capital adjustments, net of transaction costs. The proceeds from divestitures for the nine months ended September 30, 2023 were primarily from the sale of our 21% non-operated/undivided joint interest in the Keyera Fort Saskatchewan facility in February 2023. See Note 7 to our Consolidated Financial Statements included in Part IV of our 2023 Annual Report on Form 10-K for additional discussion of this transaction.</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Ongoing Activities Related to Strategic Transactions</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third-party or we may negotiate a transaction with one or a limited number of potential sellers (in the case of an acquisition) or buyers (in the case of a divestiture). Such transactions could have a material effect on our financial condition and results of operations.</w:t>
      </w:r>
    </w:p>
    <w:p>
      <w:pPr>
        <w:spacing w:after="0" w:line="21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Our Business—Acquisitions and divestitures involve risks that may adversely affect our business” included in our 2023 Annual Report on Form 10-K.</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Related Party Promissory Notes</w:t>
      </w:r>
    </w:p>
    <w:p>
      <w:pPr>
        <w:spacing w:after="0" w:line="256" w:lineRule="exact"/>
        <w:rPr>
          <w:sz w:val="20"/>
          <w:szCs w:val="20"/>
          <w:color w:val="auto"/>
        </w:rPr>
      </w:pPr>
    </w:p>
    <w:p>
      <w:pPr>
        <w:jc w:val="both"/>
        <w:ind w:right="260" w:firstLine="648"/>
        <w:spacing w:after="0" w:line="261" w:lineRule="auto"/>
        <w:rPr>
          <w:sz w:val="20"/>
          <w:szCs w:val="20"/>
          <w:color w:val="auto"/>
        </w:rPr>
      </w:pPr>
      <w:r>
        <w:rPr>
          <w:rFonts w:ascii="Times New Roman" w:cs="Times New Roman" w:eastAsia="Times New Roman" w:hAnsi="Times New Roman"/>
          <w:sz w:val="18"/>
          <w:szCs w:val="18"/>
          <w:color w:val="auto"/>
        </w:rPr>
        <w:t>In July 2024, we and certain Plains entities issued promissory notes to facilitate financing. The cash outflow associated with our investment in CAD$865 million ($629 million) of notes has an equal and offsetting cash inflow associated with proceeds from our issuance of notes for the same face value amount, which is included as a component of financing activities. See Note 8 to our Condensed Consolidated Financial Statements for additional information on our related party notes.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Borrowings and Repayments Under Credit Agreements</w:t>
      </w:r>
    </w:p>
    <w:p>
      <w:pPr>
        <w:spacing w:after="0" w:line="25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we had net repayments under our commercial paper program of $433 million. The net repayments resulted primarily from cash flow from operating activities and proceeds from the issuance of $650 million, 5.70% senior notes in June 2024, which offset borrowings during the period related to funding needs for capital investments, inventory purchases and other general partnership purposes.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had no net borrowings or repayments under our credit facilities or commercial paper program during the nine months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25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June 2024, we completed the offering of $650 million, 5.70% senior notes due September 2034 at a public offering price of 99.953%. Interest payments are due on March 15 and September 15 of each year, commencing on March 15, 2025. We used the net proceeds from this offering of</w:t>
      </w: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$643 million, after deducting the underwriting discount and offering expenses, along with other cash on hand, to repay on November 1, 2024 the principal amount of our $750 million, 3.60% senior notes due November 2024. Prior to such repayment, we used a portion of the net proceeds from the offering to repay outstanding borrowings under our commercial paper program and for general partnership purposes.</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Common Equity Repurchase Program</w:t>
      </w:r>
    </w:p>
    <w:p>
      <w:pPr>
        <w:spacing w:after="0" w:line="25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were no repurchases under the Common Equity Repurchase Program (the “Program”) during the nine months ended September 30, 2024 or 2023. The remaining available capacity under the Program as of September 30, 2024 was $198 million.</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Registration Statements</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periodically access the capital markets for both equity and debt financing. We have filed with the SEC a universal shelf registration statement that, subject to effectiveness at the time of use, allows us to issue up to a specified amount of debt or equity securities (“Traditional Shelf”), under which we had approximately $1.1 billion of unsold securities available at September 30, 2024. We did not conduct any offerings under our Traditional Shelf during the nine months ended September 30, 2024. We also have access to a universal shelf registration statement (“WKSI Shelf”), which provides us with the ability to offer and sell an unlimited amount of debt and equity securities, subject to market conditions and our capital needs. The offering of $650 million, 5.70% senior notes in June 2024 was conducted under our WKSI Shelf.</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Distributions to Our Unitholders</w:t>
      </w:r>
    </w:p>
    <w:p>
      <w:pPr>
        <w:spacing w:after="0" w:line="254" w:lineRule="exact"/>
        <w:rPr>
          <w:sz w:val="20"/>
          <w:szCs w:val="20"/>
          <w:color w:val="auto"/>
        </w:rPr>
      </w:pPr>
    </w:p>
    <w:p>
      <w:pPr>
        <w:ind w:right="3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Series A preferred unitholders. </w:t>
      </w:r>
      <w:r>
        <w:rPr>
          <w:rFonts w:ascii="Times New Roman" w:cs="Times New Roman" w:eastAsia="Times New Roman" w:hAnsi="Times New Roman"/>
          <w:sz w:val="18"/>
          <w:szCs w:val="18"/>
          <w:color w:val="auto"/>
        </w:rPr>
        <w:t>On November 14, 2024, we will pay a quarterly cash distribution of approximately $0.615 per unit to Series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unitholders of record at the close of business on October 31, 2024 for the period from July 1, 2024 through September 30, 2024.</w:t>
      </w:r>
    </w:p>
    <w:p>
      <w:pPr>
        <w:spacing w:after="0" w:line="185" w:lineRule="exact"/>
        <w:rPr>
          <w:sz w:val="20"/>
          <w:szCs w:val="20"/>
          <w:color w:val="auto"/>
        </w:rPr>
      </w:pPr>
    </w:p>
    <w:p>
      <w:pPr>
        <w:ind w:right="3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Series B preferred unitholders. </w:t>
      </w:r>
      <w:r>
        <w:rPr>
          <w:rFonts w:ascii="Times New Roman" w:cs="Times New Roman" w:eastAsia="Times New Roman" w:hAnsi="Times New Roman"/>
          <w:sz w:val="18"/>
          <w:szCs w:val="18"/>
          <w:color w:val="auto"/>
        </w:rPr>
        <w:t>On November 15, 2024, we will pay a quarterly cash distribution of approximately $24.25 per unit to Series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unitholders of record at the close of business on November 1, 2024 for the period from August 15, 2024 through November 14, 2024.</w:t>
      </w:r>
    </w:p>
    <w:p>
      <w:pPr>
        <w:spacing w:after="0" w:line="185" w:lineRule="exact"/>
        <w:rPr>
          <w:sz w:val="20"/>
          <w:szCs w:val="20"/>
          <w:color w:val="auto"/>
        </w:rPr>
      </w:pPr>
    </w:p>
    <w:p>
      <w:pPr>
        <w:ind w:right="2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Common Unitholders</w:t>
      </w:r>
      <w:r>
        <w:rPr>
          <w:rFonts w:ascii="Times New Roman" w:cs="Times New Roman" w:eastAsia="Times New Roman" w:hAnsi="Times New Roman"/>
          <w:sz w:val="18"/>
          <w:szCs w:val="18"/>
          <w:color w:val="auto"/>
        </w:rPr>
        <w:t>. On November 14, 2024, we will pay a quarterly cash distribution of $0.3175 per common unit ($1.27 per unit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annualized basis) to common unitholders of record at the close of business on October 31, 2024 for the period from July 1, 2024 through September 30, 2024, which is unchanged from the distribution per unit paid in August of 2024.</w:t>
      </w:r>
    </w:p>
    <w:p>
      <w:pPr>
        <w:spacing w:after="0" w:line="20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See Note 6 to our Condensed Consolidated Financial Statements for details of distributions paid during or pertaining to the first nine months of 2024, including distributions to our preferred unitholders.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Distributions to Noncontrolling Interests</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Distributions to noncontrolling interests represent amounts paid on interests in consolidated entities that are not owned by us. As of September 30, 2024, noncontrolling interests in our subsidiaries consisted of (i) a 35% interest in the Permian JV, (ii) a 30% interest in Cactus II and (iii) a 33% interest in Red River. See Note 6 to our Condensed Consolidated Financial Statements for details of distributions paid to noncontrolling interests during the nine months ended September 30, 2024.</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Related Party Promissory Notes</w:t>
      </w:r>
    </w:p>
    <w:p>
      <w:pPr>
        <w:spacing w:after="0" w:line="256"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In July 2024, we and certain Plains entities issued promissory notes to facilitate financing. The cash inflow associated with proceeds from our issuance of CAD$865 million ($629 million) of notes has an equal and offsetting cash outflow associated with our investment in notes for the same face value amount, which is included as a component of investing activities. See Note 8 to our Condensed Consolidated Financial Statements for additional information on our related party notes.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 discussion of contingencies that may impact us, see Note 9 to our Condensed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7"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Purchase Obligations. </w:t>
      </w:r>
      <w:r>
        <w:rPr>
          <w:rFonts w:ascii="Times New Roman" w:cs="Times New Roman" w:eastAsia="Times New Roman" w:hAnsi="Times New Roman"/>
          <w:sz w:val="18"/>
          <w:szCs w:val="18"/>
          <w:color w:val="auto"/>
        </w:rPr>
        <w:t>In the ordinary course of doing business, we purchase crude oil and NGL from third parties under contracts, the majority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range in term from thirty-day evergreen to five years, with a limited number of contracts with remaining terms extending up to 10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our best estimate of the amount and timing of these payments as of September 30, 2024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88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8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3"/>
                <w:szCs w:val="13"/>
                <w:color w:val="auto"/>
              </w:rPr>
            </w:pPr>
          </w:p>
        </w:tc>
        <w:tc>
          <w:tcPr>
            <w:tcW w:w="86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3"/>
                <w:szCs w:val="13"/>
                <w:color w:val="auto"/>
              </w:rPr>
            </w:pPr>
          </w:p>
        </w:tc>
        <w:tc>
          <w:tcPr>
            <w:tcW w:w="8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2029 and</w:t>
            </w:r>
          </w:p>
        </w:tc>
        <w:tc>
          <w:tcPr>
            <w:tcW w:w="220" w:type="dxa"/>
            <w:vAlign w:val="bottom"/>
          </w:tcPr>
          <w:p>
            <w:pPr>
              <w:spacing w:after="0"/>
              <w:rPr>
                <w:sz w:val="13"/>
                <w:szCs w:val="13"/>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20" w:type="dxa"/>
            <w:vAlign w:val="bottom"/>
            <w:tcBorders>
              <w:top w:val="single" w:sz="8" w:color="CCEEFF"/>
            </w:tcBorders>
            <w:gridSpan w:val="2"/>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Crude oil, NGL and other purchases </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7,062</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22,115</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19,623</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17,408</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14,812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38,225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119,245</w:t>
            </w:r>
          </w:p>
        </w:tc>
        <w:tc>
          <w:tcPr>
            <w:tcW w:w="0" w:type="dxa"/>
            <w:vAlign w:val="bottom"/>
          </w:tcPr>
          <w:p>
            <w:pPr>
              <w:spacing w:after="0"/>
              <w:rPr>
                <w:sz w:val="1"/>
                <w:szCs w:val="1"/>
                <w:color w:val="auto"/>
              </w:rPr>
            </w:pPr>
          </w:p>
        </w:tc>
      </w:tr>
      <w:tr>
        <w:trPr>
          <w:trHeight w:val="175"/>
        </w:trPr>
        <w:tc>
          <w:tcPr>
            <w:tcW w:w="3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60" w:right="120" w:hanging="652"/>
        <w:spacing w:after="0" w:line="235" w:lineRule="auto"/>
        <w:tabs>
          <w:tab w:leader="none" w:pos="648"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are primarily based on estimated volumes and market prices based on average activity during September 2024.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79"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Letters of Credit. </w:t>
      </w:r>
      <w:r>
        <w:rPr>
          <w:rFonts w:ascii="Times New Roman" w:cs="Times New Roman" w:eastAsia="Times New Roman" w:hAnsi="Times New Roman"/>
          <w:sz w:val="18"/>
          <w:szCs w:val="18"/>
          <w:color w:val="auto"/>
        </w:rPr>
        <w:t>In connection with our merchant activities, we provide certain suppliers with irrevocable standby letters of credit to secure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September 30, 2024 and December 31, 2023, we had outstanding letters of credit of approximately $108 million and $205 million,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 to our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14" w:lineRule="exact"/>
        <w:rPr>
          <w:sz w:val="20"/>
          <w:szCs w:val="20"/>
          <w:color w:val="auto"/>
        </w:rPr>
      </w:pPr>
    </w:p>
    <w:p>
      <w:pPr>
        <w:ind w:left="980" w:right="40" w:hanging="324"/>
        <w:spacing w:after="0" w:line="258"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75" w:lineRule="exact"/>
        <w:rPr>
          <w:rFonts w:ascii="Times New Roman" w:cs="Times New Roman" w:eastAsia="Times New Roman" w:hAnsi="Times New Roman"/>
          <w:sz w:val="18"/>
          <w:szCs w:val="18"/>
          <w:color w:val="auto"/>
        </w:rPr>
      </w:pPr>
    </w:p>
    <w:p>
      <w:pPr>
        <w:ind w:left="980" w:right="100" w:hanging="324"/>
        <w:spacing w:after="0" w:line="256"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global crude oil demand and/or crude oil prices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79"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and other factors affecting demand for various grades of crude oil and NGL and resulting changes in pricing conditions or transportation throughput requirements;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and NGL market structure, grade differentials and volatility (or lack thereof);</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right="240" w:hanging="324"/>
        <w:spacing w:after="0" w:line="266"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67"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litigation or other events that are not covered by an indemnity, insurance or existing reserves;</w:t>
      </w:r>
    </w:p>
    <w:p>
      <w:pPr>
        <w:spacing w:after="0" w:line="117"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 (including wildfires and drought);</w:t>
      </w:r>
    </w:p>
    <w:p>
      <w:pPr>
        <w:spacing w:after="0" w:line="53" w:lineRule="exact"/>
        <w:rPr>
          <w:rFonts w:ascii="Times New Roman" w:cs="Times New Roman" w:eastAsia="Times New Roman" w:hAnsi="Times New Roman"/>
          <w:sz w:val="18"/>
          <w:szCs w:val="18"/>
          <w:color w:val="auto"/>
        </w:rPr>
      </w:pPr>
    </w:p>
    <w:p>
      <w:pPr>
        <w:ind w:left="980" w:hanging="324"/>
        <w:spacing w:after="0" w:line="261"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legislation, governmental regulations, executive orders, trade policies, accounting standards and statements, and related interpretations that (i) prohibit, restrict or regulate the development of oil and gas resources and the related infrastructure on lands dedicated to or served by our pipelines or (ii) negatively impact our ability to develop, operate or repair midstream assets;</w:t>
      </w:r>
    </w:p>
    <w:p>
      <w:pPr>
        <w:spacing w:after="0" w:line="71"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development of natural gas or other infrastructure and its impact on expected crude oil production growth in the Permian Basin;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 inability to attract and retain new talent;</w:t>
      </w:r>
    </w:p>
    <w:p>
      <w:pPr>
        <w:spacing w:after="0" w:line="117"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futures markets for crude oil, NGL and other petroleum products, which may impair our ability to execute our commercial or hedging strategies;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credit ratings and ability to receive open credit from our suppliers and trade counterparties;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consummate, acquisitions, divestitures, joint ventures or other strategic opportunities;</w:t>
      </w:r>
    </w:p>
    <w:p>
      <w:pPr>
        <w:spacing w:after="0" w:line="117" w:lineRule="exact"/>
        <w:rPr>
          <w:rFonts w:ascii="Times New Roman" w:cs="Times New Roman" w:eastAsia="Times New Roman" w:hAnsi="Times New Roman"/>
          <w:sz w:val="18"/>
          <w:szCs w:val="18"/>
          <w:color w:val="auto"/>
        </w:rPr>
      </w:pPr>
    </w:p>
    <w:p>
      <w:pPr>
        <w:ind w:left="980" w:right="340" w:hanging="324"/>
        <w:spacing w:after="0" w:line="258"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75"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67"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costs and expenses related to unexpected or unplanned capital or maintenance expenditures, third-party claims or other factors;</w:t>
      </w:r>
    </w:p>
    <w:p>
      <w:pPr>
        <w:spacing w:after="0" w:line="53"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investment capital projects, whether due to permitting delays, permitting withdrawals or other factors;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hanging="324"/>
        <w:spacing w:after="0" w:line="266"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amplification of other risks caused by volatile or closed financial markets, capital constraints, liquidity concerns and inflation;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or availability of third-party assets upon which our operations depend and over which we have little or no control;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 to the United States dollar;</w:t>
      </w:r>
    </w:p>
    <w:p>
      <w:pPr>
        <w:spacing w:after="0" w:line="117"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under-utilization of our assets and facilities;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assets; and</w:t>
      </w:r>
    </w:p>
    <w:p>
      <w:pPr>
        <w:spacing w:after="0" w:line="117"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as well as in the processing, transportation, fractionation, storage and marketing of NGL.</w:t>
      </w:r>
    </w:p>
    <w:p>
      <w:pPr>
        <w:spacing w:after="0" w:line="162"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Other factors described herein, as well as factors that are unknown or unpredictable, could also have a material adverse effect on future results. Please read “Risk Factors” discussed in Item 1A of our 2023 Annual Report on Form 10-K. Except as required by applicable securities laws, we do not intend to update these forward-looking statements and information.</w:t>
      </w: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exposed to various market risks, including commodity price risk and interest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use derivative instruments to hedge price risk associated with the following commodities:</w:t>
      </w:r>
    </w:p>
    <w:p>
      <w:pPr>
        <w:spacing w:after="0" w:line="223"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Crude oil</w:t>
      </w:r>
    </w:p>
    <w:p>
      <w:pPr>
        <w:spacing w:after="0" w:line="227" w:lineRule="exact"/>
        <w:rPr>
          <w:rFonts w:ascii="Times New Roman" w:cs="Times New Roman" w:eastAsia="Times New Roman" w:hAnsi="Times New Roman"/>
          <w:sz w:val="18"/>
          <w:szCs w:val="18"/>
          <w:i w:val="1"/>
          <w:iCs w:val="1"/>
          <w:color w:val="auto"/>
        </w:rPr>
      </w:pPr>
    </w:p>
    <w:p>
      <w:pPr>
        <w:ind w:left="1300" w:right="380"/>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utilize crude oil derivatives to hedge commodity price risk inherent in our pipeline, terminalling and merchant activities. Our objectives for these derivatives include hedging anticipated purchases and sales, stored inventory and basis differentials. We manage these exposures with various instruments including futures, forwards, swaps and options.</w:t>
      </w:r>
    </w:p>
    <w:p>
      <w:pPr>
        <w:spacing w:after="0" w:line="200"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Natural gas</w:t>
      </w:r>
    </w:p>
    <w:p>
      <w:pPr>
        <w:spacing w:after="0" w:line="227" w:lineRule="exact"/>
        <w:rPr>
          <w:rFonts w:ascii="Times New Roman" w:cs="Times New Roman" w:eastAsia="Times New Roman" w:hAnsi="Times New Roman"/>
          <w:sz w:val="18"/>
          <w:szCs w:val="18"/>
          <w:i w:val="1"/>
          <w:iCs w:val="1"/>
          <w:color w:val="auto"/>
        </w:rPr>
      </w:pPr>
    </w:p>
    <w:p>
      <w:pPr>
        <w:ind w:left="1300" w:right="36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utilize natural gas derivatives to hedge commodity price risk inherent in our natural gas processing assets (natural gas purchase component of the frac spread). Additionally, we utilize natural gas derivatives to hedge anticipated operational fuel gas requirements related to our natural gas processing and NGL fractionation plants. We manage these exposures with various instruments including futures, swaps and options.</w:t>
      </w:r>
    </w:p>
    <w:p>
      <w:pPr>
        <w:spacing w:after="0" w:line="177"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NGL and other</w:t>
      </w:r>
    </w:p>
    <w:p>
      <w:pPr>
        <w:spacing w:after="0" w:line="227" w:lineRule="exact"/>
        <w:rPr>
          <w:rFonts w:ascii="Times New Roman" w:cs="Times New Roman" w:eastAsia="Times New Roman" w:hAnsi="Times New Roman"/>
          <w:sz w:val="18"/>
          <w:szCs w:val="18"/>
          <w:color w:val="auto"/>
        </w:rPr>
      </w:pPr>
    </w:p>
    <w:p>
      <w:pPr>
        <w:ind w:left="1300" w:right="2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NGL derivatives, primarily propane and butane derivatives, to hedge commodity price risk inherent in our commercial activities, including the sale of the individual specification products extracted in our natural gas processing assets (sale of specification NGL products component of the frac spread), as well as other net sales of NGL inventory, held mainly at our owned NGL storage terminals. Our objectives for these derivatives include hedging anticipated purchases and sales and stored inventory. We manage these exposures with various instruments including futures, forwards, swaps and options.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7 to our Condensed Consolidated Financial Statements for further discussion regarding our hedging strategies and objectives.</w:t>
      </w:r>
    </w:p>
    <w:p>
      <w:pPr>
        <w:spacing w:after="0" w:line="252"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our commodity derivatives and the change in fair value as of September 30, 2024 that would be expected from a 10% price increase or decrease is shown in the table below (in millions):</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Effect of 10%</w:t>
            </w:r>
          </w:p>
        </w:tc>
        <w:tc>
          <w:tcPr>
            <w:tcW w:w="180" w:type="dxa"/>
            <w:vAlign w:val="bottom"/>
          </w:tcPr>
          <w:p>
            <w:pPr>
              <w:spacing w:after="0"/>
              <w:rPr>
                <w:sz w:val="13"/>
                <w:szCs w:val="13"/>
                <w:color w:val="auto"/>
              </w:rPr>
            </w:pPr>
          </w:p>
        </w:tc>
        <w:tc>
          <w:tcPr>
            <w:tcW w:w="124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Effect of 10%</w:t>
            </w: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Price Increase</w:t>
            </w:r>
          </w:p>
        </w:tc>
        <w:tc>
          <w:tcPr>
            <w:tcW w:w="180" w:type="dxa"/>
            <w:vAlign w:val="bottom"/>
          </w:tcPr>
          <w:p>
            <w:pPr>
              <w:spacing w:after="0"/>
              <w:rPr>
                <w:sz w:val="16"/>
                <w:szCs w:val="16"/>
                <w:color w:val="auto"/>
              </w:rPr>
            </w:pPr>
          </w:p>
        </w:tc>
        <w:tc>
          <w:tcPr>
            <w:tcW w:w="124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Price Decrease</w:t>
            </w:r>
          </w:p>
        </w:tc>
        <w:tc>
          <w:tcPr>
            <w:tcW w:w="0" w:type="dxa"/>
            <w:vAlign w:val="bottom"/>
          </w:tcPr>
          <w:p>
            <w:pPr>
              <w:spacing w:after="0"/>
              <w:rPr>
                <w:sz w:val="1"/>
                <w:szCs w:val="1"/>
                <w:color w:val="auto"/>
              </w:rPr>
            </w:pPr>
          </w:p>
        </w:tc>
      </w:tr>
      <w:tr>
        <w:trPr>
          <w:trHeight w:val="22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1060" w:type="dxa"/>
            <w:vAlign w:val="bottom"/>
            <w:tcBorders>
              <w:top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10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 and other</w:t>
            </w:r>
          </w:p>
        </w:tc>
        <w:tc>
          <w:tcPr>
            <w:tcW w:w="10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fair value</w:t>
            </w: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Our use of variable rate debt and any forecasted issuances of fixed rate debt expose us to interest rate risk. Therefore, from time to time,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interest rate derivatives to hedge interest rate risk associated with anticipated interest payments and, in certain cases, outstanding debt instruments. All of our senior notes are fixed rate notes and thus are not subject to interest rate risk. We did not have any variable rate debt outstanding at September 30, 2024. The average interest rate on variable rate debt that was outstanding during the nine months ended September 30, 2024 was 5.8%, based upon rates in effect during such period. The fair value of our interest rate derivatives was a net asset of $7 million as of September 30, 2024. A 10% increase in the forward SOFR curve as of September 30, 2024 would have resulted in an increase of $12 million to the fair value of our interest rate derivatives. A 10% decrease in the forward SOFR curve as of September 30, 2024 would have resulted in a decrease of $12 million to the fair value of our interest rate derivatives. See Note 7 to our Condensed Consolidated Financial Statements for a discussion of our interest rate risk hedging activities.</w:t>
      </w:r>
    </w:p>
    <w:p>
      <w:pPr>
        <w:spacing w:after="0" w:line="212"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Series B Preferred Units</w:t>
      </w:r>
      <w:r>
        <w:rPr>
          <w:rFonts w:ascii="Times New Roman" w:cs="Times New Roman" w:eastAsia="Times New Roman" w:hAnsi="Times New Roman"/>
          <w:sz w:val="18"/>
          <w:szCs w:val="18"/>
          <w:color w:val="auto"/>
        </w:rPr>
        <w:t>. Distributions on the Series B preferred units accumulate and are payable quarterly in arrears on the 15th day of February,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August and November. Distributions on the Series B preferred units accumulate based on the applicable three-month SOFR, plus certain adjustments. Based upon the Series B preferred units outstanding at September 30, 2024 and the liquidation preference of $1,000 per unit, a change of 100 basis points in interest rates would increase or decrease the annual distributions on the Series B preferred units by approximately $8 million. See Note 11 to our Consolidated Financial Statements included in Part IV of our 2023 Annual Report on Form 10-K for additional information regarding our Series B preferred unit distributions.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Applicable SEC rules require an evaluation of the effectiveness of our DCP. Management, under the supervision and with the participation of our Chief Executive Officer and Chief Financial Officer, has evaluated the effectiveness of our DCP as of September 30, 2024, the end of the period covered by this report, and, based on such evaluation, our Chief Executive Officer and Chief Financial Officer have concluded that our DCP is effective.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information concerning our DCP, we are required to disclose certain changes in internal control over financial reporting. There have been no changes in our internal control over financial reporting during the third quarter of 2024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Certifications</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included in Note 9 to our Condensed Consolidated Financial Statements, and is incorporated herein by reference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For a discussion of our risk factors, see Item 1A. of our 2023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Unregistered Securities</w:t>
      </w:r>
    </w:p>
    <w:p>
      <w:pPr>
        <w:spacing w:after="0" w:line="25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Omnibus Agreement, entered into as part of the Simplification Transactions, which closed on November 15, 2016, provides for the mechanics by which (i) the total number of PAGP’s outstanding Class A shares will equal the number of AAP units held by PAGP, and (ii) the total number of our common units held by AAP will equal the sum of the number of outstanding Class A units of AAP (“AAP units”) and the number of AAP units that are issuable to the holders of vested and earned Class B units of AAP (“AAP Management Units”). As such, we are obligated to issue common units to AAP in connection with PAGP’s issuance of Class A shares upon PAGP LTIP award vestings. During the three months ended September 30, 2024, we issued 202,002 common units to AAP in connection with PAGP LTIP award vestings. This issuance was exempt from the registration requirements of the Securities Act of 1933, as amended, pursuant to Section 4(a)(2) thereof.</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30, 2024, none of our directors or officers (as defined in Rule 16a-1(f) of the Securities Exchange Act of 1934) adopted or terminated a Rule 10b5-1 trading arrangement or non-Rule 10b5-1 trading arrangement (as such terms are defined in Item 408 of Regulation S-K).</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2" w:lineRule="exact"/>
        <w:rPr>
          <w:sz w:val="20"/>
          <w:szCs w:val="20"/>
          <w:color w:val="auto"/>
        </w:rPr>
      </w:pPr>
    </w:p>
    <w:p>
      <w:pPr>
        <w:ind w:left="200"/>
        <w:spacing w:after="0"/>
        <w:tabs>
          <w:tab w:leader="none" w:pos="604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0628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52" w:lineRule="exact"/>
        <w:rPr>
          <w:sz w:val="20"/>
          <w:szCs w:val="20"/>
          <w:color w:val="auto"/>
        </w:rPr>
      </w:pPr>
    </w:p>
    <w:p>
      <w:pPr>
        <w:ind w:left="480"/>
        <w:spacing w:after="0"/>
        <w:tabs>
          <w:tab w:leader="none" w:pos="1360" w:val="left"/>
          <w:tab w:leader="none" w:pos="17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92">
        <w:r>
          <w:rPr>
            <w:rFonts w:ascii="Times New Roman" w:cs="Times New Roman" w:eastAsia="Times New Roman" w:hAnsi="Times New Roman"/>
            <w:sz w:val="17"/>
            <w:szCs w:val="17"/>
            <w:u w:val="single" w:color="auto"/>
            <w:color w:val="0000FF"/>
          </w:rPr>
          <w:t>Seventh Amended and Restated Agreement of Limited Partnership of Plains All American Pipeline, L.P., dated as of October 10,</w:t>
        </w:r>
      </w:hyperlink>
    </w:p>
    <w:p>
      <w:pPr>
        <w:ind w:left="1760"/>
        <w:spacing w:after="0"/>
        <w:rPr>
          <w:rFonts w:ascii="Times New Roman" w:cs="Times New Roman" w:eastAsia="Times New Roman" w:hAnsi="Times New Roman"/>
          <w:sz w:val="18"/>
          <w:szCs w:val="18"/>
          <w:u w:val="single" w:color="auto"/>
          <w:color w:val="0000FF"/>
        </w:rPr>
      </w:pPr>
      <w:hyperlink r:id="rId92">
        <w:r>
          <w:rPr>
            <w:rFonts w:ascii="Times New Roman" w:cs="Times New Roman" w:eastAsia="Times New Roman" w:hAnsi="Times New Roman"/>
            <w:sz w:val="18"/>
            <w:szCs w:val="18"/>
            <w:u w:val="single" w:color="auto"/>
            <w:color w:val="0000FF"/>
          </w:rPr>
          <w:t>2017 (incorporated by reference to Exhibit 3.1 to our Current Report on Form 8-K filed October 12, 2017).</w:t>
        </w:r>
      </w:hyperlink>
    </w:p>
    <w:p>
      <w:pPr>
        <w:spacing w:after="0" w:line="124" w:lineRule="exact"/>
        <w:rPr>
          <w:sz w:val="20"/>
          <w:szCs w:val="20"/>
          <w:color w:val="auto"/>
        </w:rPr>
      </w:pPr>
    </w:p>
    <w:p>
      <w:pPr>
        <w:ind w:left="1380" w:right="60" w:hanging="1263"/>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u w:val="single" w:color="auto"/>
            <w:color w:val="0000FF"/>
          </w:rPr>
          <w:t>Third Amended and Restated Agreement of Limited Partnership of Plains Marketing, L.P. dated as of April 1, 2004 (incorporated</w:t>
        </w:r>
      </w:hyperlink>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u w:val="single" w:color="auto"/>
            <w:color w:val="0000FF"/>
          </w:rPr>
          <w:t>by reference to Exhibit 3.2 to our Quarterly Report on Form 10-Q for the quarter ended March 31, 2004).</w:t>
        </w:r>
      </w:hyperlink>
    </w:p>
    <w:p>
      <w:pPr>
        <w:spacing w:after="0" w:line="118" w:lineRule="exact"/>
        <w:rPr>
          <w:sz w:val="20"/>
          <w:szCs w:val="20"/>
          <w:color w:val="auto"/>
        </w:rPr>
      </w:pPr>
    </w:p>
    <w:p>
      <w:pPr>
        <w:ind w:left="1380" w:right="22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FF"/>
          </w:rPr>
          <w:t>Amendment No. 1 dated December 31, 2010 to the Third Amended and Restated Agreement of Limited Partnership of Plains</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FF"/>
          </w:rPr>
          <w:t>Marketing, L.P. (incorporated by reference to Exhibit 3.9 to our Annual Report on Form 10-K for the year ended December 31,</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2010).</w:t>
        </w:r>
      </w:hyperlink>
    </w:p>
    <w:p>
      <w:pPr>
        <w:spacing w:after="0" w:line="111" w:lineRule="exact"/>
        <w:rPr>
          <w:sz w:val="20"/>
          <w:szCs w:val="20"/>
          <w:color w:val="auto"/>
        </w:rPr>
      </w:pPr>
    </w:p>
    <w:p>
      <w:pPr>
        <w:ind w:left="1380" w:right="14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u w:val="single" w:color="auto"/>
            <w:color w:val="0000FF"/>
          </w:rPr>
          <w:t>Amendment No. 2 dated January 1, 2011 to the Third Amended and Restated Agreement of Limited Partnership of Plains</w:t>
        </w:r>
      </w:hyperlink>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u w:val="single" w:color="auto"/>
            <w:color w:val="0000FF"/>
          </w:rPr>
          <w:t>Marketing, L.P. (incorporated by reference to Exhibit 3.10 to our Annual Report on Form 10-K for the year ended December 31,</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95">
        <w:r>
          <w:rPr>
            <w:rFonts w:ascii="Times New Roman" w:cs="Times New Roman" w:eastAsia="Times New Roman" w:hAnsi="Times New Roman"/>
            <w:sz w:val="18"/>
            <w:szCs w:val="18"/>
            <w:u w:val="single" w:color="auto"/>
            <w:color w:val="0000FF"/>
          </w:rPr>
          <w:t>2010).</w:t>
        </w:r>
      </w:hyperlink>
    </w:p>
    <w:p>
      <w:pPr>
        <w:spacing w:after="0" w:line="111" w:lineRule="exact"/>
        <w:rPr>
          <w:sz w:val="20"/>
          <w:szCs w:val="20"/>
          <w:color w:val="auto"/>
        </w:rPr>
      </w:pPr>
    </w:p>
    <w:p>
      <w:pPr>
        <w:ind w:left="1380" w:right="22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u w:val="single" w:color="auto"/>
            <w:color w:val="0000FF"/>
          </w:rPr>
          <w:t>Amendment No. 3 dated June 30, 2011 to the Third Amended and Restated Agreement of Limited Partnership of Plains</w:t>
        </w:r>
      </w:hyperlink>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u w:val="single" w:color="auto"/>
            <w:color w:val="0000FF"/>
          </w:rPr>
          <w:t>Marketing, L.P. (incorporated by reference to Exhibit 3.7 to our Annual Report on Form 10-K for the year ended December 31,</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96">
        <w:r>
          <w:rPr>
            <w:rFonts w:ascii="Times New Roman" w:cs="Times New Roman" w:eastAsia="Times New Roman" w:hAnsi="Times New Roman"/>
            <w:sz w:val="18"/>
            <w:szCs w:val="18"/>
            <w:u w:val="single" w:color="auto"/>
            <w:color w:val="0000FF"/>
          </w:rPr>
          <w:t>2013).</w:t>
        </w:r>
      </w:hyperlink>
    </w:p>
    <w:p>
      <w:pPr>
        <w:spacing w:after="0" w:line="111" w:lineRule="exact"/>
        <w:rPr>
          <w:sz w:val="20"/>
          <w:szCs w:val="20"/>
          <w:color w:val="auto"/>
        </w:rPr>
      </w:pPr>
    </w:p>
    <w:p>
      <w:pPr>
        <w:ind w:left="1380" w:right="26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 xml:space="preserve">— </w:t>
      </w:r>
      <w:hyperlink r:id="rId97">
        <w:r>
          <w:rPr>
            <w:rFonts w:ascii="Times New Roman" w:cs="Times New Roman" w:eastAsia="Times New Roman" w:hAnsi="Times New Roman"/>
            <w:sz w:val="18"/>
            <w:szCs w:val="18"/>
            <w:u w:val="single" w:color="auto"/>
            <w:color w:val="0000FF"/>
          </w:rPr>
          <w:t>Amendment No. 4 dated January 1, 2013 to the Third Amended and Restated Agreement of Limited Partnership of Plains</w:t>
        </w:r>
      </w:hyperlink>
      <w:r>
        <w:rPr>
          <w:rFonts w:ascii="Times New Roman" w:cs="Times New Roman" w:eastAsia="Times New Roman" w:hAnsi="Times New Roman"/>
          <w:sz w:val="18"/>
          <w:szCs w:val="18"/>
          <w:color w:val="auto"/>
        </w:rPr>
        <w:t xml:space="preserve"> </w:t>
      </w:r>
      <w:hyperlink r:id="rId97">
        <w:r>
          <w:rPr>
            <w:rFonts w:ascii="Times New Roman" w:cs="Times New Roman" w:eastAsia="Times New Roman" w:hAnsi="Times New Roman"/>
            <w:sz w:val="18"/>
            <w:szCs w:val="18"/>
            <w:u w:val="single" w:color="auto"/>
            <w:color w:val="0000FF"/>
          </w:rPr>
          <w:t>Marketing, L.P (incorporated by reference to Exhibit 3.8 to our Annual Report on Form 10-K for the year ended December 31,</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97">
        <w:r>
          <w:rPr>
            <w:rFonts w:ascii="Times New Roman" w:cs="Times New Roman" w:eastAsia="Times New Roman" w:hAnsi="Times New Roman"/>
            <w:sz w:val="18"/>
            <w:szCs w:val="18"/>
            <w:u w:val="single" w:color="auto"/>
            <w:color w:val="0000FF"/>
          </w:rPr>
          <w:t>2013).</w:t>
        </w:r>
      </w:hyperlink>
    </w:p>
    <w:p>
      <w:pPr>
        <w:spacing w:after="0" w:line="111" w:lineRule="exact"/>
        <w:rPr>
          <w:sz w:val="20"/>
          <w:szCs w:val="20"/>
          <w:color w:val="auto"/>
        </w:rPr>
      </w:pPr>
    </w:p>
    <w:p>
      <w:pPr>
        <w:ind w:left="1380" w:right="18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 xml:space="preserve">— </w:t>
      </w:r>
      <w:hyperlink r:id="rId98">
        <w:r>
          <w:rPr>
            <w:rFonts w:ascii="Times New Roman" w:cs="Times New Roman" w:eastAsia="Times New Roman" w:hAnsi="Times New Roman"/>
            <w:sz w:val="18"/>
            <w:szCs w:val="18"/>
            <w:u w:val="single" w:color="auto"/>
            <w:color w:val="0000FF"/>
          </w:rPr>
          <w:t>Amendment No. 5 dated December 1, 2019 to the Third Amended and Restated Agreement of Limited Partnership of Plains</w:t>
        </w:r>
      </w:hyperlink>
      <w:r>
        <w:rPr>
          <w:rFonts w:ascii="Times New Roman" w:cs="Times New Roman" w:eastAsia="Times New Roman" w:hAnsi="Times New Roman"/>
          <w:sz w:val="18"/>
          <w:szCs w:val="18"/>
          <w:color w:val="auto"/>
        </w:rPr>
        <w:t xml:space="preserve"> </w:t>
      </w:r>
      <w:hyperlink r:id="rId98">
        <w:r>
          <w:rPr>
            <w:rFonts w:ascii="Times New Roman" w:cs="Times New Roman" w:eastAsia="Times New Roman" w:hAnsi="Times New Roman"/>
            <w:sz w:val="18"/>
            <w:szCs w:val="18"/>
            <w:u w:val="single" w:color="auto"/>
            <w:color w:val="0000FF"/>
          </w:rPr>
          <w:t>Marketing, L.P. (incorporated by reference to Exhibit 3.7 to our Annual Report on Form 10-K for the year ended December, 31,</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98">
        <w:r>
          <w:rPr>
            <w:rFonts w:ascii="Times New Roman" w:cs="Times New Roman" w:eastAsia="Times New Roman" w:hAnsi="Times New Roman"/>
            <w:sz w:val="18"/>
            <w:szCs w:val="18"/>
            <w:u w:val="single" w:color="auto"/>
            <w:color w:val="0000FF"/>
          </w:rPr>
          <w:t>2019).</w:t>
        </w:r>
      </w:hyperlink>
    </w:p>
    <w:p>
      <w:pPr>
        <w:spacing w:after="0" w:line="111" w:lineRule="exact"/>
        <w:rPr>
          <w:sz w:val="20"/>
          <w:szCs w:val="20"/>
          <w:color w:val="auto"/>
        </w:rPr>
      </w:pPr>
    </w:p>
    <w:p>
      <w:pPr>
        <w:ind w:left="1380" w:hanging="1263"/>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 xml:space="preserve">— </w:t>
      </w:r>
      <w:hyperlink r:id="rId99">
        <w:r>
          <w:rPr>
            <w:rFonts w:ascii="Times New Roman" w:cs="Times New Roman" w:eastAsia="Times New Roman" w:hAnsi="Times New Roman"/>
            <w:sz w:val="18"/>
            <w:szCs w:val="18"/>
            <w:u w:val="single" w:color="auto"/>
            <w:color w:val="0000FF"/>
          </w:rPr>
          <w:t>Third Amended and Restated Agreement of Limited Partnership of Plains Pipeline, L.P. dated as of April 1, 2004 (incorporated by</w:t>
        </w:r>
      </w:hyperlink>
      <w:r>
        <w:rPr>
          <w:rFonts w:ascii="Times New Roman" w:cs="Times New Roman" w:eastAsia="Times New Roman" w:hAnsi="Times New Roman"/>
          <w:sz w:val="18"/>
          <w:szCs w:val="18"/>
          <w:color w:val="auto"/>
        </w:rPr>
        <w:t xml:space="preserve"> </w:t>
      </w:r>
      <w:hyperlink r:id="rId99">
        <w:r>
          <w:rPr>
            <w:rFonts w:ascii="Times New Roman" w:cs="Times New Roman" w:eastAsia="Times New Roman" w:hAnsi="Times New Roman"/>
            <w:sz w:val="18"/>
            <w:szCs w:val="18"/>
            <w:u w:val="single" w:color="auto"/>
            <w:color w:val="0000FF"/>
          </w:rPr>
          <w:t>reference to Exhibit 3.3 to our Quarterly Report on Form 10-Q for the quarter ended March 31, 2004).</w:t>
        </w:r>
      </w:hyperlink>
    </w:p>
    <w:p>
      <w:pPr>
        <w:spacing w:after="0" w:line="118" w:lineRule="exact"/>
        <w:rPr>
          <w:sz w:val="20"/>
          <w:szCs w:val="20"/>
          <w:color w:val="auto"/>
        </w:rPr>
      </w:pPr>
    </w:p>
    <w:p>
      <w:pPr>
        <w:ind w:left="1380" w:right="30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color w:val="auto"/>
        </w:rPr>
        <w:t xml:space="preserve">— </w:t>
      </w:r>
      <w:hyperlink r:id="rId100">
        <w:r>
          <w:rPr>
            <w:rFonts w:ascii="Times New Roman" w:cs="Times New Roman" w:eastAsia="Times New Roman" w:hAnsi="Times New Roman"/>
            <w:sz w:val="18"/>
            <w:szCs w:val="18"/>
            <w:u w:val="single" w:color="auto"/>
            <w:color w:val="0000FF"/>
          </w:rPr>
          <w:t>Amendment No. 1 dated January 1, 2013 to the Third Amended and Restated Agreement of Limited Partnership of Plains</w:t>
        </w:r>
      </w:hyperlink>
      <w:r>
        <w:rPr>
          <w:rFonts w:ascii="Times New Roman" w:cs="Times New Roman" w:eastAsia="Times New Roman" w:hAnsi="Times New Roman"/>
          <w:sz w:val="18"/>
          <w:szCs w:val="18"/>
          <w:color w:val="auto"/>
        </w:rPr>
        <w:t xml:space="preserve"> </w:t>
      </w:r>
      <w:hyperlink r:id="rId100">
        <w:r>
          <w:rPr>
            <w:rFonts w:ascii="Times New Roman" w:cs="Times New Roman" w:eastAsia="Times New Roman" w:hAnsi="Times New Roman"/>
            <w:sz w:val="18"/>
            <w:szCs w:val="18"/>
            <w:u w:val="single" w:color="auto"/>
            <w:color w:val="0000FF"/>
          </w:rPr>
          <w:t>Pipeline, L.P. (incorporated by reference to Exhibit 3.10 to our Annual Report on Form 10-K for the year ended December 31,</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18"/>
            <w:szCs w:val="18"/>
            <w:u w:val="single" w:color="auto"/>
            <w:color w:val="0000FF"/>
          </w:rPr>
          <w:t>2013).</w:t>
        </w:r>
      </w:hyperlink>
    </w:p>
    <w:p>
      <w:pPr>
        <w:spacing w:after="0" w:line="99" w:lineRule="exact"/>
        <w:rPr>
          <w:sz w:val="20"/>
          <w:szCs w:val="20"/>
          <w:color w:val="auto"/>
        </w:rPr>
      </w:pPr>
    </w:p>
    <w:p>
      <w:pPr>
        <w:ind w:left="440"/>
        <w:spacing w:after="0"/>
        <w:tabs>
          <w:tab w:leader="none" w:pos="1360" w:val="left"/>
          <w:tab w:leader="none" w:pos="17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01">
        <w:r>
          <w:rPr>
            <w:rFonts w:ascii="Times New Roman" w:cs="Times New Roman" w:eastAsia="Times New Roman" w:hAnsi="Times New Roman"/>
            <w:sz w:val="17"/>
            <w:szCs w:val="17"/>
            <w:u w:val="single" w:color="auto"/>
            <w:color w:val="0000FF"/>
          </w:rPr>
          <w:t>Seventh Amended and Restated Limited Liability Company Agreement of Plains All American GP LLC dated November 15,</w:t>
        </w:r>
      </w:hyperlink>
    </w:p>
    <w:p>
      <w:pPr>
        <w:ind w:left="1760"/>
        <w:spacing w:after="0"/>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2016 (incorporated by reference to Exhibit 3.3 to our Current Report on Form 8-K filed November 21, 2016).</w:t>
        </w:r>
      </w:hyperlink>
    </w:p>
    <w:p>
      <w:pPr>
        <w:spacing w:after="0" w:line="124" w:lineRule="exact"/>
        <w:rPr>
          <w:sz w:val="20"/>
          <w:szCs w:val="20"/>
          <w:color w:val="auto"/>
        </w:rPr>
      </w:pPr>
    </w:p>
    <w:p>
      <w:pPr>
        <w:ind w:left="1380" w:right="280" w:hanging="1305"/>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 xml:space="preserve">— </w:t>
      </w:r>
      <w:hyperlink r:id="rId102">
        <w:r>
          <w:rPr>
            <w:rFonts w:ascii="Times New Roman" w:cs="Times New Roman" w:eastAsia="Times New Roman" w:hAnsi="Times New Roman"/>
            <w:sz w:val="18"/>
            <w:szCs w:val="18"/>
            <w:u w:val="single" w:color="auto"/>
            <w:color w:val="0000FF"/>
          </w:rPr>
          <w:t>Eighth Amended and Restated Limited Partnership Agreement of Plains AAP, L.P. dated November 15, 2016 (incorporated by</w:t>
        </w:r>
      </w:hyperlink>
      <w:r>
        <w:rPr>
          <w:rFonts w:ascii="Times New Roman" w:cs="Times New Roman" w:eastAsia="Times New Roman" w:hAnsi="Times New Roman"/>
          <w:sz w:val="18"/>
          <w:szCs w:val="18"/>
          <w:color w:val="auto"/>
        </w:rPr>
        <w:t xml:space="preserve"> </w:t>
      </w:r>
      <w:hyperlink r:id="rId102">
        <w:r>
          <w:rPr>
            <w:rFonts w:ascii="Times New Roman" w:cs="Times New Roman" w:eastAsia="Times New Roman" w:hAnsi="Times New Roman"/>
            <w:sz w:val="18"/>
            <w:szCs w:val="18"/>
            <w:u w:val="single" w:color="auto"/>
            <w:color w:val="0000FF"/>
          </w:rPr>
          <w:t>reference to Exhibit 3.4 to our Current Report on Form 8-K filed November 21, 2016).</w:t>
        </w:r>
      </w:hyperlink>
    </w:p>
    <w:p>
      <w:pPr>
        <w:spacing w:after="0" w:line="118" w:lineRule="exact"/>
        <w:rPr>
          <w:sz w:val="20"/>
          <w:szCs w:val="20"/>
          <w:color w:val="auto"/>
        </w:rPr>
      </w:pPr>
    </w:p>
    <w:p>
      <w:pPr>
        <w:ind w:left="138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 xml:space="preserve">— </w:t>
      </w:r>
      <w:hyperlink r:id="rId103">
        <w:r>
          <w:rPr>
            <w:rFonts w:ascii="Times New Roman" w:cs="Times New Roman" w:eastAsia="Times New Roman" w:hAnsi="Times New Roman"/>
            <w:sz w:val="18"/>
            <w:szCs w:val="18"/>
            <w:u w:val="single" w:color="auto"/>
            <w:color w:val="0000FF"/>
          </w:rPr>
          <w:t>Amendment No. 1 dated September 26, 2018 to the Eighth Amended and Restated Limited Partnership Agreement of Plains AAP,</w:t>
        </w:r>
      </w:hyperlink>
      <w:r>
        <w:rPr>
          <w:rFonts w:ascii="Times New Roman" w:cs="Times New Roman" w:eastAsia="Times New Roman" w:hAnsi="Times New Roman"/>
          <w:sz w:val="18"/>
          <w:szCs w:val="18"/>
          <w:color w:val="auto"/>
        </w:rPr>
        <w:t xml:space="preserve"> </w:t>
      </w:r>
      <w:hyperlink r:id="rId103">
        <w:r>
          <w:rPr>
            <w:rFonts w:ascii="Times New Roman" w:cs="Times New Roman" w:eastAsia="Times New Roman" w:hAnsi="Times New Roman"/>
            <w:sz w:val="18"/>
            <w:szCs w:val="18"/>
            <w:u w:val="single" w:color="auto"/>
            <w:color w:val="0000FF"/>
          </w:rPr>
          <w:t>L.P. (incorporated by reference to Exhibit 3.1 to our Current Report on Form 8-K filed October 2, 2018).</w:t>
        </w:r>
      </w:hyperlink>
    </w:p>
    <w:p>
      <w:pPr>
        <w:spacing w:after="0" w:line="106" w:lineRule="exact"/>
        <w:rPr>
          <w:sz w:val="20"/>
          <w:szCs w:val="20"/>
          <w:color w:val="auto"/>
        </w:rPr>
      </w:pPr>
    </w:p>
    <w:p>
      <w:pPr>
        <w:ind w:left="440"/>
        <w:spacing w:after="0"/>
        <w:tabs>
          <w:tab w:leader="none" w:pos="1360" w:val="left"/>
          <w:tab w:leader="none" w:pos="17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04">
        <w:r>
          <w:rPr>
            <w:rFonts w:ascii="Times New Roman" w:cs="Times New Roman" w:eastAsia="Times New Roman" w:hAnsi="Times New Roman"/>
            <w:sz w:val="17"/>
            <w:szCs w:val="17"/>
            <w:u w:val="single" w:color="auto"/>
            <w:color w:val="0000FF"/>
          </w:rPr>
          <w:t>Amendment No. 2 dated May 23, 2019 to the Eighth Amended and Restated Limited Partnership Agreement of Plains AAP, L.P.</w:t>
        </w:r>
      </w:hyperlink>
    </w:p>
    <w:p>
      <w:pPr>
        <w:ind w:left="1760"/>
        <w:spacing w:after="0"/>
        <w:rPr>
          <w:rFonts w:ascii="Times New Roman" w:cs="Times New Roman" w:eastAsia="Times New Roman" w:hAnsi="Times New Roman"/>
          <w:sz w:val="18"/>
          <w:szCs w:val="18"/>
          <w:u w:val="single" w:color="auto"/>
          <w:color w:val="0000FF"/>
        </w:rPr>
      </w:pPr>
      <w:hyperlink r:id="rId104">
        <w:r>
          <w:rPr>
            <w:rFonts w:ascii="Times New Roman" w:cs="Times New Roman" w:eastAsia="Times New Roman" w:hAnsi="Times New Roman"/>
            <w:sz w:val="18"/>
            <w:szCs w:val="18"/>
            <w:u w:val="single" w:color="auto"/>
            <w:color w:val="0000FF"/>
          </w:rPr>
          <w:t>(incorporated by reference to Exhibit 3.1 to our Current Report on Form 8-K filed May 30, 2019).</w:t>
        </w:r>
      </w:hyperlink>
    </w:p>
    <w:p>
      <w:pPr>
        <w:spacing w:after="0" w:line="124" w:lineRule="exact"/>
        <w:rPr>
          <w:sz w:val="20"/>
          <w:szCs w:val="20"/>
          <w:color w:val="auto"/>
        </w:rPr>
      </w:pPr>
    </w:p>
    <w:p>
      <w:pPr>
        <w:ind w:left="1380" w:right="26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8"/>
          <w:szCs w:val="18"/>
          <w:color w:val="auto"/>
        </w:rPr>
        <w:t xml:space="preserve">— </w:t>
      </w:r>
      <w:hyperlink r:id="rId105">
        <w:r>
          <w:rPr>
            <w:rFonts w:ascii="Times New Roman" w:cs="Times New Roman" w:eastAsia="Times New Roman" w:hAnsi="Times New Roman"/>
            <w:sz w:val="18"/>
            <w:szCs w:val="18"/>
            <w:u w:val="single" w:color="auto"/>
            <w:color w:val="0000FF"/>
          </w:rPr>
          <w:t>Amendment No. 3 dated August 17, 2023 to the Eighth Amended and Restated Limited Partnership Agreement of Plains AAP,</w:t>
        </w:r>
      </w:hyperlink>
      <w:r>
        <w:rPr>
          <w:rFonts w:ascii="Times New Roman" w:cs="Times New Roman" w:eastAsia="Times New Roman" w:hAnsi="Times New Roman"/>
          <w:sz w:val="18"/>
          <w:szCs w:val="18"/>
          <w:color w:val="auto"/>
        </w:rPr>
        <w:t xml:space="preserve"> </w:t>
      </w:r>
      <w:hyperlink r:id="rId105">
        <w:r>
          <w:rPr>
            <w:rFonts w:ascii="Times New Roman" w:cs="Times New Roman" w:eastAsia="Times New Roman" w:hAnsi="Times New Roman"/>
            <w:sz w:val="18"/>
            <w:szCs w:val="18"/>
            <w:u w:val="single" w:color="auto"/>
            <w:color w:val="0000FF"/>
          </w:rPr>
          <w:t>L.P. (incorporated by reference to Exhibit 3.1 to our Current Report on Form 8-K filed August 21, 2023).</w:t>
        </w:r>
      </w:hyperlink>
    </w:p>
    <w:p>
      <w:pPr>
        <w:spacing w:after="0" w:line="118" w:lineRule="exact"/>
        <w:rPr>
          <w:sz w:val="20"/>
          <w:szCs w:val="20"/>
          <w:color w:val="auto"/>
        </w:rPr>
      </w:pPr>
    </w:p>
    <w:p>
      <w:pPr>
        <w:ind w:left="1380" w:right="180" w:hanging="1308"/>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3.15</w:t>
      </w:r>
      <w:r>
        <w:rPr>
          <w:sz w:val="20"/>
          <w:szCs w:val="20"/>
          <w:color w:val="auto"/>
        </w:rPr>
        <w:tab/>
      </w:r>
      <w:r>
        <w:rPr>
          <w:rFonts w:ascii="Times New Roman" w:cs="Times New Roman" w:eastAsia="Times New Roman" w:hAnsi="Times New Roman"/>
          <w:sz w:val="18"/>
          <w:szCs w:val="18"/>
          <w:color w:val="auto"/>
        </w:rPr>
        <w:t xml:space="preserve">— </w:t>
      </w:r>
      <w:hyperlink r:id="rId106">
        <w:r>
          <w:rPr>
            <w:rFonts w:ascii="Times New Roman" w:cs="Times New Roman" w:eastAsia="Times New Roman" w:hAnsi="Times New Roman"/>
            <w:sz w:val="18"/>
            <w:szCs w:val="18"/>
            <w:u w:val="single" w:color="auto"/>
            <w:color w:val="0000FF"/>
          </w:rPr>
          <w:t>Certificate of Incorporation of PAA Finance Corp. (f/k/a Pacific Energy Finance Corporation, successor-by-merger to PAA</w:t>
        </w:r>
      </w:hyperlink>
      <w:r>
        <w:rPr>
          <w:rFonts w:ascii="Times New Roman" w:cs="Times New Roman" w:eastAsia="Times New Roman" w:hAnsi="Times New Roman"/>
          <w:sz w:val="18"/>
          <w:szCs w:val="18"/>
          <w:color w:val="auto"/>
        </w:rPr>
        <w:t xml:space="preserve"> </w:t>
      </w:r>
      <w:hyperlink r:id="rId106">
        <w:r>
          <w:rPr>
            <w:rFonts w:ascii="Times New Roman" w:cs="Times New Roman" w:eastAsia="Times New Roman" w:hAnsi="Times New Roman"/>
            <w:sz w:val="18"/>
            <w:szCs w:val="18"/>
            <w:u w:val="single" w:color="auto"/>
            <w:color w:val="0000FF"/>
          </w:rPr>
          <w:t>Finance Corp.) (incorporated by reference to Exhibit 3.10 to our Annual Report on Form 10-K for the year ended December 31,</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2006).</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left="440" w:right="80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3.16       —  </w:t>
      </w:r>
      <w:hyperlink r:id="rId108">
        <w:r>
          <w:rPr>
            <w:rFonts w:ascii="Times New Roman" w:cs="Times New Roman" w:eastAsia="Times New Roman" w:hAnsi="Times New Roman"/>
            <w:sz w:val="18"/>
            <w:szCs w:val="18"/>
            <w:u w:val="single" w:color="auto"/>
            <w:color w:val="0000FF"/>
          </w:rPr>
          <w:t>Bylaws of PAA Finance Corp. (f/k/a Pacific Energy Finance Corporation, successor-by-merger to PAA Finance Corp.)</w:t>
        </w:r>
      </w:hyperlink>
      <w:r>
        <w:rPr>
          <w:rFonts w:ascii="Times New Roman" w:cs="Times New Roman" w:eastAsia="Times New Roman" w:hAnsi="Times New Roman"/>
          <w:sz w:val="18"/>
          <w:szCs w:val="18"/>
          <w:color w:val="auto"/>
        </w:rPr>
        <w:t xml:space="preserve"> </w:t>
      </w:r>
      <w:hyperlink r:id="rId108">
        <w:r>
          <w:rPr>
            <w:rFonts w:ascii="Times New Roman" w:cs="Times New Roman" w:eastAsia="Times New Roman" w:hAnsi="Times New Roman"/>
            <w:sz w:val="18"/>
            <w:szCs w:val="18"/>
            <w:u w:val="single" w:color="auto"/>
            <w:color w:val="0000FF"/>
          </w:rPr>
          <w:t>(incorporated by reference to Exhibit 3.11 to our Annual Report on Form 10-K for the year ended December 31, 2006).</w:t>
        </w:r>
      </w:hyperlink>
    </w:p>
    <w:p>
      <w:pPr>
        <w:spacing w:after="0" w:line="118" w:lineRule="exact"/>
        <w:rPr>
          <w:sz w:val="20"/>
          <w:szCs w:val="20"/>
          <w:color w:val="auto"/>
        </w:rPr>
      </w:pPr>
    </w:p>
    <w:p>
      <w:pPr>
        <w:ind w:left="138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3.17</w:t>
      </w:r>
      <w:r>
        <w:rPr>
          <w:sz w:val="20"/>
          <w:szCs w:val="20"/>
          <w:color w:val="auto"/>
        </w:rPr>
        <w:tab/>
      </w:r>
      <w:r>
        <w:rPr>
          <w:rFonts w:ascii="Times New Roman" w:cs="Times New Roman" w:eastAsia="Times New Roman" w:hAnsi="Times New Roman"/>
          <w:sz w:val="18"/>
          <w:szCs w:val="18"/>
          <w:color w:val="auto"/>
        </w:rPr>
        <w:t xml:space="preserve">— </w:t>
      </w:r>
      <w:hyperlink r:id="rId109">
        <w:r>
          <w:rPr>
            <w:rFonts w:ascii="Times New Roman" w:cs="Times New Roman" w:eastAsia="Times New Roman" w:hAnsi="Times New Roman"/>
            <w:sz w:val="18"/>
            <w:szCs w:val="18"/>
            <w:u w:val="single" w:color="auto"/>
            <w:color w:val="0000FF"/>
          </w:rPr>
          <w:t>Limited Liability Company Agreement of PAA GP LLC dated December 28, 2007 (incorporated by reference to Exhibit 3.3 to our</w:t>
        </w:r>
      </w:hyperlink>
      <w:r>
        <w:rPr>
          <w:rFonts w:ascii="Times New Roman" w:cs="Times New Roman" w:eastAsia="Times New Roman" w:hAnsi="Times New Roman"/>
          <w:sz w:val="18"/>
          <w:szCs w:val="18"/>
          <w:color w:val="auto"/>
        </w:rPr>
        <w:t xml:space="preserve"> </w:t>
      </w:r>
      <w:hyperlink r:id="rId109">
        <w:r>
          <w:rPr>
            <w:rFonts w:ascii="Times New Roman" w:cs="Times New Roman" w:eastAsia="Times New Roman" w:hAnsi="Times New Roman"/>
            <w:sz w:val="18"/>
            <w:szCs w:val="18"/>
            <w:u w:val="single" w:color="auto"/>
            <w:color w:val="0000FF"/>
          </w:rPr>
          <w:t>Current Report on Form 8-K filed January 4, 2008).</w:t>
        </w:r>
      </w:hyperlink>
    </w:p>
    <w:p>
      <w:pPr>
        <w:spacing w:after="0" w:line="118" w:lineRule="exact"/>
        <w:rPr>
          <w:sz w:val="20"/>
          <w:szCs w:val="20"/>
          <w:color w:val="auto"/>
        </w:rPr>
      </w:pPr>
    </w:p>
    <w:p>
      <w:pPr>
        <w:ind w:left="1380" w:right="22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3.18</w:t>
      </w:r>
      <w:r>
        <w:rPr>
          <w:sz w:val="20"/>
          <w:szCs w:val="20"/>
          <w:color w:val="auto"/>
        </w:rPr>
        <w:tab/>
      </w:r>
      <w:r>
        <w:rPr>
          <w:rFonts w:ascii="Times New Roman" w:cs="Times New Roman" w:eastAsia="Times New Roman" w:hAnsi="Times New Roman"/>
          <w:sz w:val="18"/>
          <w:szCs w:val="18"/>
          <w:color w:val="auto"/>
        </w:rPr>
        <w:t xml:space="preserve">— </w:t>
      </w:r>
      <w:hyperlink r:id="rId110">
        <w:r>
          <w:rPr>
            <w:rFonts w:ascii="Times New Roman" w:cs="Times New Roman" w:eastAsia="Times New Roman" w:hAnsi="Times New Roman"/>
            <w:sz w:val="18"/>
            <w:szCs w:val="18"/>
            <w:u w:val="single" w:color="auto"/>
            <w:color w:val="0000FF"/>
          </w:rPr>
          <w:t>Certificate of Limited Partnership of Plains GP Holdings, L.P. (incorporated by reference to Exhibit 3.1 to PAGP’s Registration</w:t>
        </w:r>
      </w:hyperlink>
      <w:r>
        <w:rPr>
          <w:rFonts w:ascii="Times New Roman" w:cs="Times New Roman" w:eastAsia="Times New Roman" w:hAnsi="Times New Roman"/>
          <w:sz w:val="18"/>
          <w:szCs w:val="18"/>
          <w:color w:val="auto"/>
        </w:rPr>
        <w:t xml:space="preserve"> </w:t>
      </w:r>
      <w:hyperlink r:id="rId110">
        <w:r>
          <w:rPr>
            <w:rFonts w:ascii="Times New Roman" w:cs="Times New Roman" w:eastAsia="Times New Roman" w:hAnsi="Times New Roman"/>
            <w:sz w:val="18"/>
            <w:szCs w:val="18"/>
            <w:u w:val="single" w:color="auto"/>
            <w:color w:val="0000FF"/>
          </w:rPr>
          <w:t>Statement on Form S-1 (333-190227) filed July 29, 2013).</w:t>
        </w:r>
      </w:hyperlink>
    </w:p>
    <w:p>
      <w:pPr>
        <w:spacing w:after="0" w:line="118" w:lineRule="exact"/>
        <w:rPr>
          <w:sz w:val="20"/>
          <w:szCs w:val="20"/>
          <w:color w:val="auto"/>
        </w:rPr>
      </w:pPr>
    </w:p>
    <w:p>
      <w:pPr>
        <w:ind w:left="1380" w:right="68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3.19</w:t>
      </w:r>
      <w:r>
        <w:rPr>
          <w:sz w:val="20"/>
          <w:szCs w:val="20"/>
          <w:color w:val="auto"/>
        </w:rPr>
        <w:tab/>
      </w:r>
      <w:r>
        <w:rPr>
          <w:rFonts w:ascii="Times New Roman" w:cs="Times New Roman" w:eastAsia="Times New Roman" w:hAnsi="Times New Roman"/>
          <w:sz w:val="18"/>
          <w:szCs w:val="18"/>
          <w:color w:val="auto"/>
        </w:rPr>
        <w:t xml:space="preserve">— </w:t>
      </w:r>
      <w:hyperlink r:id="rId111">
        <w:r>
          <w:rPr>
            <w:rFonts w:ascii="Times New Roman" w:cs="Times New Roman" w:eastAsia="Times New Roman" w:hAnsi="Times New Roman"/>
            <w:sz w:val="18"/>
            <w:szCs w:val="18"/>
            <w:u w:val="single" w:color="auto"/>
            <w:color w:val="0000FF"/>
          </w:rPr>
          <w:t>Second Amended and Restated Agreement of Limited Partnership of Plains GP Holdings, L.P. dated November 15, 2016</w:t>
        </w:r>
      </w:hyperlink>
      <w:r>
        <w:rPr>
          <w:rFonts w:ascii="Times New Roman" w:cs="Times New Roman" w:eastAsia="Times New Roman" w:hAnsi="Times New Roman"/>
          <w:sz w:val="18"/>
          <w:szCs w:val="18"/>
          <w:color w:val="auto"/>
        </w:rPr>
        <w:t xml:space="preserve"> </w:t>
      </w:r>
      <w:hyperlink r:id="rId111">
        <w:r>
          <w:rPr>
            <w:rFonts w:ascii="Times New Roman" w:cs="Times New Roman" w:eastAsia="Times New Roman" w:hAnsi="Times New Roman"/>
            <w:sz w:val="18"/>
            <w:szCs w:val="18"/>
            <w:u w:val="single" w:color="auto"/>
            <w:color w:val="0000FF"/>
          </w:rPr>
          <w:t>(incorporated by reference to Exhibit 3.2 to PAGP’s Current Report on Form 8-K filed November 21, 2016).</w:t>
        </w:r>
      </w:hyperlink>
    </w:p>
    <w:p>
      <w:pPr>
        <w:spacing w:after="0" w:line="118" w:lineRule="exact"/>
        <w:rPr>
          <w:sz w:val="20"/>
          <w:szCs w:val="20"/>
          <w:color w:val="auto"/>
        </w:rPr>
      </w:pPr>
    </w:p>
    <w:p>
      <w:pPr>
        <w:ind w:left="1380" w:right="40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3.20</w:t>
      </w:r>
      <w:r>
        <w:rPr>
          <w:sz w:val="20"/>
          <w:szCs w:val="20"/>
          <w:color w:val="auto"/>
        </w:rPr>
        <w:tab/>
      </w:r>
      <w:r>
        <w:rPr>
          <w:rFonts w:ascii="Times New Roman" w:cs="Times New Roman" w:eastAsia="Times New Roman" w:hAnsi="Times New Roman"/>
          <w:sz w:val="18"/>
          <w:szCs w:val="18"/>
          <w:color w:val="auto"/>
        </w:rPr>
        <w:t xml:space="preserve">— </w:t>
      </w:r>
      <w:hyperlink r:id="rId112">
        <w:r>
          <w:rPr>
            <w:rFonts w:ascii="Times New Roman" w:cs="Times New Roman" w:eastAsia="Times New Roman" w:hAnsi="Times New Roman"/>
            <w:sz w:val="18"/>
            <w:szCs w:val="18"/>
            <w:u w:val="single" w:color="auto"/>
            <w:color w:val="0000FF"/>
          </w:rPr>
          <w:t>Amendment No. 1 dated April 6, 2020 to the Second Amended and Restated Agreement of Limited Partnership of Plains GP</w:t>
        </w:r>
      </w:hyperlink>
      <w:r>
        <w:rPr>
          <w:rFonts w:ascii="Times New Roman" w:cs="Times New Roman" w:eastAsia="Times New Roman" w:hAnsi="Times New Roman"/>
          <w:sz w:val="18"/>
          <w:szCs w:val="18"/>
          <w:color w:val="auto"/>
        </w:rPr>
        <w:t xml:space="preserve"> </w:t>
      </w:r>
      <w:hyperlink r:id="rId112">
        <w:r>
          <w:rPr>
            <w:rFonts w:ascii="Times New Roman" w:cs="Times New Roman" w:eastAsia="Times New Roman" w:hAnsi="Times New Roman"/>
            <w:sz w:val="18"/>
            <w:szCs w:val="18"/>
            <w:u w:val="single" w:color="auto"/>
            <w:color w:val="0000FF"/>
          </w:rPr>
          <w:t>Holdings, L.P. (incorporated by reference to Exhibit 3.1 to PAGP’s Current Report on Form 8-K filed April 9, 2020).</w:t>
        </w:r>
      </w:hyperlink>
    </w:p>
    <w:p>
      <w:pPr>
        <w:spacing w:after="0" w:line="118" w:lineRule="exact"/>
        <w:rPr>
          <w:sz w:val="20"/>
          <w:szCs w:val="20"/>
          <w:color w:val="auto"/>
        </w:rPr>
      </w:pPr>
    </w:p>
    <w:p>
      <w:pPr>
        <w:ind w:left="138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 xml:space="preserve">— </w:t>
      </w:r>
      <w:hyperlink r:id="rId113">
        <w:r>
          <w:rPr>
            <w:rFonts w:ascii="Times New Roman" w:cs="Times New Roman" w:eastAsia="Times New Roman" w:hAnsi="Times New Roman"/>
            <w:sz w:val="18"/>
            <w:szCs w:val="18"/>
            <w:u w:val="single" w:color="auto"/>
            <w:color w:val="0000FF"/>
          </w:rPr>
          <w:t>Certificate of Formation of PAA GP Holdings LLC (incorporated by reference to Exhibit 3.3 to PAGP’s Registration Statement on</w:t>
        </w:r>
      </w:hyperlink>
      <w:r>
        <w:rPr>
          <w:rFonts w:ascii="Times New Roman" w:cs="Times New Roman" w:eastAsia="Times New Roman" w:hAnsi="Times New Roman"/>
          <w:sz w:val="18"/>
          <w:szCs w:val="18"/>
          <w:color w:val="auto"/>
        </w:rPr>
        <w:t xml:space="preserve"> </w:t>
      </w:r>
      <w:hyperlink r:id="rId113">
        <w:r>
          <w:rPr>
            <w:rFonts w:ascii="Times New Roman" w:cs="Times New Roman" w:eastAsia="Times New Roman" w:hAnsi="Times New Roman"/>
            <w:sz w:val="18"/>
            <w:szCs w:val="18"/>
            <w:u w:val="single" w:color="auto"/>
            <w:color w:val="0000FF"/>
          </w:rPr>
          <w:t>Form S-1 (333-190227) filed July 29, 2013).</w:t>
        </w:r>
      </w:hyperlink>
    </w:p>
    <w:p>
      <w:pPr>
        <w:spacing w:after="0" w:line="106" w:lineRule="exact"/>
        <w:rPr>
          <w:sz w:val="20"/>
          <w:szCs w:val="20"/>
          <w:color w:val="auto"/>
        </w:rPr>
      </w:pPr>
    </w:p>
    <w:p>
      <w:pPr>
        <w:ind w:left="440"/>
        <w:spacing w:after="0"/>
        <w:tabs>
          <w:tab w:leader="none" w:pos="1360" w:val="left"/>
          <w:tab w:leader="none" w:pos="17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14">
        <w:r>
          <w:rPr>
            <w:rFonts w:ascii="Times New Roman" w:cs="Times New Roman" w:eastAsia="Times New Roman" w:hAnsi="Times New Roman"/>
            <w:sz w:val="17"/>
            <w:szCs w:val="17"/>
            <w:u w:val="single" w:color="auto"/>
            <w:color w:val="0000FF"/>
          </w:rPr>
          <w:t>Fourth Amended and Restated Limited Liability Company Agreement of PAA GP Holdings LLC dated effective as of August 19,</w:t>
        </w:r>
      </w:hyperlink>
    </w:p>
    <w:p>
      <w:pPr>
        <w:ind w:left="1760"/>
        <w:spacing w:after="0"/>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2021 (incorporated by reference to Exhibit 3.21 to our Annual Report on Form 10-K for the year ended December 31, 2021).</w:t>
        </w:r>
      </w:hyperlink>
    </w:p>
    <w:p>
      <w:pPr>
        <w:spacing w:after="0" w:line="124" w:lineRule="exact"/>
        <w:rPr>
          <w:sz w:val="20"/>
          <w:szCs w:val="20"/>
          <w:color w:val="auto"/>
        </w:rPr>
      </w:pPr>
    </w:p>
    <w:p>
      <w:pPr>
        <w:ind w:left="1380" w:right="2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 xml:space="preserve">— </w:t>
      </w:r>
      <w:hyperlink r:id="rId115">
        <w:r>
          <w:rPr>
            <w:rFonts w:ascii="Times New Roman" w:cs="Times New Roman" w:eastAsia="Times New Roman" w:hAnsi="Times New Roman"/>
            <w:sz w:val="18"/>
            <w:szCs w:val="18"/>
            <w:u w:val="single" w:color="auto"/>
            <w:color w:val="0000FF"/>
          </w:rPr>
          <w:t>Indenture dated September 25, 2002 among Plains All American Pipeline, L.P., PAA Finance Corp. and Wachovia Bank, National</w:t>
        </w:r>
      </w:hyperlink>
      <w:r>
        <w:rPr>
          <w:rFonts w:ascii="Times New Roman" w:cs="Times New Roman" w:eastAsia="Times New Roman" w:hAnsi="Times New Roman"/>
          <w:sz w:val="18"/>
          <w:szCs w:val="18"/>
          <w:color w:val="auto"/>
        </w:rPr>
        <w:t xml:space="preserve"> </w:t>
      </w:r>
      <w:hyperlink r:id="rId115">
        <w:r>
          <w:rPr>
            <w:rFonts w:ascii="Times New Roman" w:cs="Times New Roman" w:eastAsia="Times New Roman" w:hAnsi="Times New Roman"/>
            <w:sz w:val="18"/>
            <w:szCs w:val="18"/>
            <w:u w:val="single" w:color="auto"/>
            <w:color w:val="0000FF"/>
          </w:rPr>
          <w:t>Association, as trustee (incorporated by reference to Exhibit 4.1 to our Quarterly Report on Form 10-Q for the quarter ended</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September 30, 2002).</w:t>
        </w:r>
      </w:hyperlink>
    </w:p>
    <w:p>
      <w:pPr>
        <w:spacing w:after="0" w:line="111" w:lineRule="exact"/>
        <w:rPr>
          <w:sz w:val="20"/>
          <w:szCs w:val="20"/>
          <w:color w:val="auto"/>
        </w:rPr>
      </w:pPr>
    </w:p>
    <w:p>
      <w:pPr>
        <w:ind w:left="138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 xml:space="preserve">— </w:t>
      </w:r>
      <w:hyperlink r:id="rId116">
        <w:r>
          <w:rPr>
            <w:rFonts w:ascii="Times New Roman" w:cs="Times New Roman" w:eastAsia="Times New Roman" w:hAnsi="Times New Roman"/>
            <w:sz w:val="18"/>
            <w:szCs w:val="18"/>
            <w:u w:val="single" w:color="auto"/>
            <w:color w:val="0000FF"/>
          </w:rPr>
          <w:t>Sixth Supplemental Indenture (Series A and Series B 6.70% Senior Notes due 2036) dated May 12, 2006 among Plains All</w:t>
        </w:r>
      </w:hyperlink>
      <w:r>
        <w:rPr>
          <w:rFonts w:ascii="Times New Roman" w:cs="Times New Roman" w:eastAsia="Times New Roman" w:hAnsi="Times New Roman"/>
          <w:sz w:val="18"/>
          <w:szCs w:val="18"/>
          <w:color w:val="auto"/>
        </w:rPr>
        <w:t xml:space="preserve"> </w:t>
      </w:r>
      <w:hyperlink r:id="rId116">
        <w:r>
          <w:rPr>
            <w:rFonts w:ascii="Times New Roman" w:cs="Times New Roman" w:eastAsia="Times New Roman" w:hAnsi="Times New Roman"/>
            <w:sz w:val="18"/>
            <w:szCs w:val="18"/>
            <w:u w:val="single" w:color="auto"/>
            <w:color w:val="0000FF"/>
          </w:rPr>
          <w:t>American Pipeline, L.P., PAA Finance Corp., the Subsidiary Guarantors named therein and Wachovia Bank, National Association,</w:t>
        </w:r>
      </w:hyperlink>
    </w:p>
    <w:p>
      <w:pPr>
        <w:spacing w:after="0" w:line="2" w:lineRule="exact"/>
        <w:rPr>
          <w:sz w:val="20"/>
          <w:szCs w:val="20"/>
          <w:color w:val="auto"/>
        </w:rPr>
      </w:pPr>
    </w:p>
    <w:p>
      <w:pPr>
        <w:jc w:val="center"/>
        <w:ind w:right="-119"/>
        <w:spacing w:after="0"/>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as trustee (incorporated by reference to Exhibit 4.1 to our Current Report on Form 8-K filed May 12, 2006).</w:t>
        </w:r>
      </w:hyperlink>
    </w:p>
    <w:p>
      <w:pPr>
        <w:spacing w:after="0" w:line="111" w:lineRule="exact"/>
        <w:rPr>
          <w:sz w:val="20"/>
          <w:szCs w:val="20"/>
          <w:color w:val="auto"/>
        </w:rPr>
      </w:pPr>
    </w:p>
    <w:p>
      <w:pPr>
        <w:ind w:left="1380" w:right="16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 xml:space="preserve">— </w:t>
      </w:r>
      <w:hyperlink r:id="rId117">
        <w:r>
          <w:rPr>
            <w:rFonts w:ascii="Times New Roman" w:cs="Times New Roman" w:eastAsia="Times New Roman" w:hAnsi="Times New Roman"/>
            <w:sz w:val="18"/>
            <w:szCs w:val="18"/>
            <w:u w:val="single" w:color="auto"/>
            <w:color w:val="0000FF"/>
          </w:rPr>
          <w:t>Tenth Supplemental Indenture (Series A and Series B 6.650% Senior Notes due 2037) dated October 30, 2006 among Plains All</w:t>
        </w:r>
      </w:hyperlink>
      <w:r>
        <w:rPr>
          <w:rFonts w:ascii="Times New Roman" w:cs="Times New Roman" w:eastAsia="Times New Roman" w:hAnsi="Times New Roman"/>
          <w:sz w:val="18"/>
          <w:szCs w:val="18"/>
          <w:color w:val="auto"/>
        </w:rPr>
        <w:t xml:space="preserve"> </w:t>
      </w:r>
      <w:hyperlink r:id="rId117">
        <w:r>
          <w:rPr>
            <w:rFonts w:ascii="Times New Roman" w:cs="Times New Roman" w:eastAsia="Times New Roman" w:hAnsi="Times New Roman"/>
            <w:sz w:val="18"/>
            <w:szCs w:val="18"/>
            <w:u w:val="single" w:color="auto"/>
            <w:color w:val="0000FF"/>
          </w:rPr>
          <w:t>American Pipeline, L.P., PAA Finance Corp., the Subsidiary Guarantors named therein and U.S. Bank National Association, as</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trustee (incorporated by reference to Exhibit 4.2 to our Current Report on Form 8-K filed October 30, 2006).</w:t>
        </w:r>
      </w:hyperlink>
    </w:p>
    <w:p>
      <w:pPr>
        <w:spacing w:after="0" w:line="111" w:lineRule="exact"/>
        <w:rPr>
          <w:sz w:val="20"/>
          <w:szCs w:val="20"/>
          <w:color w:val="auto"/>
        </w:rPr>
      </w:pPr>
    </w:p>
    <w:p>
      <w:pPr>
        <w:ind w:left="1380" w:right="2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 xml:space="preserve">— </w:t>
      </w:r>
      <w:hyperlink r:id="rId118">
        <w:r>
          <w:rPr>
            <w:rFonts w:ascii="Times New Roman" w:cs="Times New Roman" w:eastAsia="Times New Roman" w:hAnsi="Times New Roman"/>
            <w:sz w:val="18"/>
            <w:szCs w:val="18"/>
            <w:u w:val="single" w:color="auto"/>
            <w:color w:val="0000FF"/>
          </w:rPr>
          <w:t>Twenty-First Supplemental Indenture (5.15% Senior Notes due 2042) dated March 22, 2012 among Plains All American Pipeline,</w:t>
        </w:r>
      </w:hyperlink>
      <w:r>
        <w:rPr>
          <w:rFonts w:ascii="Times New Roman" w:cs="Times New Roman" w:eastAsia="Times New Roman" w:hAnsi="Times New Roman"/>
          <w:sz w:val="18"/>
          <w:szCs w:val="18"/>
          <w:color w:val="auto"/>
        </w:rPr>
        <w:t xml:space="preserve"> </w:t>
      </w:r>
      <w:hyperlink r:id="rId118">
        <w:r>
          <w:rPr>
            <w:rFonts w:ascii="Times New Roman" w:cs="Times New Roman" w:eastAsia="Times New Roman" w:hAnsi="Times New Roman"/>
            <w:sz w:val="18"/>
            <w:szCs w:val="18"/>
            <w:u w:val="single" w:color="auto"/>
            <w:color w:val="0000FF"/>
          </w:rPr>
          <w:t>L.P., PAA Finance Corp. and U.S. Bank National Association, as trustee (incorporated by reference to Exhibit 4.3 to our Current</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Report on Form 8-K filed March 26, 2012).</w:t>
        </w:r>
      </w:hyperlink>
    </w:p>
    <w:p>
      <w:pPr>
        <w:spacing w:after="0" w:line="111" w:lineRule="exact"/>
        <w:rPr>
          <w:sz w:val="20"/>
          <w:szCs w:val="20"/>
          <w:color w:val="auto"/>
        </w:rPr>
      </w:pPr>
    </w:p>
    <w:p>
      <w:pPr>
        <w:ind w:left="1380" w:right="54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 xml:space="preserve">— </w:t>
      </w:r>
      <w:hyperlink r:id="rId119">
        <w:r>
          <w:rPr>
            <w:rFonts w:ascii="Times New Roman" w:cs="Times New Roman" w:eastAsia="Times New Roman" w:hAnsi="Times New Roman"/>
            <w:sz w:val="18"/>
            <w:szCs w:val="18"/>
            <w:u w:val="single" w:color="auto"/>
            <w:color w:val="0000FF"/>
          </w:rPr>
          <w:t>Twenty-Third Supplemental Indenture (4.30% Senior Notes due 2043) dated December 10, 2012, by and among Plains All</w:t>
        </w:r>
      </w:hyperlink>
      <w:r>
        <w:rPr>
          <w:rFonts w:ascii="Times New Roman" w:cs="Times New Roman" w:eastAsia="Times New Roman" w:hAnsi="Times New Roman"/>
          <w:sz w:val="18"/>
          <w:szCs w:val="18"/>
          <w:color w:val="auto"/>
        </w:rPr>
        <w:t xml:space="preserve"> </w:t>
      </w:r>
      <w:hyperlink r:id="rId119">
        <w:r>
          <w:rPr>
            <w:rFonts w:ascii="Times New Roman" w:cs="Times New Roman" w:eastAsia="Times New Roman" w:hAnsi="Times New Roman"/>
            <w:sz w:val="18"/>
            <w:szCs w:val="18"/>
            <w:u w:val="single" w:color="auto"/>
            <w:color w:val="0000FF"/>
          </w:rPr>
          <w:t>American Pipeline, L.P., PAA Finance Corp. and U.S. Bank National Association, as trustee (incorporated by reference to</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Exhibit 4.3 to our Current Report on Form 8-K filed December 12, 2012).</w:t>
        </w:r>
      </w:hyperlink>
    </w:p>
    <w:p>
      <w:pPr>
        <w:spacing w:after="0" w:line="111" w:lineRule="exact"/>
        <w:rPr>
          <w:sz w:val="20"/>
          <w:szCs w:val="20"/>
          <w:color w:val="auto"/>
        </w:rPr>
      </w:pPr>
    </w:p>
    <w:p>
      <w:pPr>
        <w:ind w:left="1380" w:right="6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 xml:space="preserve">— </w:t>
      </w:r>
      <w:hyperlink r:id="rId120">
        <w:r>
          <w:rPr>
            <w:rFonts w:ascii="Times New Roman" w:cs="Times New Roman" w:eastAsia="Times New Roman" w:hAnsi="Times New Roman"/>
            <w:sz w:val="18"/>
            <w:szCs w:val="18"/>
            <w:u w:val="single" w:color="auto"/>
            <w:color w:val="0000FF"/>
          </w:rPr>
          <w:t>Twenty-Fifth Supplemental Indenture (4.70% Senior Notes due 2044) dated April 23, 2014, by and among Plains All American</w:t>
        </w:r>
      </w:hyperlink>
      <w:r>
        <w:rPr>
          <w:rFonts w:ascii="Times New Roman" w:cs="Times New Roman" w:eastAsia="Times New Roman" w:hAnsi="Times New Roman"/>
          <w:sz w:val="18"/>
          <w:szCs w:val="18"/>
          <w:color w:val="auto"/>
        </w:rPr>
        <w:t xml:space="preserve"> </w:t>
      </w:r>
      <w:hyperlink r:id="rId120">
        <w:r>
          <w:rPr>
            <w:rFonts w:ascii="Times New Roman" w:cs="Times New Roman" w:eastAsia="Times New Roman" w:hAnsi="Times New Roman"/>
            <w:sz w:val="18"/>
            <w:szCs w:val="18"/>
            <w:u w:val="single" w:color="auto"/>
            <w:color w:val="0000FF"/>
          </w:rPr>
          <w:t>Pipeline, L.P., PAA Finance Corp. and U.S. Bank National Association, as trustee (incorporated by reference to Exhibit 4.1 to our</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u w:val="single" w:color="auto"/>
            <w:color w:val="0000FF"/>
          </w:rPr>
          <w:t>Current Report on Form 8-K filed April 29, 2014)</w:t>
        </w:r>
        <w:r>
          <w:rPr>
            <w:rFonts w:ascii="Times New Roman" w:cs="Times New Roman" w:eastAsia="Times New Roman" w:hAnsi="Times New Roman"/>
            <w:sz w:val="18"/>
            <w:szCs w:val="18"/>
            <w:color w:val="000000"/>
          </w:rPr>
          <w:t>.</w:t>
        </w:r>
      </w:hyperlink>
    </w:p>
    <w:p>
      <w:pPr>
        <w:spacing w:after="0" w:line="111" w:lineRule="exact"/>
        <w:rPr>
          <w:sz w:val="20"/>
          <w:szCs w:val="20"/>
          <w:color w:val="auto"/>
        </w:rPr>
      </w:pPr>
    </w:p>
    <w:p>
      <w:pPr>
        <w:jc w:val="right"/>
        <w:ind w:left="480" w:right="62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4.7       —  </w:t>
      </w:r>
      <w:hyperlink r:id="rId121">
        <w:r>
          <w:rPr>
            <w:rFonts w:ascii="Times New Roman" w:cs="Times New Roman" w:eastAsia="Times New Roman" w:hAnsi="Times New Roman"/>
            <w:sz w:val="18"/>
            <w:szCs w:val="18"/>
            <w:u w:val="single" w:color="auto"/>
            <w:color w:val="0000FF"/>
          </w:rPr>
          <w:t>Twenty-Sixth Supplemental Indenture (3.60% Senior Notes due 2024) dated September 9, 2014, by and among Plains All</w:t>
        </w:r>
      </w:hyperlink>
      <w:r>
        <w:rPr>
          <w:rFonts w:ascii="Times New Roman" w:cs="Times New Roman" w:eastAsia="Times New Roman" w:hAnsi="Times New Roman"/>
          <w:sz w:val="18"/>
          <w:szCs w:val="18"/>
          <w:color w:val="auto"/>
        </w:rPr>
        <w:t xml:space="preserve"> </w:t>
      </w:r>
      <w:hyperlink r:id="rId121">
        <w:r>
          <w:rPr>
            <w:rFonts w:ascii="Times New Roman" w:cs="Times New Roman" w:eastAsia="Times New Roman" w:hAnsi="Times New Roman"/>
            <w:sz w:val="18"/>
            <w:szCs w:val="18"/>
            <w:u w:val="single" w:color="auto"/>
            <w:color w:val="0000FF"/>
          </w:rPr>
          <w:t>American Pipeline, L.P., PAA Finance Corp. and U.S. Bank National Association, as trustee (incorporated by reference to</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Exhibit 4.1 to our Current Report on Form 8-K filed September 11, 2014).</w:t>
        </w:r>
      </w:hyperlink>
    </w:p>
    <w:p>
      <w:pPr>
        <w:spacing w:after="0" w:line="111" w:lineRule="exact"/>
        <w:rPr>
          <w:sz w:val="20"/>
          <w:szCs w:val="20"/>
          <w:color w:val="auto"/>
        </w:rPr>
      </w:pPr>
    </w:p>
    <w:p>
      <w:pPr>
        <w:ind w:left="1380" w:right="54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color w:val="auto"/>
        </w:rPr>
        <w:t xml:space="preserve">— </w:t>
      </w:r>
      <w:hyperlink r:id="rId122">
        <w:r>
          <w:rPr>
            <w:rFonts w:ascii="Times New Roman" w:cs="Times New Roman" w:eastAsia="Times New Roman" w:hAnsi="Times New Roman"/>
            <w:sz w:val="18"/>
            <w:szCs w:val="18"/>
            <w:u w:val="single" w:color="auto"/>
            <w:color w:val="0000FF"/>
          </w:rPr>
          <w:t>Twenty-Eighth Supplemental Indenture (4.90% Senior Notes due 2045) dated December 9, 2014, by and among Plains All</w:t>
        </w:r>
      </w:hyperlink>
      <w:r>
        <w:rPr>
          <w:rFonts w:ascii="Times New Roman" w:cs="Times New Roman" w:eastAsia="Times New Roman" w:hAnsi="Times New Roman"/>
          <w:sz w:val="18"/>
          <w:szCs w:val="18"/>
          <w:color w:val="auto"/>
        </w:rPr>
        <w:t xml:space="preserve"> </w:t>
      </w:r>
      <w:hyperlink r:id="rId122">
        <w:r>
          <w:rPr>
            <w:rFonts w:ascii="Times New Roman" w:cs="Times New Roman" w:eastAsia="Times New Roman" w:hAnsi="Times New Roman"/>
            <w:sz w:val="18"/>
            <w:szCs w:val="18"/>
            <w:u w:val="single" w:color="auto"/>
            <w:color w:val="0000FF"/>
          </w:rPr>
          <w:t>American Pipeline, L.P., PAA Finance Corp. and U.S. Bank National Association, as trustee (incorporated by reference to</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Exhibit 4.3 to our Current Report on Form 8-K filed December 11, 2014).</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380" w:right="4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color w:val="auto"/>
        </w:rPr>
        <w:t xml:space="preserve">— </w:t>
      </w:r>
      <w:hyperlink r:id="rId124">
        <w:r>
          <w:rPr>
            <w:rFonts w:ascii="Times New Roman" w:cs="Times New Roman" w:eastAsia="Times New Roman" w:hAnsi="Times New Roman"/>
            <w:sz w:val="18"/>
            <w:szCs w:val="18"/>
            <w:u w:val="single" w:color="auto"/>
            <w:color w:val="0000FF"/>
          </w:rPr>
          <w:t>Twenty-Ninth Supplemental Indenture (4.65% Senior Notes due 2025) dated August 24, 2015, by and among Plains All American</w:t>
        </w:r>
      </w:hyperlink>
      <w:r>
        <w:rPr>
          <w:rFonts w:ascii="Times New Roman" w:cs="Times New Roman" w:eastAsia="Times New Roman" w:hAnsi="Times New Roman"/>
          <w:sz w:val="18"/>
          <w:szCs w:val="18"/>
          <w:color w:val="auto"/>
        </w:rPr>
        <w:t xml:space="preserve"> </w:t>
      </w:r>
      <w:hyperlink r:id="rId124">
        <w:r>
          <w:rPr>
            <w:rFonts w:ascii="Times New Roman" w:cs="Times New Roman" w:eastAsia="Times New Roman" w:hAnsi="Times New Roman"/>
            <w:sz w:val="18"/>
            <w:szCs w:val="18"/>
            <w:u w:val="single" w:color="auto"/>
            <w:color w:val="0000FF"/>
          </w:rPr>
          <w:t>Pipeline, L.P., PAA Finance Corp. and U.S. Bank National Association, as trustee (incorporated by reference to Exhibit 4.1 to our</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Current Report on Form 8-K filed August 26, 2015).</w:t>
        </w:r>
      </w:hyperlink>
    </w:p>
    <w:p>
      <w:pPr>
        <w:spacing w:after="0" w:line="111" w:lineRule="exact"/>
        <w:rPr>
          <w:sz w:val="20"/>
          <w:szCs w:val="20"/>
          <w:color w:val="auto"/>
        </w:rPr>
      </w:pPr>
    </w:p>
    <w:p>
      <w:pPr>
        <w:ind w:left="1380" w:right="100" w:hanging="1308"/>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8"/>
          <w:szCs w:val="18"/>
          <w:color w:val="auto"/>
        </w:rPr>
        <w:t xml:space="preserve">— </w:t>
      </w:r>
      <w:hyperlink r:id="rId125">
        <w:r>
          <w:rPr>
            <w:rFonts w:ascii="Times New Roman" w:cs="Times New Roman" w:eastAsia="Times New Roman" w:hAnsi="Times New Roman"/>
            <w:sz w:val="18"/>
            <w:szCs w:val="18"/>
            <w:u w:val="single" w:color="auto"/>
            <w:color w:val="0000FF"/>
          </w:rPr>
          <w:t>Thirtieth Supplemental Indenture (4.50% Senior Notes due 2026) dated November 22, 2016, by and among Plains All American</w:t>
        </w:r>
      </w:hyperlink>
      <w:r>
        <w:rPr>
          <w:rFonts w:ascii="Times New Roman" w:cs="Times New Roman" w:eastAsia="Times New Roman" w:hAnsi="Times New Roman"/>
          <w:sz w:val="18"/>
          <w:szCs w:val="18"/>
          <w:color w:val="auto"/>
        </w:rPr>
        <w:t xml:space="preserve"> </w:t>
      </w:r>
      <w:hyperlink r:id="rId125">
        <w:r>
          <w:rPr>
            <w:rFonts w:ascii="Times New Roman" w:cs="Times New Roman" w:eastAsia="Times New Roman" w:hAnsi="Times New Roman"/>
            <w:sz w:val="18"/>
            <w:szCs w:val="18"/>
            <w:u w:val="single" w:color="auto"/>
            <w:color w:val="0000FF"/>
          </w:rPr>
          <w:t>Pipeline, L.P., PAA Finance Corp. and U.S. Bank National Association, as trustee (incorporated by reference to Exhibit 4.1 to our</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u w:val="single" w:color="auto"/>
            <w:color w:val="0000FF"/>
          </w:rPr>
          <w:t>Current Report on Form 8-K filed November 29, 2016)</w:t>
        </w:r>
        <w:r>
          <w:rPr>
            <w:rFonts w:ascii="Times New Roman" w:cs="Times New Roman" w:eastAsia="Times New Roman" w:hAnsi="Times New Roman"/>
            <w:sz w:val="18"/>
            <w:szCs w:val="18"/>
            <w:color w:val="000000"/>
          </w:rPr>
          <w:t>.</w:t>
        </w:r>
      </w:hyperlink>
    </w:p>
    <w:p>
      <w:pPr>
        <w:spacing w:after="0" w:line="111" w:lineRule="exact"/>
        <w:rPr>
          <w:sz w:val="20"/>
          <w:szCs w:val="20"/>
          <w:color w:val="auto"/>
        </w:rPr>
      </w:pPr>
    </w:p>
    <w:p>
      <w:pPr>
        <w:ind w:left="1380" w:right="80" w:hanging="1305"/>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color w:val="auto"/>
        </w:rPr>
        <w:t xml:space="preserve">— </w:t>
      </w:r>
      <w:hyperlink r:id="rId126">
        <w:r>
          <w:rPr>
            <w:rFonts w:ascii="Times New Roman" w:cs="Times New Roman" w:eastAsia="Times New Roman" w:hAnsi="Times New Roman"/>
            <w:sz w:val="18"/>
            <w:szCs w:val="18"/>
            <w:u w:val="single" w:color="auto"/>
            <w:color w:val="0000FF"/>
          </w:rPr>
          <w:t>Thirty-First Supplemental Indenture (3.55% Senior Notes due 2029) dated September 16, 2019, by and among Plains All</w:t>
        </w:r>
      </w:hyperlink>
      <w:r>
        <w:rPr>
          <w:rFonts w:ascii="Times New Roman" w:cs="Times New Roman" w:eastAsia="Times New Roman" w:hAnsi="Times New Roman"/>
          <w:sz w:val="18"/>
          <w:szCs w:val="18"/>
          <w:color w:val="auto"/>
        </w:rPr>
        <w:t xml:space="preserve"> </w:t>
      </w:r>
      <w:hyperlink r:id="rId126">
        <w:r>
          <w:rPr>
            <w:rFonts w:ascii="Times New Roman" w:cs="Times New Roman" w:eastAsia="Times New Roman" w:hAnsi="Times New Roman"/>
            <w:sz w:val="18"/>
            <w:szCs w:val="18"/>
            <w:u w:val="single" w:color="auto"/>
            <w:color w:val="0000FF"/>
          </w:rPr>
          <w:t>American Pipeline, L.P., PAA Finance Corp. and U.S. Bank National Association, as trustee (incorporated by reference to Exhibit</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4.1 to our Current Report on Form 8-K filed September 17, 2019).</w:t>
        </w:r>
      </w:hyperlink>
    </w:p>
    <w:p>
      <w:pPr>
        <w:spacing w:after="0" w:line="111" w:lineRule="exact"/>
        <w:rPr>
          <w:sz w:val="20"/>
          <w:szCs w:val="20"/>
          <w:color w:val="auto"/>
        </w:rPr>
      </w:pPr>
    </w:p>
    <w:p>
      <w:pPr>
        <w:ind w:left="1380" w:right="100" w:hanging="1308"/>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8"/>
          <w:szCs w:val="18"/>
          <w:color w:val="auto"/>
        </w:rPr>
        <w:t xml:space="preserve">— </w:t>
      </w:r>
      <w:hyperlink r:id="rId127">
        <w:r>
          <w:rPr>
            <w:rFonts w:ascii="Times New Roman" w:cs="Times New Roman" w:eastAsia="Times New Roman" w:hAnsi="Times New Roman"/>
            <w:sz w:val="18"/>
            <w:szCs w:val="18"/>
            <w:u w:val="single" w:color="auto"/>
            <w:color w:val="0000FF"/>
          </w:rPr>
          <w:t>Thirty-Second Supplemental Indenture (3.80% Senior Notes due 2030) dated June 11, 2020, by and among Plains All American</w:t>
        </w:r>
      </w:hyperlink>
      <w:r>
        <w:rPr>
          <w:rFonts w:ascii="Times New Roman" w:cs="Times New Roman" w:eastAsia="Times New Roman" w:hAnsi="Times New Roman"/>
          <w:sz w:val="18"/>
          <w:szCs w:val="18"/>
          <w:color w:val="auto"/>
        </w:rPr>
        <w:t xml:space="preserve"> </w:t>
      </w:r>
      <w:hyperlink r:id="rId127">
        <w:r>
          <w:rPr>
            <w:rFonts w:ascii="Times New Roman" w:cs="Times New Roman" w:eastAsia="Times New Roman" w:hAnsi="Times New Roman"/>
            <w:sz w:val="18"/>
            <w:szCs w:val="18"/>
            <w:u w:val="single" w:color="auto"/>
            <w:color w:val="0000FF"/>
          </w:rPr>
          <w:t>Pipeline, L.P., PAA Finance Corp. and U.S. Bank National Association, as trustee (incorporated by reference to Exhibit 4.1 to our</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Current Report on Form 8-K filed June 11, 2020).</w:t>
        </w:r>
      </w:hyperlink>
    </w:p>
    <w:p>
      <w:pPr>
        <w:spacing w:after="0" w:line="111" w:lineRule="exact"/>
        <w:rPr>
          <w:sz w:val="20"/>
          <w:szCs w:val="20"/>
          <w:color w:val="auto"/>
        </w:rPr>
      </w:pPr>
    </w:p>
    <w:p>
      <w:pPr>
        <w:ind w:left="1380" w:right="220" w:hanging="1308"/>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8"/>
          <w:szCs w:val="18"/>
          <w:color w:val="auto"/>
        </w:rPr>
        <w:t xml:space="preserve">— </w:t>
      </w:r>
      <w:hyperlink r:id="rId128">
        <w:r>
          <w:rPr>
            <w:rFonts w:ascii="Times New Roman" w:cs="Times New Roman" w:eastAsia="Times New Roman" w:hAnsi="Times New Roman"/>
            <w:sz w:val="18"/>
            <w:szCs w:val="18"/>
            <w:u w:val="single" w:color="auto"/>
            <w:color w:val="0000FF"/>
          </w:rPr>
          <w:t>Thirty-Third Supplemental Indenture (5.70% Senior Notes due 2034) dated June 27, 2024, by and among Plains All American</w:t>
        </w:r>
      </w:hyperlink>
      <w:r>
        <w:rPr>
          <w:rFonts w:ascii="Times New Roman" w:cs="Times New Roman" w:eastAsia="Times New Roman" w:hAnsi="Times New Roman"/>
          <w:sz w:val="18"/>
          <w:szCs w:val="18"/>
          <w:color w:val="auto"/>
        </w:rPr>
        <w:t xml:space="preserve"> </w:t>
      </w:r>
      <w:hyperlink r:id="rId128">
        <w:r>
          <w:rPr>
            <w:rFonts w:ascii="Times New Roman" w:cs="Times New Roman" w:eastAsia="Times New Roman" w:hAnsi="Times New Roman"/>
            <w:sz w:val="18"/>
            <w:szCs w:val="18"/>
            <w:u w:val="single" w:color="auto"/>
            <w:color w:val="0000FF"/>
          </w:rPr>
          <w:t>Pipeline, L.P., PAA Finance Corp. and U.S. Bank Trust Company, National Association, as trustee (incorporated by reference to</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Exhibit 4.1 to our Current Report on Form 8-K filed June 27, 2024).</w:t>
        </w:r>
      </w:hyperlink>
    </w:p>
    <w:p>
      <w:pPr>
        <w:spacing w:after="0" w:line="111" w:lineRule="exact"/>
        <w:rPr>
          <w:sz w:val="20"/>
          <w:szCs w:val="20"/>
          <w:color w:val="auto"/>
        </w:rPr>
      </w:pPr>
    </w:p>
    <w:p>
      <w:pPr>
        <w:ind w:left="1380" w:right="48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4.14</w:t>
      </w:r>
      <w:r>
        <w:rPr>
          <w:sz w:val="20"/>
          <w:szCs w:val="20"/>
          <w:color w:val="auto"/>
        </w:rPr>
        <w:tab/>
      </w:r>
      <w:r>
        <w:rPr>
          <w:rFonts w:ascii="Times New Roman" w:cs="Times New Roman" w:eastAsia="Times New Roman" w:hAnsi="Times New Roman"/>
          <w:sz w:val="18"/>
          <w:szCs w:val="18"/>
          <w:color w:val="auto"/>
        </w:rPr>
        <w:t xml:space="preserve">— </w:t>
      </w:r>
      <w:hyperlink r:id="rId129">
        <w:r>
          <w:rPr>
            <w:rFonts w:ascii="Times New Roman" w:cs="Times New Roman" w:eastAsia="Times New Roman" w:hAnsi="Times New Roman"/>
            <w:sz w:val="18"/>
            <w:szCs w:val="18"/>
            <w:u w:val="single" w:color="auto"/>
            <w:color w:val="0000FF"/>
          </w:rPr>
          <w:t>Registration Rights Agreement dated September 3, 2009 by and between Plains All American Pipeline, L.P. and Vulcan Gas</w:t>
        </w:r>
      </w:hyperlink>
      <w:r>
        <w:rPr>
          <w:rFonts w:ascii="Times New Roman" w:cs="Times New Roman" w:eastAsia="Times New Roman" w:hAnsi="Times New Roman"/>
          <w:sz w:val="18"/>
          <w:szCs w:val="18"/>
          <w:color w:val="auto"/>
        </w:rPr>
        <w:t xml:space="preserve"> </w:t>
      </w:r>
      <w:hyperlink r:id="rId129">
        <w:r>
          <w:rPr>
            <w:rFonts w:ascii="Times New Roman" w:cs="Times New Roman" w:eastAsia="Times New Roman" w:hAnsi="Times New Roman"/>
            <w:sz w:val="18"/>
            <w:szCs w:val="18"/>
            <w:u w:val="single" w:color="auto"/>
            <w:color w:val="0000FF"/>
          </w:rPr>
          <w:t>Storage LLC (incorporated by reference to Exhibit 4.1 to our Registration Statement on Form S-3, File No. 333-162477).</w:t>
        </w:r>
      </w:hyperlink>
    </w:p>
    <w:p>
      <w:pPr>
        <w:spacing w:after="0" w:line="118" w:lineRule="exact"/>
        <w:rPr>
          <w:sz w:val="20"/>
          <w:szCs w:val="20"/>
          <w:color w:val="auto"/>
        </w:rPr>
      </w:pPr>
    </w:p>
    <w:p>
      <w:pPr>
        <w:ind w:left="1380" w:right="12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8"/>
          <w:szCs w:val="18"/>
          <w:color w:val="auto"/>
        </w:rPr>
        <w:t xml:space="preserve">— </w:t>
      </w:r>
      <w:hyperlink r:id="rId130">
        <w:r>
          <w:rPr>
            <w:rFonts w:ascii="Times New Roman" w:cs="Times New Roman" w:eastAsia="Times New Roman" w:hAnsi="Times New Roman"/>
            <w:sz w:val="18"/>
            <w:szCs w:val="18"/>
            <w:u w:val="single" w:color="auto"/>
            <w:color w:val="0000FF"/>
          </w:rPr>
          <w:t>Registration Rights Agreement dated as of January 28, 2016 among Plains All American Pipeline, L.P. and the Purchasers named</w:t>
        </w:r>
      </w:hyperlink>
      <w:r>
        <w:rPr>
          <w:rFonts w:ascii="Times New Roman" w:cs="Times New Roman" w:eastAsia="Times New Roman" w:hAnsi="Times New Roman"/>
          <w:sz w:val="18"/>
          <w:szCs w:val="18"/>
          <w:color w:val="auto"/>
        </w:rPr>
        <w:t xml:space="preserve"> </w:t>
      </w:r>
      <w:hyperlink r:id="rId130">
        <w:r>
          <w:rPr>
            <w:rFonts w:ascii="Times New Roman" w:cs="Times New Roman" w:eastAsia="Times New Roman" w:hAnsi="Times New Roman"/>
            <w:sz w:val="18"/>
            <w:szCs w:val="18"/>
            <w:u w:val="single" w:color="auto"/>
            <w:color w:val="0000FF"/>
          </w:rPr>
          <w:t>therein (incorporated by reference to Exhibit 4.1 to our Current Report on Form 8-K filed February 2, 2016).</w:t>
        </w:r>
      </w:hyperlink>
    </w:p>
    <w:p>
      <w:pPr>
        <w:spacing w:after="0" w:line="106" w:lineRule="exact"/>
        <w:rPr>
          <w:sz w:val="20"/>
          <w:szCs w:val="20"/>
          <w:color w:val="auto"/>
        </w:rPr>
      </w:pPr>
    </w:p>
    <w:p>
      <w:pPr>
        <w:ind w:left="440"/>
        <w:spacing w:after="0"/>
        <w:tabs>
          <w:tab w:leader="none" w:pos="1360" w:val="left"/>
          <w:tab w:leader="none" w:pos="17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4.16</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31">
        <w:r>
          <w:rPr>
            <w:rFonts w:ascii="Times New Roman" w:cs="Times New Roman" w:eastAsia="Times New Roman" w:hAnsi="Times New Roman"/>
            <w:sz w:val="17"/>
            <w:szCs w:val="17"/>
            <w:u w:val="single" w:color="auto"/>
            <w:color w:val="0000FF"/>
          </w:rPr>
          <w:t>Registration Rights Agreement by and among Plains All American Pipeline, L.P. and the Holders defined therein, dated November</w:t>
        </w:r>
      </w:hyperlink>
    </w:p>
    <w:p>
      <w:pPr>
        <w:ind w:left="1760"/>
        <w:spacing w:after="0"/>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15, 2016 (incorporated by reference to Exhibit 10.4 to our Current Report on Form 8-K filed November 21, 2016).</w:t>
        </w:r>
      </w:hyperlink>
    </w:p>
    <w:p>
      <w:pPr>
        <w:spacing w:after="0" w:line="124" w:lineRule="exact"/>
        <w:rPr>
          <w:sz w:val="20"/>
          <w:szCs w:val="20"/>
          <w:color w:val="auto"/>
        </w:rPr>
      </w:pPr>
    </w:p>
    <w:p>
      <w:pPr>
        <w:ind w:left="1380" w:right="24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4.17</w:t>
      </w:r>
      <w:r>
        <w:rPr>
          <w:sz w:val="20"/>
          <w:szCs w:val="20"/>
          <w:color w:val="auto"/>
        </w:rPr>
        <w:tab/>
      </w:r>
      <w:r>
        <w:rPr>
          <w:rFonts w:ascii="Times New Roman" w:cs="Times New Roman" w:eastAsia="Times New Roman" w:hAnsi="Times New Roman"/>
          <w:sz w:val="18"/>
          <w:szCs w:val="18"/>
          <w:color w:val="auto"/>
        </w:rPr>
        <w:t xml:space="preserve">— </w:t>
      </w:r>
      <w:hyperlink r:id="rId132">
        <w:r>
          <w:rPr>
            <w:rFonts w:ascii="Times New Roman" w:cs="Times New Roman" w:eastAsia="Times New Roman" w:hAnsi="Times New Roman"/>
            <w:sz w:val="18"/>
            <w:szCs w:val="18"/>
            <w:u w:val="single" w:color="auto"/>
            <w:color w:val="0000FF"/>
          </w:rPr>
          <w:t>Description of Our Securities (incorporated by reference to Exhibit 4.16 to our Annual Report on Form 10-K for the year ended</w:t>
        </w:r>
      </w:hyperlink>
      <w:r>
        <w:rPr>
          <w:rFonts w:ascii="Times New Roman" w:cs="Times New Roman" w:eastAsia="Times New Roman" w:hAnsi="Times New Roman"/>
          <w:sz w:val="18"/>
          <w:szCs w:val="18"/>
          <w:color w:val="auto"/>
        </w:rPr>
        <w:t xml:space="preserve"> </w:t>
      </w:r>
      <w:hyperlink r:id="rId132">
        <w:r>
          <w:rPr>
            <w:rFonts w:ascii="Times New Roman" w:cs="Times New Roman" w:eastAsia="Times New Roman" w:hAnsi="Times New Roman"/>
            <w:sz w:val="18"/>
            <w:szCs w:val="18"/>
            <w:u w:val="single" w:color="auto"/>
            <w:color w:val="0000FF"/>
          </w:rPr>
          <w:t>December 31, 2023).</w:t>
        </w:r>
      </w:hyperlink>
    </w:p>
    <w:p>
      <w:pPr>
        <w:spacing w:after="0" w:line="118" w:lineRule="exact"/>
        <w:rPr>
          <w:sz w:val="20"/>
          <w:szCs w:val="20"/>
          <w:color w:val="auto"/>
        </w:rPr>
      </w:pPr>
    </w:p>
    <w:p>
      <w:pPr>
        <w:ind w:left="1380" w:right="100" w:hanging="1308"/>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 xml:space="preserve">— </w:t>
      </w:r>
      <w:hyperlink r:id="rId133">
        <w:r>
          <w:rPr>
            <w:rFonts w:ascii="Times New Roman" w:cs="Times New Roman" w:eastAsia="Times New Roman" w:hAnsi="Times New Roman"/>
            <w:sz w:val="18"/>
            <w:szCs w:val="18"/>
            <w:u w:val="single" w:color="auto"/>
            <w:color w:val="0000FF"/>
          </w:rPr>
          <w:t>Second Amendment to Credit Agreement dated as of August 19, 2024, among Plains All American Pipeline, L.P. and Plains</w:t>
        </w:r>
      </w:hyperlink>
      <w:r>
        <w:rPr>
          <w:rFonts w:ascii="Times New Roman" w:cs="Times New Roman" w:eastAsia="Times New Roman" w:hAnsi="Times New Roman"/>
          <w:sz w:val="18"/>
          <w:szCs w:val="18"/>
          <w:color w:val="auto"/>
        </w:rPr>
        <w:t xml:space="preserve"> </w:t>
      </w:r>
      <w:hyperlink r:id="rId133">
        <w:r>
          <w:rPr>
            <w:rFonts w:ascii="Times New Roman" w:cs="Times New Roman" w:eastAsia="Times New Roman" w:hAnsi="Times New Roman"/>
            <w:sz w:val="18"/>
            <w:szCs w:val="18"/>
            <w:u w:val="single" w:color="auto"/>
            <w:color w:val="0000FF"/>
          </w:rPr>
          <w:t>Midstream Canada ULC, as Borrowers; certain subsidiaries of Plains All American Pipeline, L.P. from time to time party thereto,</w:t>
        </w:r>
      </w:hyperlink>
    </w:p>
    <w:p>
      <w:pPr>
        <w:spacing w:after="0" w:line="2" w:lineRule="exact"/>
        <w:rPr>
          <w:sz w:val="20"/>
          <w:szCs w:val="20"/>
          <w:color w:val="auto"/>
        </w:rPr>
      </w:pPr>
    </w:p>
    <w:p>
      <w:pPr>
        <w:ind w:left="1760" w:right="180"/>
        <w:spacing w:after="0" w:line="218" w:lineRule="auto"/>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as Designated Borrowers; Bank of America, N.A., as Administrative Agent and Swing Line Lender; Bank of America, N.A.,</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Citibank, N.A., JPMorgan Chase Bank, N.A. and Wells Fargo Bank, National Association, as L/C Issuers; and the other Lenders</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party thereto (incorporated by reference to Exhibit 10.1 to our Current Report on Form 8-K filed August 22, 2024).</w:t>
        </w:r>
      </w:hyperlink>
    </w:p>
    <w:p>
      <w:pPr>
        <w:spacing w:after="0" w:line="118" w:lineRule="exact"/>
        <w:rPr>
          <w:rFonts w:ascii="Times New Roman" w:cs="Times New Roman" w:eastAsia="Times New Roman" w:hAnsi="Times New Roman"/>
          <w:sz w:val="18"/>
          <w:szCs w:val="18"/>
          <w:u w:val="single" w:color="auto"/>
          <w:color w:val="0000FF"/>
        </w:rPr>
      </w:pPr>
    </w:p>
    <w:p>
      <w:pPr>
        <w:ind w:left="1380" w:right="140" w:hanging="1308"/>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 xml:space="preserve">— </w:t>
      </w:r>
      <w:hyperlink r:id="rId134">
        <w:r>
          <w:rPr>
            <w:rFonts w:ascii="Times New Roman" w:cs="Times New Roman" w:eastAsia="Times New Roman" w:hAnsi="Times New Roman"/>
            <w:sz w:val="18"/>
            <w:szCs w:val="18"/>
            <w:u w:val="single" w:color="auto"/>
            <w:color w:val="0000FF"/>
          </w:rPr>
          <w:t>Second Amendment to Fourth Amended and Restated Credit Agreement dated as of August 19, 2024, among Plains Marketing,</w:t>
        </w:r>
      </w:hyperlink>
      <w:r>
        <w:rPr>
          <w:rFonts w:ascii="Times New Roman" w:cs="Times New Roman" w:eastAsia="Times New Roman" w:hAnsi="Times New Roman"/>
          <w:sz w:val="18"/>
          <w:szCs w:val="18"/>
          <w:color w:val="auto"/>
        </w:rPr>
        <w:t xml:space="preserve"> </w:t>
      </w:r>
      <w:hyperlink r:id="rId134">
        <w:r>
          <w:rPr>
            <w:rFonts w:ascii="Times New Roman" w:cs="Times New Roman" w:eastAsia="Times New Roman" w:hAnsi="Times New Roman"/>
            <w:sz w:val="18"/>
            <w:szCs w:val="18"/>
            <w:u w:val="single" w:color="auto"/>
            <w:color w:val="0000FF"/>
          </w:rPr>
          <w:t>L.P. and Plains Midstream Canada ULC, as Borrowers; Plains All American Pipeline, L.P., as guarantor; Bank of America, N.A.,</w:t>
        </w:r>
      </w:hyperlink>
    </w:p>
    <w:p>
      <w:pPr>
        <w:spacing w:after="0" w:line="2" w:lineRule="exact"/>
        <w:rPr>
          <w:sz w:val="20"/>
          <w:szCs w:val="20"/>
          <w:color w:val="auto"/>
        </w:rPr>
      </w:pPr>
    </w:p>
    <w:p>
      <w:pPr>
        <w:ind w:left="1760" w:right="80"/>
        <w:spacing w:after="0" w:line="218" w:lineRule="auto"/>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as Administrative Agent and Swing Line Lender; Bank of America, N.A., Citibank, N.A., JPMorgan Chase Bank, N.A. and Wells</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Fargo Bank, National Association, as L/C Issuers; and the other Lenders party thereto (incorporated by reference to Exhibit 10.2</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to our Current Report on Form 8-K filed August 22, 2024).</w:t>
        </w:r>
      </w:hyperlink>
    </w:p>
    <w:p>
      <w:pPr>
        <w:spacing w:after="0" w:line="118" w:lineRule="exact"/>
        <w:rPr>
          <w:rFonts w:ascii="Times New Roman" w:cs="Times New Roman" w:eastAsia="Times New Roman" w:hAnsi="Times New Roman"/>
          <w:sz w:val="18"/>
          <w:szCs w:val="18"/>
          <w:u w:val="single" w:color="auto"/>
          <w:color w:val="0000FF"/>
        </w:rPr>
      </w:pPr>
    </w:p>
    <w:p>
      <w:pPr>
        <w:ind w:left="340"/>
        <w:spacing w:after="0"/>
        <w:tabs>
          <w:tab w:leader="none" w:pos="1360" w:val="left"/>
          <w:tab w:leader="none" w:pos="1740" w:val="left"/>
        </w:tabs>
        <w:rPr>
          <w:sz w:val="20"/>
          <w:szCs w:val="20"/>
          <w:color w:val="auto"/>
        </w:rPr>
      </w:pPr>
      <w:r>
        <w:rPr>
          <w:rFonts w:ascii="Times New Roman" w:cs="Times New Roman" w:eastAsia="Times New Roman" w:hAnsi="Times New Roman"/>
          <w:sz w:val="18"/>
          <w:szCs w:val="18"/>
          <w:color w:val="auto"/>
        </w:rPr>
        <w:t>10.3* †</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0000FF"/>
        </w:rPr>
        <w:t>Form of LTIP Grant Letter dated August 15, 2024 (Named Executive Officers).</w:t>
      </w:r>
    </w:p>
    <w:p>
      <w:pPr>
        <w:spacing w:after="0" w:line="131" w:lineRule="exact"/>
        <w:rPr>
          <w:rFonts w:ascii="Times New Roman" w:cs="Times New Roman" w:eastAsia="Times New Roman" w:hAnsi="Times New Roman"/>
          <w:sz w:val="18"/>
          <w:szCs w:val="18"/>
          <w:u w:val="single" w:color="auto"/>
          <w:color w:val="0000FF"/>
        </w:rPr>
      </w:pPr>
    </w:p>
    <w:p>
      <w:pPr>
        <w:ind w:left="340"/>
        <w:spacing w:after="0"/>
        <w:tabs>
          <w:tab w:leader="none" w:pos="1360" w:val="left"/>
          <w:tab w:leader="none" w:pos="1740" w:val="left"/>
        </w:tabs>
        <w:rPr>
          <w:sz w:val="20"/>
          <w:szCs w:val="20"/>
          <w:color w:val="auto"/>
        </w:rPr>
      </w:pPr>
      <w:r>
        <w:rPr>
          <w:rFonts w:ascii="Times New Roman" w:cs="Times New Roman" w:eastAsia="Times New Roman" w:hAnsi="Times New Roman"/>
          <w:sz w:val="18"/>
          <w:szCs w:val="18"/>
          <w:color w:val="auto"/>
        </w:rPr>
        <w:t>10.4* †</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0000FF"/>
        </w:rPr>
        <w:t>Form of LTIP Grant Letter dated August 15, 2024 (Directors).</w:t>
      </w:r>
    </w:p>
    <w:p>
      <w:pPr>
        <w:spacing w:after="0" w:line="131" w:lineRule="exact"/>
        <w:rPr>
          <w:rFonts w:ascii="Times New Roman" w:cs="Times New Roman" w:eastAsia="Times New Roman" w:hAnsi="Times New Roman"/>
          <w:sz w:val="18"/>
          <w:szCs w:val="18"/>
          <w:u w:val="single" w:color="auto"/>
          <w:color w:val="0000FF"/>
        </w:rPr>
      </w:pPr>
    </w:p>
    <w:p>
      <w:pPr>
        <w:ind w:left="380"/>
        <w:spacing w:after="0"/>
        <w:tabs>
          <w:tab w:leader="none" w:pos="1360" w:val="left"/>
          <w:tab w:leader="none" w:pos="1740" w:val="left"/>
        </w:tabs>
        <w:rPr>
          <w:sz w:val="20"/>
          <w:szCs w:val="20"/>
          <w:color w:val="auto"/>
        </w:rPr>
      </w:pPr>
      <w:r>
        <w:rPr>
          <w:rFonts w:ascii="Times New Roman" w:cs="Times New Roman" w:eastAsia="Times New Roman" w:hAnsi="Times New Roman"/>
          <w:sz w:val="18"/>
          <w:szCs w:val="18"/>
          <w:color w:val="auto"/>
        </w:rPr>
        <w:t>31.1 †</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0000FF"/>
        </w:rPr>
        <w:t>Certification of Principal Executive Officer pursuant to Exchange Act Rules 13a-14(a) and 15d-14(a).</w:t>
      </w:r>
    </w:p>
    <w:p>
      <w:pPr>
        <w:spacing w:after="0" w:line="131" w:lineRule="exact"/>
        <w:rPr>
          <w:rFonts w:ascii="Times New Roman" w:cs="Times New Roman" w:eastAsia="Times New Roman" w:hAnsi="Times New Roman"/>
          <w:sz w:val="18"/>
          <w:szCs w:val="18"/>
          <w:u w:val="single" w:color="auto"/>
          <w:color w:val="0000FF"/>
        </w:rPr>
      </w:pPr>
    </w:p>
    <w:p>
      <w:pPr>
        <w:ind w:left="380"/>
        <w:spacing w:after="0"/>
        <w:tabs>
          <w:tab w:leader="none" w:pos="1360" w:val="left"/>
          <w:tab w:leader="none" w:pos="1740" w:val="left"/>
        </w:tabs>
        <w:rPr>
          <w:sz w:val="20"/>
          <w:szCs w:val="20"/>
          <w:color w:val="auto"/>
        </w:rPr>
      </w:pPr>
      <w:r>
        <w:rPr>
          <w:rFonts w:ascii="Times New Roman" w:cs="Times New Roman" w:eastAsia="Times New Roman" w:hAnsi="Times New Roman"/>
          <w:sz w:val="18"/>
          <w:szCs w:val="18"/>
          <w:color w:val="auto"/>
        </w:rPr>
        <w:t>31.2 †</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0000FF"/>
        </w:rPr>
        <w:t>Certification of Principal Financial Officer pursuant to Exchange Act Rules 13a-14(a) and 15d-14(a).</w:t>
      </w:r>
    </w:p>
    <w:p>
      <w:pPr>
        <w:spacing w:after="0" w:line="131" w:lineRule="exact"/>
        <w:rPr>
          <w:rFonts w:ascii="Times New Roman" w:cs="Times New Roman" w:eastAsia="Times New Roman" w:hAnsi="Times New Roman"/>
          <w:sz w:val="18"/>
          <w:szCs w:val="18"/>
          <w:u w:val="single" w:color="auto"/>
          <w:color w:val="0000FF"/>
        </w:rPr>
      </w:pPr>
    </w:p>
    <w:p>
      <w:pPr>
        <w:ind w:left="340"/>
        <w:spacing w:after="0"/>
        <w:tabs>
          <w:tab w:leader="none" w:pos="1360" w:val="left"/>
          <w:tab w:leader="none" w:pos="1740" w:val="left"/>
        </w:tabs>
        <w:rPr>
          <w:sz w:val="20"/>
          <w:szCs w:val="20"/>
          <w:color w:val="auto"/>
        </w:rPr>
      </w:pPr>
      <w:r>
        <w:rPr>
          <w:rFonts w:ascii="Times New Roman" w:cs="Times New Roman" w:eastAsia="Times New Roman" w:hAnsi="Times New Roman"/>
          <w:sz w:val="18"/>
          <w:szCs w:val="18"/>
          <w:color w:val="auto"/>
        </w:rPr>
        <w:t>32.1 ††</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0000FF"/>
        </w:rPr>
        <w:t>Certification of Principal Executive Officer pursuant to 18 U.S.C. 1350.</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6" w:lineRule="exact"/>
        <w:rPr>
          <w:rFonts w:ascii="Times New Roman" w:cs="Times New Roman" w:eastAsia="Times New Roman" w:hAnsi="Times New Roman"/>
          <w:sz w:val="18"/>
          <w:szCs w:val="18"/>
          <w:u w:val="single" w:color="auto"/>
          <w:color w:val="0000FF"/>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32.2 ††</w:t>
            </w:r>
          </w:p>
        </w:tc>
        <w:tc>
          <w:tcPr>
            <w:tcW w:w="9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Principal Financial Officer pursuant to 18 U.S.C. 1350.</w:t>
            </w:r>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shd w:val="clear" w:color="auto" w:fill="0000FF"/>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304"/>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101.INS†</w:t>
            </w:r>
          </w:p>
        </w:tc>
        <w:tc>
          <w:tcPr>
            <w:tcW w:w="9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XBRL Instance Document - the instance document does not appear in the Interactive Data File because its XBRL tags are</w:t>
            </w:r>
          </w:p>
        </w:tc>
      </w:tr>
      <w:tr>
        <w:trPr>
          <w:trHeight w:val="234"/>
        </w:trPr>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46"/>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101.SCH†</w:t>
            </w:r>
          </w:p>
        </w:tc>
        <w:tc>
          <w:tcPr>
            <w:tcW w:w="9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Inline XBRL Taxonomy Extension Schema Document</w:t>
            </w:r>
          </w:p>
        </w:tc>
      </w:tr>
      <w:tr>
        <w:trPr>
          <w:trHeight w:val="338"/>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101.CAL†</w:t>
            </w:r>
          </w:p>
        </w:tc>
        <w:tc>
          <w:tcPr>
            <w:tcW w:w="9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Inline XBRL Taxonomy Extension Calculation Linkbase Document</w:t>
            </w:r>
          </w:p>
        </w:tc>
      </w:tr>
      <w:tr>
        <w:trPr>
          <w:trHeight w:val="338"/>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101.DEF†</w:t>
            </w:r>
          </w:p>
        </w:tc>
        <w:tc>
          <w:tcPr>
            <w:tcW w:w="9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Inline XBRL Taxonomy Extension Definition Linkbase Document</w:t>
            </w:r>
          </w:p>
        </w:tc>
      </w:tr>
      <w:tr>
        <w:trPr>
          <w:trHeight w:val="283"/>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101.LAB†</w:t>
            </w:r>
          </w:p>
        </w:tc>
        <w:tc>
          <w:tcPr>
            <w:tcW w:w="9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Inline XBRL Taxonomy Extension Label Linkbase Document</w:t>
            </w:r>
          </w:p>
        </w:tc>
      </w:tr>
      <w:tr>
        <w:trPr>
          <w:trHeight w:val="338"/>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101.PRE†</w:t>
            </w:r>
          </w:p>
        </w:tc>
        <w:tc>
          <w:tcPr>
            <w:tcW w:w="9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Inline XBRL Taxonomy Extension Presentation Linkbase Document</w:t>
            </w:r>
          </w:p>
        </w:tc>
      </w:tr>
      <w:tr>
        <w:trPr>
          <w:trHeight w:val="338"/>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104†</w:t>
            </w:r>
          </w:p>
        </w:tc>
        <w:tc>
          <w:tcPr>
            <w:tcW w:w="9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4599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1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Management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121" w:right="10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2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PAA GP LLC,</w:t>
            </w:r>
          </w:p>
        </w:tc>
      </w:tr>
      <w:tr>
        <w:trPr>
          <w:trHeight w:val="236"/>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its general partner</w:t>
            </w:r>
          </w:p>
        </w:tc>
      </w:tr>
      <w:tr>
        <w:trPr>
          <w:trHeight w:val="452"/>
        </w:trPr>
        <w:tc>
          <w:tcPr>
            <w:tcW w:w="62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Plains AAP, L.P.,</w:t>
            </w:r>
          </w:p>
        </w:tc>
      </w:tr>
      <w:tr>
        <w:trPr>
          <w:trHeight w:val="236"/>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its sole member</w:t>
            </w:r>
          </w:p>
        </w:tc>
      </w:tr>
      <w:tr>
        <w:trPr>
          <w:trHeight w:val="452"/>
        </w:trPr>
        <w:tc>
          <w:tcPr>
            <w:tcW w:w="62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Plains All American GP LLC,</w:t>
            </w:r>
          </w:p>
        </w:tc>
      </w:tr>
      <w:tr>
        <w:trPr>
          <w:trHeight w:val="236"/>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its general partner</w:t>
            </w:r>
          </w:p>
        </w:tc>
      </w:tr>
      <w:tr>
        <w:trPr>
          <w:trHeight w:val="459"/>
        </w:trPr>
        <w:tc>
          <w:tcPr>
            <w:tcW w:w="62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Willie Chiang</w:t>
            </w:r>
          </w:p>
        </w:tc>
      </w:tr>
      <w:tr>
        <w:trPr>
          <w:trHeight w:val="214"/>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Willie Chiang,</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 of Plains All American GP LLC</w:t>
            </w:r>
          </w:p>
        </w:tc>
      </w:tr>
      <w:tr>
        <w:trPr>
          <w:trHeight w:val="238"/>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tc>
      </w:tr>
      <w:tr>
        <w:trPr>
          <w:trHeight w:val="45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November 8, 2024</w:t>
            </w:r>
          </w:p>
        </w:tc>
        <w:tc>
          <w:tcPr>
            <w:tcW w:w="5000" w:type="dxa"/>
            <w:vAlign w:val="bottom"/>
          </w:tcPr>
          <w:p>
            <w:pPr>
              <w:spacing w:after="0"/>
              <w:rPr>
                <w:sz w:val="24"/>
                <w:szCs w:val="24"/>
                <w:color w:val="auto"/>
              </w:rPr>
            </w:pPr>
          </w:p>
        </w:tc>
      </w:tr>
      <w:tr>
        <w:trPr>
          <w:trHeight w:val="459"/>
        </w:trPr>
        <w:tc>
          <w:tcPr>
            <w:tcW w:w="62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 Swanson</w:t>
            </w:r>
          </w:p>
        </w:tc>
      </w:tr>
      <w:tr>
        <w:trPr>
          <w:trHeight w:val="214"/>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 Swanson,</w:t>
            </w:r>
          </w:p>
        </w:tc>
      </w:tr>
      <w:tr>
        <w:trPr>
          <w:trHeight w:val="184"/>
        </w:trPr>
        <w:tc>
          <w:tcPr>
            <w:tcW w:w="6200" w:type="dxa"/>
            <w:vAlign w:val="bottom"/>
          </w:tcPr>
          <w:p>
            <w:pPr>
              <w:spacing w:after="0"/>
              <w:rPr>
                <w:sz w:val="16"/>
                <w:szCs w:val="16"/>
                <w:color w:val="auto"/>
              </w:rPr>
            </w:pPr>
          </w:p>
        </w:tc>
        <w:tc>
          <w:tcPr>
            <w:tcW w:w="5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i w:val="1"/>
                <w:iCs w:val="1"/>
                <w:color w:val="auto"/>
              </w:rPr>
              <w:t>Executive Vice President and Chief Financial Officer of Plains All</w:t>
            </w:r>
          </w:p>
        </w:tc>
      </w:tr>
      <w:tr>
        <w:trPr>
          <w:trHeight w:val="234"/>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American GP LLC</w:t>
            </w:r>
          </w:p>
        </w:tc>
      </w:tr>
      <w:tr>
        <w:trPr>
          <w:trHeight w:val="238"/>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w:t>
            </w:r>
          </w:p>
        </w:tc>
      </w:tr>
      <w:tr>
        <w:trPr>
          <w:trHeight w:val="45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November 8, 2024</w:t>
            </w:r>
          </w:p>
        </w:tc>
        <w:tc>
          <w:tcPr>
            <w:tcW w:w="5000" w:type="dxa"/>
            <w:vAlign w:val="bottom"/>
          </w:tcPr>
          <w:p>
            <w:pPr>
              <w:spacing w:after="0"/>
              <w:rPr>
                <w:sz w:val="24"/>
                <w:szCs w:val="24"/>
                <w:color w:val="auto"/>
              </w:rPr>
            </w:pPr>
          </w:p>
        </w:tc>
      </w:tr>
      <w:tr>
        <w:trPr>
          <w:trHeight w:val="459"/>
        </w:trPr>
        <w:tc>
          <w:tcPr>
            <w:tcW w:w="62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 Herbold</w:t>
            </w:r>
          </w:p>
        </w:tc>
      </w:tr>
      <w:tr>
        <w:trPr>
          <w:trHeight w:val="214"/>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Chris Herbold,</w:t>
            </w:r>
          </w:p>
        </w:tc>
      </w:tr>
      <w:tr>
        <w:trPr>
          <w:trHeight w:val="184"/>
        </w:trPr>
        <w:tc>
          <w:tcPr>
            <w:tcW w:w="6200" w:type="dxa"/>
            <w:vAlign w:val="bottom"/>
          </w:tcPr>
          <w:p>
            <w:pPr>
              <w:spacing w:after="0"/>
              <w:rPr>
                <w:sz w:val="16"/>
                <w:szCs w:val="16"/>
                <w:color w:val="auto"/>
              </w:rPr>
            </w:pPr>
          </w:p>
        </w:tc>
        <w:tc>
          <w:tcPr>
            <w:tcW w:w="5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i w:val="1"/>
                <w:iCs w:val="1"/>
                <w:color w:val="auto"/>
              </w:rPr>
              <w:t>Senior Vice President, Finance and Chief Accounting Officer of</w:t>
            </w:r>
          </w:p>
        </w:tc>
      </w:tr>
      <w:tr>
        <w:trPr>
          <w:trHeight w:val="234"/>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Plains All American GP LLC</w:t>
            </w:r>
          </w:p>
        </w:tc>
      </w:tr>
      <w:tr>
        <w:trPr>
          <w:trHeight w:val="238"/>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tc>
      </w:tr>
      <w:tr>
        <w:trPr>
          <w:trHeight w:val="45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November 8, 2024</w:t>
            </w:r>
          </w:p>
        </w:tc>
        <w:tc>
          <w:tcPr>
            <w:tcW w:w="50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20"/>
          </w:cols>
          <w:pgMar w:left="320" w:top="121" w:right="35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5715</wp:posOffset>
            </wp:positionV>
            <wp:extent cx="2571750" cy="7372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8">
                      <a:extLst>
                        <a:ext uri="{28A0092B-C50C-407E-A947-70E740481C1C}"/>
                      </a:extLst>
                    </a:blip>
                    <a:srcRect/>
                    <a:stretch>
                      <a:fillRect/>
                    </a:stretch>
                  </pic:blipFill>
                  <pic:spPr bwMode="auto">
                    <a:xfrm>
                      <a:off x="0" y="0"/>
                      <a:ext cx="257175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2024 Regular Annual LTIP Grant</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Section 16 Officers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August 15, 2024</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«Officer Name»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234"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color w:val="auto"/>
        </w:rPr>
        <w:t>Grant of Phantom Units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«Salutation»:</w:t>
      </w:r>
    </w:p>
    <w:p>
      <w:pPr>
        <w:spacing w:after="0" w:line="24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 am pleased to inform you that, subject to the terms hereof, you have been granted a target number of Phantom Units equal to «LTIP_Grant» as of the above date pursuant to the Company’s «LTIP_Plan» Long-Term Incentive Plan (the “Plan”). In addition, in tandem with each Phantom Unit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spacing w:after="0" w:line="208" w:lineRule="exact"/>
        <w:rPr>
          <w:sz w:val="20"/>
          <w:szCs w:val="20"/>
          <w:color w:val="auto"/>
        </w:rPr>
      </w:pPr>
    </w:p>
    <w:p>
      <w:pPr>
        <w:jc w:val="both"/>
        <w:ind w:left="1060" w:hanging="404"/>
        <w:spacing w:after="0" w:line="252" w:lineRule="auto"/>
        <w:tabs>
          <w:tab w:leader="none" w:pos="10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further provisions hereof, your Phantom Units shall vest (become payable in the form of one Common Unit of PAA for each Phantom Unit that vests) as set forth below. With respect to Tranche 2 and Tranche 3 below, the actual number of Phantom Units that vest may be lower or higher than the percentage of target Phantom Units associated with such Tranche.</w:t>
      </w:r>
    </w:p>
    <w:p>
      <w:pPr>
        <w:ind w:left="1620" w:hanging="316"/>
        <w:spacing w:after="0"/>
        <w:tabs>
          <w:tab w:leader="none" w:pos="162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 of your Phantom Units (“Tranche 1”) will vest on the August 2027 Distribution Date.</w:t>
      </w:r>
    </w:p>
    <w:p>
      <w:pPr>
        <w:spacing w:after="0" w:line="3" w:lineRule="exact"/>
        <w:rPr>
          <w:rFonts w:ascii="Times New Roman" w:cs="Times New Roman" w:eastAsia="Times New Roman" w:hAnsi="Times New Roman"/>
          <w:sz w:val="22"/>
          <w:szCs w:val="22"/>
          <w:color w:val="auto"/>
        </w:rPr>
      </w:pPr>
    </w:p>
    <w:p>
      <w:pPr>
        <w:ind w:left="1620" w:right="20" w:hanging="316"/>
        <w:spacing w:after="0" w:line="244" w:lineRule="auto"/>
        <w:tabs>
          <w:tab w:leader="none" w:pos="162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 of your Phantom Units (“Tranche 2”) will vest pursuant to the terms and conditions described in Exhibit A attached hereto.</w:t>
      </w:r>
    </w:p>
    <w:p>
      <w:pPr>
        <w:ind w:left="1620" w:hanging="316"/>
        <w:spacing w:after="0" w:line="248" w:lineRule="auto"/>
        <w:tabs>
          <w:tab w:leader="none" w:pos="1608"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 of your Phantom Units (“Tranche 3”) will vest pursuant to the terms and conditions described in Exhibit B attached hereto.</w:t>
      </w:r>
    </w:p>
    <w:p>
      <w:pPr>
        <w:spacing w:after="0" w:line="1" w:lineRule="exact"/>
        <w:rPr>
          <w:rFonts w:ascii="Times New Roman" w:cs="Times New Roman" w:eastAsia="Times New Roman" w:hAnsi="Times New Roman"/>
          <w:sz w:val="22"/>
          <w:szCs w:val="22"/>
          <w:color w:val="auto"/>
        </w:rPr>
      </w:pPr>
    </w:p>
    <w:p>
      <w:pPr>
        <w:ind w:left="1620" w:right="20" w:hanging="316"/>
        <w:spacing w:after="0" w:line="248" w:lineRule="auto"/>
        <w:tabs>
          <w:tab w:leader="none" w:pos="162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Tranche 2 or Tranche 3 Phantom Units that are determined not to have vested as of the August 2027 Distribution Date shall expire effective as of such date.</w:t>
      </w:r>
    </w:p>
    <w:p>
      <w:pPr>
        <w:spacing w:after="0" w:line="155"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further provisions hereof, your DERs shall vest (become payable in cash) as follows:</w:t>
      </w:r>
    </w:p>
    <w:p>
      <w:pPr>
        <w:spacing w:after="0" w:line="27" w:lineRule="exact"/>
        <w:rPr>
          <w:rFonts w:ascii="Times New Roman" w:cs="Times New Roman" w:eastAsia="Times New Roman" w:hAnsi="Times New Roman"/>
          <w:sz w:val="22"/>
          <w:szCs w:val="22"/>
          <w:color w:val="auto"/>
        </w:rPr>
      </w:pPr>
    </w:p>
    <w:p>
      <w:pPr>
        <w:jc w:val="both"/>
        <w:ind w:left="1620" w:hanging="316"/>
        <w:spacing w:after="0" w:line="245" w:lineRule="auto"/>
        <w:tabs>
          <w:tab w:leader="none" w:pos="1608"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DERs associated with Tranche 1 will begin accruing on the November 2024 Distribution Date and will continue to accrue until the August 2025 Distribution Date, on which date such accrued but unpaid DERs will vest and be paid in a lump sum. Beginning on the November 2025 Distribution Date, such vested DERs will be paid quarterly until the associated Phantom Units vest or are forfeited pursuant to the terms hereof.</w:t>
      </w:r>
    </w:p>
    <w:p>
      <w:pPr>
        <w:spacing w:after="0" w:line="123"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18"/>
          <w:szCs w:val="18"/>
          <w:b w:val="1"/>
          <w:bCs w:val="1"/>
          <w:color w:val="000080"/>
        </w:rPr>
        <w:t>333 Clay Street, Suite 1600 (77002)</w:t>
      </w:r>
      <w:r>
        <w:rPr>
          <w:sz w:val="20"/>
          <w:szCs w:val="20"/>
          <w:color w:val="auto"/>
        </w:rPr>
        <w:tab/>
      </w:r>
      <w:r>
        <w:rPr>
          <w:rFonts w:ascii="Times New Roman" w:cs="Times New Roman" w:eastAsia="Times New Roman" w:hAnsi="Times New Roman"/>
          <w:sz w:val="17"/>
          <w:szCs w:val="17"/>
          <w:b w:val="1"/>
          <w:bCs w:val="1"/>
          <w:color w:val="000080"/>
        </w:rPr>
        <w:t>■ P.O. Box 4648 ■ Houston, Texas 77210-4648 ■ 713-646-4100</w:t>
      </w:r>
    </w:p>
    <w:p>
      <w:pPr>
        <w:sectPr>
          <w:pgSz w:w="11900" w:h="16838" w:orient="portrait"/>
          <w:cols w:equalWidth="0" w:num="1">
            <w:col w:w="11240"/>
          </w:cols>
          <w:pgMar w:left="320" w:top="9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2"/>
          <w:szCs w:val="22"/>
          <w:color w:val="auto"/>
        </w:rPr>
        <w:t>«Officer Name»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15, 2024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1620" w:hanging="316"/>
        <w:spacing w:after="0" w:line="247" w:lineRule="auto"/>
        <w:tabs>
          <w:tab w:leader="none" w:pos="162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DERs associated with Tranches 2 and 3 will begin accruing on the November 2024 Distribution Date and will continue to accrue until the associated Phantom Units vest or are forfeited pursuant to the terms hereof. Until such time as a final determination has been made regarding the number of Phantom Units that have vested for Tranche 2 and Tranche 3, such accruals will be based on the assumption that the final “Payout Percentage” as determined pursuant to Exhibit A or Exhibit B, as applicable, equals 100%. Once the final Payout Percentages and the final number of Phantom Units vesting for Tranche 2 and Tranche 3 have been determined, such accrued amounts shall be adjusted upward or downward, as applicable, so that they equal the total amount that would have been accrued in respect of the DERs associated with such vested Phantom Units had the accrual been based on such number of vested Phantom Units commencing on the November 2024 Distribution Date. Unless the Phantom Units subject to this award are forfeited or vest prior to the August 2027 Distribution Date pursuant to paragraphs 5, 6 or 7 below, all accrued and unpaid DERs associated with Tranche 2 and Tranche 3 shall be paid on the August 2027 Distribution Date or as soon thereafter as is administratively practicable.</w:t>
      </w:r>
    </w:p>
    <w:p>
      <w:pPr>
        <w:spacing w:after="0" w:line="111" w:lineRule="exact"/>
        <w:rPr>
          <w:rFonts w:ascii="Times New Roman" w:cs="Times New Roman" w:eastAsia="Times New Roman" w:hAnsi="Times New Roman"/>
          <w:sz w:val="22"/>
          <w:szCs w:val="22"/>
          <w:color w:val="auto"/>
        </w:rPr>
      </w:pPr>
    </w:p>
    <w:p>
      <w:pPr>
        <w:jc w:val="both"/>
        <w:ind w:left="980" w:hanging="324"/>
        <w:spacing w:after="0" w:line="252" w:lineRule="auto"/>
        <w:tabs>
          <w:tab w:leader="none" w:pos="9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Phantom Units and DERs subject to this award, and with respect to the Phantom Units comprising Tranche 3, the distributable cash flow level required for vesting of such Phantom Units, shall be proportionately reduced or increased for any split or reverse split, respectively, of PAA Common Units, or any event or transaction having a similar effect.</w:t>
      </w:r>
    </w:p>
    <w:p>
      <w:pPr>
        <w:spacing w:after="0" w:line="98" w:lineRule="exact"/>
        <w:rPr>
          <w:rFonts w:ascii="Times New Roman" w:cs="Times New Roman" w:eastAsia="Times New Roman" w:hAnsi="Times New Roman"/>
          <w:sz w:val="22"/>
          <w:szCs w:val="22"/>
          <w:color w:val="auto"/>
        </w:rPr>
      </w:pPr>
    </w:p>
    <w:p>
      <w:pPr>
        <w:jc w:val="both"/>
        <w:ind w:left="980" w:hanging="324"/>
        <w:spacing w:after="0" w:line="257" w:lineRule="auto"/>
        <w:tabs>
          <w:tab w:leader="none" w:pos="9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vesting of any Phantom Units, an equivalent number of DERs will expire. Any such DERs that are payable on the Distribution Date on which the Phantom Units vest, shall be payable on such Distribution Date prior to their expiration.</w:t>
      </w:r>
    </w:p>
    <w:p>
      <w:pPr>
        <w:spacing w:after="0" w:line="145" w:lineRule="exact"/>
        <w:rPr>
          <w:rFonts w:ascii="Times New Roman" w:cs="Times New Roman" w:eastAsia="Times New Roman" w:hAnsi="Times New Roman"/>
          <w:sz w:val="22"/>
          <w:szCs w:val="22"/>
          <w:color w:val="auto"/>
        </w:rPr>
      </w:pPr>
    </w:p>
    <w:p>
      <w:pPr>
        <w:jc w:val="both"/>
        <w:ind w:left="980" w:hanging="324"/>
        <w:spacing w:after="0" w:line="247" w:lineRule="auto"/>
        <w:tabs>
          <w:tab w:leader="none" w:pos="9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termination of your employment with the Company and its Affiliates for any reason (other than in connection with a Change in Status or by reason of your death or “disability,” as defined in paragraph 6 below), all of your then outstanding Phantom Units and DERs shall automatically be forfeited as of the date of termination; provided, however, that if the Company or its Affiliates terminate your employment other than as a result of a Termination for Cause, the following provisions shall apply: (i) if such termination takes place prior to the first anniversary of the date of this grant, all of your then outstanding Phantom Units and DERs shall automatically be forfeited as of the date of termination; and (ii) if such termination takes place after the first anniversary of the date of this grant, a “pro rata portion” of the target number of your then outstanding Phantom Units and DERs shall be deemed nonforfeitable on the date of termination and shall vest on the next following Distribution Date. The “pro rata portion” of Phantom Units vesting pursuant to clause (ii) immediately preceding shall be determined by multiplying the target number of your then outstanding Phantom Units by a fraction equal to the number of days between the grant date and the date of termination divided by the number of days between the grant date and the August 2027 Distribution Date (1,093). If the resulting amount includes a fraction, it will be rounded down to the nearest whole number.</w:t>
      </w:r>
    </w:p>
    <w:p>
      <w:pPr>
        <w:sectPr>
          <w:pgSz w:w="11900" w:h="16838" w:orient="portrait"/>
          <w:cols w:equalWidth="0" w:num="1">
            <w:col w:w="11240"/>
          </w:cols>
          <w:pgMar w:left="320" w:top="12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2"/>
          <w:szCs w:val="22"/>
          <w:color w:val="auto"/>
        </w:rPr>
        <w:t>«Officer Name»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15, 2024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980" w:hanging="324"/>
        <w:spacing w:after="0" w:line="259" w:lineRule="auto"/>
        <w:tabs>
          <w:tab w:leader="none" w:pos="98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the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the following provisions shall apply: (i) if such termination takes place prior to the first anniversary of the date of this grant, all of your then outstanding Phantom Units and DERs shall automatically be forfeited as of the date of termination; and (ii) if such termination takes place on or after the first anniversary of the date of this grant, (x) all of your then outstanding Phantom Units (which shall be equal to the target number of Phantom Units specified in the first paragraph hereof) shall be deemed nonforfeitable on the date of termination and shall vest on the next following Distribution Date, and</w:t>
      </w:r>
    </w:p>
    <w:p>
      <w:pPr>
        <w:spacing w:after="0" w:line="4" w:lineRule="exact"/>
        <w:rPr>
          <w:rFonts w:ascii="Times New Roman" w:cs="Times New Roman" w:eastAsia="Times New Roman" w:hAnsi="Times New Roman"/>
          <w:sz w:val="21"/>
          <w:szCs w:val="21"/>
          <w:color w:val="auto"/>
        </w:rPr>
      </w:pPr>
    </w:p>
    <w:p>
      <w:pPr>
        <w:jc w:val="both"/>
        <w:ind w:left="980"/>
        <w:spacing w:after="0" w:line="249" w:lineRule="auto"/>
        <w:tabs>
          <w:tab w:leader="none" w:pos="1325"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DERs associated with such unvested, nonforfeitable Phantom Units shall not be forfeited on the date of termination, but shall be payable and shall expire on the next following Distribution Date. As soon as administratively practicable after the vesting of any Phantom Units pursuant to this paragraph 6, payment will be made in cash in an amount equal to the Market Value of the number of Phantom Units vesting.</w:t>
      </w:r>
    </w:p>
    <w:p>
      <w:pPr>
        <w:spacing w:after="0" w:line="208" w:lineRule="exact"/>
        <w:rPr>
          <w:rFonts w:ascii="Times New Roman" w:cs="Times New Roman" w:eastAsia="Times New Roman" w:hAnsi="Times New Roman"/>
          <w:sz w:val="22"/>
          <w:szCs w:val="22"/>
          <w:color w:val="auto"/>
        </w:rPr>
      </w:pPr>
    </w:p>
    <w:p>
      <w:pPr>
        <w:jc w:val="both"/>
        <w:ind w:left="980" w:hanging="324"/>
        <w:spacing w:after="0" w:line="249" w:lineRule="auto"/>
        <w:tabs>
          <w:tab w:leader="none" w:pos="9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Change in Status, (i) all of your then outstanding Phantom Units (which shall be equal to the target number of Phantom Units specified in the first paragraph hereof, except that in connection with a Change in Status that involves a Change of Control, the Compensation Committee shall have the discretion to adjust the payout level for any Tranche 2 or Tranche 3 Phantom Units based on the performance of the Company under the applicable performance metric taking into account such Change of Control transaction, in each case as reasonably determined by the Compensation Committee) shall be deemed nonforfeitable on such date and shall vest on the next following Distribution Date, and (ii) any DERs associated with such unvested, nonforfeitable Phantom Units shall not be forfeited on such date, but shall be payable and shall expire on the next following Distribution Date.</w:t>
      </w:r>
    </w:p>
    <w:p>
      <w:pPr>
        <w:spacing w:after="0" w:line="222" w:lineRule="exact"/>
        <w:rPr>
          <w:rFonts w:ascii="Times New Roman" w:cs="Times New Roman" w:eastAsia="Times New Roman" w:hAnsi="Times New Roman"/>
          <w:sz w:val="22"/>
          <w:szCs w:val="22"/>
          <w:color w:val="auto"/>
        </w:rPr>
      </w:pPr>
    </w:p>
    <w:p>
      <w:pPr>
        <w:jc w:val="both"/>
        <w:ind w:left="980" w:hanging="324"/>
        <w:spacing w:after="0" w:line="252" w:lineRule="auto"/>
        <w:tabs>
          <w:tab w:leader="none" w:pos="9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payment pursuant to a DER, the Company will withhold any taxes due from your compensation as required by law. Upon vesting of a Phantom Unit, the Company will withhold any taxes due from your compensation as required by law, which (in the sole discretion of the Company) may include withholding a number of Common Units otherwise payable to you.</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As used herein, (i) the “Company” refers to Plains All American GP LLC; (ii) “Distribution Date” means the day in February, May, August or November in any year (as context dictates) that is 45 days after the end of the most recently completed calendar quarter (or, if not a business day, the closest previous business day); and (iii) “Market Value” means the average of the closing sales prices for a Common Unit on Nasdaq for the five trading days preceding the then most recent “ex dividend” date for payment of a distribution by the Partnership.</w:t>
      </w:r>
    </w:p>
    <w:p>
      <w:pPr>
        <w:sectPr>
          <w:pgSz w:w="11900" w:h="16838" w:orient="portrait"/>
          <w:cols w:equalWidth="0" w:num="1">
            <w:col w:w="11240"/>
          </w:cols>
          <w:pgMar w:left="320" w:top="12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2"/>
          <w:szCs w:val="22"/>
          <w:color w:val="auto"/>
        </w:rPr>
        <w:t>«Officer Name»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15, 2024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phrase “Change in Status” means (A) the termination of your employment by the Company other than a Termination for Cause, within two and a half months prior to or one year following a Change of Control (the “Protected Period”), (B) the termination of your employment by you due to the occurrence during the Protected Period, without your written consent, of (i) any material diminution in your authority, duties or responsibilities, (ii) any material reduction in your base salary, or (iii) any other action or inaction that constitutes a material breach of this Agreement by the Company, or (C) the termination of your employment by you as a result of your retirement on terms and timing that are approved by the CEO. A termination by you pursuant to (B) above shall not be a Change in Status unless (1) you provide written notice to the Company of the condition in (B)(i), (ii) or (iii) that would constitute a Change in Status within 90 days of the initial existence of the condition, and (2) the Company fails to remedy the condition within the 30-day period following such notice.</w:t>
      </w:r>
    </w:p>
    <w:p>
      <w:pPr>
        <w:spacing w:after="0" w:line="22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phrase “Change of Control” means, and shall be deemed to have occurred upon the occurrence of, one or more of the following events:</w:t>
      </w:r>
    </w:p>
    <w:p>
      <w:pPr>
        <w:spacing w:after="0" w:line="185" w:lineRule="exact"/>
        <w:rPr>
          <w:sz w:val="20"/>
          <w:szCs w:val="20"/>
          <w:color w:val="auto"/>
        </w:rPr>
      </w:pPr>
    </w:p>
    <w:p>
      <w:pPr>
        <w:jc w:val="both"/>
        <w:ind w:left="1580" w:hanging="924"/>
        <w:spacing w:after="0" w:line="236" w:lineRule="auto"/>
        <w:tabs>
          <w:tab w:leader="none" w:pos="157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(other than Plains GP Holdings, L.P. (“PAGP”) and any affiliate of PAGP that is controlled by PAGP) becomes the beneficial owner, directly or indirectly (in one transaction or a series of related transactions and whether by merger or otherwise), of 50% or more of the membership interest in PAA GP Holdings LLC, a Delaware limited liability company (“PAGP GP”)</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w:t>
      </w:r>
    </w:p>
    <w:p>
      <w:pPr>
        <w:jc w:val="both"/>
        <w:ind w:left="1580" w:hanging="924"/>
        <w:spacing w:after="0" w:line="243" w:lineRule="auto"/>
        <w:tabs>
          <w:tab w:leader="none" w:pos="1577"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(other than PAGP GP, PAGP or any affiliate of PAGP that is controlled by PAGP) acquires (in one transaction or a series of related transactions and whether by merger or otherwise) direct or indirect control of the general partner interest of PAGP;</w:t>
      </w:r>
    </w:p>
    <w:p>
      <w:pPr>
        <w:spacing w:after="0" w:line="1" w:lineRule="exact"/>
        <w:rPr>
          <w:rFonts w:ascii="Times New Roman" w:cs="Times New Roman" w:eastAsia="Times New Roman" w:hAnsi="Times New Roman"/>
          <w:sz w:val="22"/>
          <w:szCs w:val="22"/>
          <w:color w:val="auto"/>
        </w:rPr>
      </w:pPr>
    </w:p>
    <w:p>
      <w:pPr>
        <w:ind w:left="1580" w:hanging="924"/>
        <w:spacing w:after="0" w:line="244" w:lineRule="auto"/>
        <w:tabs>
          <w:tab w:leader="none" w:pos="156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PAGP ceases to retain direct or indirect control (in one transaction or a series of related transactions and whether by merger or otherwise) of the general partner of the Partnership; or</w:t>
      </w:r>
    </w:p>
    <w:p>
      <w:pPr>
        <w:jc w:val="both"/>
        <w:ind w:left="1580" w:hanging="924"/>
        <w:spacing w:after="0" w:line="248" w:lineRule="auto"/>
        <w:tabs>
          <w:tab w:leader="none" w:pos="157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reorganization, merger or consolidation with, or any direct or indirect sale, lease, exchange or other transfer (in one transaction or a series of related transactions) of all or substantially all of the assets of the Partnership to, one or more Persons (other than PAGP or any affiliates of PAGP that are controlled by PAGP).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17145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8"/>
        <w:spacing w:after="0" w:line="233" w:lineRule="auto"/>
        <w:tabs>
          <w:tab w:leader="none" w:pos="157" w:val="left"/>
        </w:tabs>
        <w:numPr>
          <w:ilvl w:val="0"/>
          <w:numId w:val="4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For the avoidance of doubt, the ownership by a Person of PAGP Class A or Class B shares (or combination thereof) that represent 50% or more of the outstanding Class A and B shares of PAGP (in the aggregate) constitutes indirect ownership of 50% or more of the membership interests in PAGP GP for so long as PAGP directly owns 50% or more of such membership interests in PAGP GP.</w:t>
      </w:r>
    </w:p>
    <w:p>
      <w:pPr>
        <w:sectPr>
          <w:pgSz w:w="11900" w:h="16838" w:orient="portrait"/>
          <w:cols w:equalWidth="0" w:num="1">
            <w:col w:w="11240"/>
          </w:cols>
          <w:pgMar w:left="320" w:top="12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2"/>
          <w:szCs w:val="22"/>
          <w:color w:val="auto"/>
        </w:rPr>
        <w:t>«Officer Name»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15, 2024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As used in this definition, “Person” shall include any “partnership, limited partnership, syndicate or other group” constituting a “person” within the meaning of such terms pursuant to Sections 13(d) and 14(d) of the Securities Exchange Act of 1934, as amended.</w:t>
      </w:r>
    </w:p>
    <w:p>
      <w:pPr>
        <w:spacing w:after="0" w:line="20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The phrase “Termination for Cause” shall mean severance of your employment with the Company or its Affiliates based on your (i) failure to perform the duties and responsibilities of your position at an acceptable level as reasonably determined in good faith by the CEO of the Company, (ii) conviction of or guilty plea to the committing of an act or acts constituting a felony under the laws of the United States or any state thereof (or Canada or any province thereof) or any misdemeanor involving moral turpitude, or (iii) violation of the Company’s Code of Business Conduct (unless waived in accordance with the terms thereof), in the case of clauses (i) and (iii), with the specific failure or violation described to you in writing.</w:t>
      </w:r>
    </w:p>
    <w:p>
      <w:pPr>
        <w:spacing w:after="0" w:line="20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Terms used herein that are not defined herein shall have the meanings set forth in the Plan or, if not defined in the Plan, in the Seventh Amended and Restated Agreement of Limited Partnership of Plains All American Pipeline, L.P., as amended (the “Partnership Agreement”).</w:t>
      </w:r>
    </w:p>
    <w:p>
      <w:pPr>
        <w:spacing w:after="0" w:line="200" w:lineRule="exact"/>
        <w:rPr>
          <w:sz w:val="20"/>
          <w:szCs w:val="20"/>
          <w:color w:val="auto"/>
        </w:rPr>
      </w:pPr>
    </w:p>
    <w:p>
      <w:pPr>
        <w:jc w:val="both"/>
        <w:ind w:firstLine="565"/>
        <w:spacing w:after="0" w:line="253" w:lineRule="auto"/>
        <w:rPr>
          <w:sz w:val="20"/>
          <w:szCs w:val="20"/>
          <w:color w:val="auto"/>
        </w:rPr>
      </w:pPr>
      <w:r>
        <w:rPr>
          <w:rFonts w:ascii="Times New Roman" w:cs="Times New Roman" w:eastAsia="Times New Roman" w:hAnsi="Times New Roman"/>
          <w:sz w:val="22"/>
          <w:szCs w:val="22"/>
          <w:color w:val="auto"/>
        </w:rPr>
        <w:t>This award is intended to either (i) qualify as a “short-term deferral” under Section 409A of the Internal Revenue Code of 1986, as amended, or (ii) comply with the provisions of Section 409A. If it is determined that any payments or benefits to be made or provided under this Agreement do not comply with Section 409A, the parties agree to amend this Agreement or take such other actions as reasonably necessary or appropriate to comply with Section 409A while preserving the economic agreement of the parties.</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By signing below, you agree that the Phantom Units and DERs granted hereunder are governed by the terms of the Plan. You also acknowledge and agree that (i) Tranches 2 and 3 of this award constitute Incentive-Based Compensation and Performance-Based Compensation as defined in the Amended and Restated Clawback Policy adopted by PAGP GP on November 16, 2023, as it may be amended from time to time, and (ii) this award, as well as any other performance-based or time-based compensation previously paid or awarded to you, is subject to recovery or cancellation pursuant to such Policy. Copies of the Plan, the Partnership Agreement and the Clawback Policy are available upon request.</w:t>
      </w:r>
    </w:p>
    <w:p>
      <w:pPr>
        <w:sectPr>
          <w:pgSz w:w="11900" w:h="16838" w:orient="portrait"/>
          <w:cols w:equalWidth="0" w:num="1">
            <w:col w:w="11240"/>
          </w:cols>
          <w:pgMar w:left="320" w:top="12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2"/>
          <w:szCs w:val="22"/>
          <w:color w:val="auto"/>
        </w:rPr>
        <w:t>«Officer Name»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15, 2024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0" w:firstLine="648"/>
        <w:spacing w:after="0" w:line="252" w:lineRule="auto"/>
        <w:rPr>
          <w:sz w:val="20"/>
          <w:szCs w:val="20"/>
          <w:color w:val="auto"/>
        </w:rPr>
      </w:pPr>
      <w:r>
        <w:rPr>
          <w:rFonts w:ascii="Times New Roman" w:cs="Times New Roman" w:eastAsia="Times New Roman" w:hAnsi="Times New Roman"/>
          <w:sz w:val="22"/>
          <w:szCs w:val="22"/>
          <w:color w:val="auto"/>
        </w:rPr>
        <w:t>Please designate in the space provided below a beneficiary to receive benefits payable under this grant in the event of your death. Unless you indicate otherwise by checking the box below, the named beneficiaries on this form will serve as your beneficiaries for all previous LTIP grants. In addition, please execute and return a copy of this grant letter to me and retain a copy for your records.</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PLAINS ALL AMERICAN PIPELINE, L.P.</w:t>
      </w:r>
    </w:p>
    <w:p>
      <w:pPr>
        <w:spacing w:after="0" w:line="247"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PAA GP LLC, its general partner</w:t>
      </w:r>
    </w:p>
    <w:p>
      <w:pPr>
        <w:spacing w:after="0" w:line="28"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PLAINS AAP, L.P., its sole member</w:t>
      </w:r>
    </w:p>
    <w:p>
      <w:pPr>
        <w:spacing w:after="0" w:line="4"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PLAINS ALL AMERICAN GP LLC,</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0" w:lineRule="exact"/>
        <w:rPr>
          <w:sz w:val="20"/>
          <w:szCs w:val="20"/>
          <w:color w:val="auto"/>
        </w:rPr>
      </w:pPr>
    </w:p>
    <w:p>
      <w:pPr>
        <w:spacing w:after="0" w:line="279"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______________________________</w:t>
      </w:r>
    </w:p>
    <w:p>
      <w:pPr>
        <w:spacing w:after="0" w:line="2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Jim Tillis</w:t>
      </w:r>
    </w:p>
    <w:p>
      <w:pPr>
        <w:spacing w:after="0" w:line="4" w:lineRule="exact"/>
        <w:rPr>
          <w:sz w:val="20"/>
          <w:szCs w:val="20"/>
          <w:color w:val="auto"/>
        </w:rPr>
      </w:pPr>
    </w:p>
    <w:p>
      <w:pPr>
        <w:ind w:left="3900"/>
        <w:spacing w:after="0"/>
        <w:tabs>
          <w:tab w:leader="none" w:pos="45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 –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475615</wp:posOffset>
            </wp:positionV>
            <wp:extent cx="365188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0">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«Officer Name»</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Target Number of Phantom Units: </w:t>
      </w:r>
      <w:r>
        <w:rPr>
          <w:rFonts w:ascii="Times New Roman" w:cs="Times New Roman" w:eastAsia="Times New Roman" w:hAnsi="Times New Roman"/>
          <w:sz w:val="22"/>
          <w:szCs w:val="22"/>
          <w:u w:val="single" w:color="auto"/>
          <w:color w:val="auto"/>
        </w:rPr>
        <w:t>«LTIP_Grant»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-13970</wp:posOffset>
            </wp:positionV>
            <wp:extent cx="4114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1">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Beneficiary Designation</w:t>
      </w:r>
    </w:p>
    <w:p>
      <w:pPr>
        <w:spacing w:after="0" w:line="29" w:lineRule="exact"/>
        <w:rPr>
          <w:sz w:val="20"/>
          <w:szCs w:val="20"/>
          <w:color w:val="auto"/>
        </w:rPr>
      </w:pPr>
    </w:p>
    <w:tbl>
      <w:tblPr>
        <w:tblLayout w:type="fixed"/>
        <w:tblInd w:w="10" w:type="dxa"/>
        <w:tblCellMar>
          <w:top w:w="0" w:type="dxa"/>
          <w:left w:w="0" w:type="dxa"/>
          <w:bottom w:w="0" w:type="dxa"/>
          <w:right w:w="0" w:type="dxa"/>
        </w:tblCellMar>
      </w:tblPr>
      <w:tr>
        <w:trPr>
          <w:trHeight w:val="351"/>
        </w:trPr>
        <w:tc>
          <w:tcPr>
            <w:tcW w:w="5360" w:type="dxa"/>
            <w:vAlign w:val="bottom"/>
            <w:tcBorders>
              <w:top w:val="single" w:sz="8" w:color="auto"/>
              <w:left w:val="single" w:sz="8" w:color="auto"/>
              <w:bottom w:val="single" w:sz="8" w:color="C0C0C0"/>
              <w:right w:val="single" w:sz="8" w:color="auto"/>
            </w:tcBorders>
            <w:shd w:val="clear" w:color="auto" w:fill="C0C0C0"/>
          </w:tcPr>
          <w:p>
            <w:pPr>
              <w:ind w:left="80"/>
              <w:spacing w:after="0"/>
              <w:rPr>
                <w:sz w:val="20"/>
                <w:szCs w:val="20"/>
                <w:color w:val="auto"/>
              </w:rPr>
            </w:pPr>
            <w:r>
              <w:rPr>
                <w:rFonts w:ascii="Times New Roman" w:cs="Times New Roman" w:eastAsia="Times New Roman" w:hAnsi="Times New Roman"/>
                <w:sz w:val="22"/>
                <w:szCs w:val="22"/>
                <w:color w:val="auto"/>
              </w:rPr>
              <w:t>Primary Beneficiary Name</w:t>
            </w:r>
          </w:p>
        </w:tc>
        <w:tc>
          <w:tcPr>
            <w:tcW w:w="2280" w:type="dxa"/>
            <w:vAlign w:val="bottom"/>
            <w:tcBorders>
              <w:top w:val="single" w:sz="8" w:color="auto"/>
              <w:bottom w:val="single" w:sz="8" w:color="C0C0C0"/>
              <w:right w:val="single" w:sz="8" w:color="auto"/>
            </w:tcBorders>
            <w:shd w:val="clear" w:color="auto" w:fill="C0C0C0"/>
          </w:tcPr>
          <w:p>
            <w:pPr>
              <w:ind w:left="60"/>
              <w:spacing w:after="0"/>
              <w:rPr>
                <w:sz w:val="20"/>
                <w:szCs w:val="20"/>
                <w:color w:val="auto"/>
              </w:rPr>
            </w:pPr>
            <w:r>
              <w:rPr>
                <w:rFonts w:ascii="Times New Roman" w:cs="Times New Roman" w:eastAsia="Times New Roman" w:hAnsi="Times New Roman"/>
                <w:sz w:val="22"/>
                <w:szCs w:val="22"/>
                <w:color w:val="auto"/>
              </w:rPr>
              <w:t>Relationship</w:t>
            </w:r>
          </w:p>
        </w:tc>
        <w:tc>
          <w:tcPr>
            <w:tcW w:w="3620" w:type="dxa"/>
            <w:vAlign w:val="bottom"/>
            <w:tcBorders>
              <w:top w:val="single" w:sz="8" w:color="auto"/>
              <w:bottom w:val="single" w:sz="8" w:color="C0C0C0"/>
              <w:right w:val="single" w:sz="8" w:color="auto"/>
            </w:tcBorders>
            <w:shd w:val="clear" w:color="auto" w:fill="C0C0C0"/>
          </w:tcPr>
          <w:p>
            <w:pPr>
              <w:ind w:left="60"/>
              <w:spacing w:after="0"/>
              <w:rPr>
                <w:sz w:val="20"/>
                <w:szCs w:val="20"/>
                <w:color w:val="auto"/>
              </w:rPr>
            </w:pPr>
            <w:r>
              <w:rPr>
                <w:rFonts w:ascii="Times New Roman" w:cs="Times New Roman" w:eastAsia="Times New Roman" w:hAnsi="Times New Roman"/>
                <w:sz w:val="22"/>
                <w:szCs w:val="22"/>
                <w:color w:val="auto"/>
              </w:rPr>
              <w:t>Percent (Must total 100%)</w:t>
            </w:r>
          </w:p>
        </w:tc>
      </w:tr>
      <w:tr>
        <w:trPr>
          <w:trHeight w:val="250"/>
        </w:trPr>
        <w:tc>
          <w:tcPr>
            <w:tcW w:w="536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2280" w:type="dxa"/>
            <w:vAlign w:val="bottom"/>
            <w:tcBorders>
              <w:top w:val="single" w:sz="8" w:color="auto"/>
              <w:bottom w:val="single" w:sz="8" w:color="auto"/>
              <w:right w:val="single" w:sz="8" w:color="auto"/>
            </w:tcBorders>
          </w:tcPr>
          <w:p>
            <w:pPr>
              <w:spacing w:after="0"/>
              <w:rPr>
                <w:sz w:val="21"/>
                <w:szCs w:val="21"/>
                <w:color w:val="auto"/>
              </w:rPr>
            </w:pPr>
          </w:p>
        </w:tc>
        <w:tc>
          <w:tcPr>
            <w:tcW w:w="3620" w:type="dxa"/>
            <w:vAlign w:val="bottom"/>
            <w:tcBorders>
              <w:top w:val="single" w:sz="8" w:color="auto"/>
              <w:bottom w:val="single" w:sz="8" w:color="auto"/>
              <w:right w:val="single" w:sz="8" w:color="auto"/>
            </w:tcBorders>
          </w:tcPr>
          <w:p>
            <w:pPr>
              <w:spacing w:after="0"/>
              <w:rPr>
                <w:sz w:val="21"/>
                <w:szCs w:val="21"/>
                <w:color w:val="auto"/>
              </w:rPr>
            </w:pPr>
          </w:p>
        </w:tc>
      </w:tr>
      <w:tr>
        <w:trPr>
          <w:trHeight w:val="250"/>
        </w:trPr>
        <w:tc>
          <w:tcPr>
            <w:tcW w:w="536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3620" w:type="dxa"/>
            <w:vAlign w:val="bottom"/>
            <w:tcBorders>
              <w:bottom w:val="single" w:sz="8" w:color="auto"/>
              <w:right w:val="single" w:sz="8" w:color="auto"/>
            </w:tcBorders>
          </w:tcPr>
          <w:p>
            <w:pPr>
              <w:spacing w:after="0"/>
              <w:rPr>
                <w:sz w:val="21"/>
                <w:szCs w:val="21"/>
                <w:color w:val="auto"/>
              </w:rPr>
            </w:pPr>
          </w:p>
        </w:tc>
      </w:tr>
      <w:tr>
        <w:trPr>
          <w:trHeight w:val="250"/>
        </w:trPr>
        <w:tc>
          <w:tcPr>
            <w:tcW w:w="536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3620" w:type="dxa"/>
            <w:vAlign w:val="bottom"/>
            <w:tcBorders>
              <w:bottom w:val="single" w:sz="8" w:color="auto"/>
              <w:right w:val="single" w:sz="8" w:color="auto"/>
            </w:tcBorders>
          </w:tcPr>
          <w:p>
            <w:pPr>
              <w:spacing w:after="0"/>
              <w:rPr>
                <w:sz w:val="21"/>
                <w:szCs w:val="21"/>
                <w:color w:val="auto"/>
              </w:rPr>
            </w:pPr>
          </w:p>
        </w:tc>
      </w:tr>
      <w:tr>
        <w:trPr>
          <w:trHeight w:val="298"/>
        </w:trPr>
        <w:tc>
          <w:tcPr>
            <w:tcW w:w="5360" w:type="dxa"/>
            <w:vAlign w:val="bottom"/>
            <w:tcBorders>
              <w:left w:val="single" w:sz="8" w:color="auto"/>
              <w:bottom w:val="single" w:sz="8" w:color="auto"/>
              <w:right w:val="single" w:sz="8" w:color="auto"/>
            </w:tcBorders>
            <w:shd w:val="clear" w:color="auto" w:fill="C0C0C0"/>
          </w:tcPr>
          <w:p>
            <w:pPr>
              <w:ind w:left="80"/>
              <w:spacing w:after="0"/>
              <w:rPr>
                <w:sz w:val="20"/>
                <w:szCs w:val="20"/>
                <w:color w:val="auto"/>
              </w:rPr>
            </w:pPr>
            <w:r>
              <w:rPr>
                <w:rFonts w:ascii="Times New Roman" w:cs="Times New Roman" w:eastAsia="Times New Roman" w:hAnsi="Times New Roman"/>
                <w:sz w:val="22"/>
                <w:szCs w:val="22"/>
                <w:color w:val="auto"/>
              </w:rPr>
              <w:t>Secondary Beneficiary Name</w:t>
            </w:r>
          </w:p>
        </w:tc>
        <w:tc>
          <w:tcPr>
            <w:tcW w:w="2280" w:type="dxa"/>
            <w:vAlign w:val="bottom"/>
            <w:tcBorders>
              <w:bottom w:val="single" w:sz="8" w:color="auto"/>
              <w:right w:val="single" w:sz="8" w:color="auto"/>
            </w:tcBorders>
            <w:shd w:val="clear" w:color="auto" w:fill="C0C0C0"/>
          </w:tcPr>
          <w:p>
            <w:pPr>
              <w:ind w:left="60"/>
              <w:spacing w:after="0"/>
              <w:rPr>
                <w:sz w:val="20"/>
                <w:szCs w:val="20"/>
                <w:color w:val="auto"/>
              </w:rPr>
            </w:pPr>
            <w:r>
              <w:rPr>
                <w:rFonts w:ascii="Times New Roman" w:cs="Times New Roman" w:eastAsia="Times New Roman" w:hAnsi="Times New Roman"/>
                <w:sz w:val="22"/>
                <w:szCs w:val="22"/>
                <w:color w:val="auto"/>
              </w:rPr>
              <w:t>Relationship</w:t>
            </w:r>
          </w:p>
        </w:tc>
        <w:tc>
          <w:tcPr>
            <w:tcW w:w="3620" w:type="dxa"/>
            <w:vAlign w:val="bottom"/>
            <w:tcBorders>
              <w:bottom w:val="single" w:sz="8" w:color="auto"/>
              <w:right w:val="single" w:sz="8" w:color="auto"/>
            </w:tcBorders>
            <w:shd w:val="clear" w:color="auto" w:fill="C0C0C0"/>
          </w:tcPr>
          <w:p>
            <w:pPr>
              <w:ind w:left="60"/>
              <w:spacing w:after="0"/>
              <w:rPr>
                <w:sz w:val="20"/>
                <w:szCs w:val="20"/>
                <w:color w:val="auto"/>
              </w:rPr>
            </w:pPr>
            <w:r>
              <w:rPr>
                <w:rFonts w:ascii="Times New Roman" w:cs="Times New Roman" w:eastAsia="Times New Roman" w:hAnsi="Times New Roman"/>
                <w:sz w:val="22"/>
                <w:szCs w:val="22"/>
                <w:color w:val="auto"/>
              </w:rPr>
              <w:t>Percent (Must total 100%)</w:t>
            </w:r>
          </w:p>
        </w:tc>
      </w:tr>
      <w:tr>
        <w:trPr>
          <w:trHeight w:val="243"/>
        </w:trPr>
        <w:tc>
          <w:tcPr>
            <w:tcW w:w="536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3620" w:type="dxa"/>
            <w:vAlign w:val="bottom"/>
            <w:tcBorders>
              <w:bottom w:val="single" w:sz="8" w:color="auto"/>
              <w:right w:val="single" w:sz="8" w:color="auto"/>
            </w:tcBorders>
          </w:tcPr>
          <w:p>
            <w:pPr>
              <w:spacing w:after="0"/>
              <w:rPr>
                <w:sz w:val="21"/>
                <w:szCs w:val="21"/>
                <w:color w:val="auto"/>
              </w:rPr>
            </w:pPr>
          </w:p>
        </w:tc>
      </w:tr>
      <w:tr>
        <w:trPr>
          <w:trHeight w:val="237"/>
        </w:trPr>
        <w:tc>
          <w:tcPr>
            <w:tcW w:w="536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p>
        </w:tc>
      </w:tr>
      <w:tr>
        <w:trPr>
          <w:trHeight w:val="236"/>
        </w:trPr>
        <w:tc>
          <w:tcPr>
            <w:tcW w:w="536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240" w:hanging="241"/>
        <w:spacing w:after="0"/>
        <w:tabs>
          <w:tab w:leader="none" w:pos="2240" w:val="left"/>
        </w:tabs>
        <w:numPr>
          <w:ilvl w:val="0"/>
          <w:numId w:val="44"/>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Check this box only if this beneficiary designation does not apply to prior grants.</w:t>
      </w:r>
    </w:p>
    <w:p>
      <w:pPr>
        <w:sectPr>
          <w:pgSz w:w="11900" w:h="16838" w:orient="portrait"/>
          <w:cols w:equalWidth="0" w:num="1">
            <w:col w:w="11260"/>
          </w:cols>
          <w:pgMar w:left="320" w:top="126" w:right="319" w:bottom="1440" w:gutter="0" w:footer="0" w:header="0"/>
        </w:sectPr>
      </w:pPr>
    </w:p>
    <w:bookmarkStart w:id="67" w:name="page68"/>
    <w:bookmarkEnd w:id="67"/>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4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Tranche 2 Vesting Terms</w:t>
      </w:r>
    </w:p>
    <w:p>
      <w:pPr>
        <w:spacing w:after="0" w:line="3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(Total Shareholder Return)</w:t>
      </w:r>
    </w:p>
    <w:p>
      <w:pPr>
        <w:spacing w:after="0" w:line="230" w:lineRule="exact"/>
        <w:rPr>
          <w:sz w:val="20"/>
          <w:szCs w:val="20"/>
          <w:color w:val="auto"/>
        </w:rPr>
      </w:pPr>
    </w:p>
    <w:p>
      <w:pPr>
        <w:jc w:val="both"/>
        <w:ind w:left="328" w:hanging="328"/>
        <w:spacing w:after="0" w:line="267" w:lineRule="auto"/>
        <w:tabs>
          <w:tab w:leader="none" w:pos="3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General</w:t>
      </w:r>
      <w:r>
        <w:rPr>
          <w:rFonts w:ascii="Times New Roman" w:cs="Times New Roman" w:eastAsia="Times New Roman" w:hAnsi="Times New Roman"/>
          <w:sz w:val="18"/>
          <w:szCs w:val="18"/>
          <w:color w:val="auto"/>
        </w:rPr>
        <w:t>. Consistent with the Company’s pay for performance philosophy and in order to more closely align the interests of management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of investors, a portion of your Phantom Units will vest based on PAA’s total shareholder return (“TSR”) compared to the TSR of a peer group as described below. TSR, which will be calculated using data from Bloomberg, is a primary long-term measure of PAA’s performance.</w:t>
      </w:r>
    </w:p>
    <w:p>
      <w:pPr>
        <w:spacing w:after="0" w:line="65" w:lineRule="exact"/>
        <w:rPr>
          <w:rFonts w:ascii="Times New Roman" w:cs="Times New Roman" w:eastAsia="Times New Roman" w:hAnsi="Times New Roman"/>
          <w:sz w:val="18"/>
          <w:szCs w:val="18"/>
          <w:color w:val="auto"/>
        </w:rPr>
      </w:pPr>
    </w:p>
    <w:p>
      <w:pPr>
        <w:jc w:val="both"/>
        <w:ind w:left="328" w:hanging="328"/>
        <w:spacing w:after="0" w:line="253" w:lineRule="auto"/>
        <w:tabs>
          <w:tab w:leader="none" w:pos="3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Vesting and Payout</w:t>
      </w:r>
      <w:r>
        <w:rPr>
          <w:rFonts w:ascii="Times New Roman" w:cs="Times New Roman" w:eastAsia="Times New Roman" w:hAnsi="Times New Roman"/>
          <w:sz w:val="18"/>
          <w:szCs w:val="18"/>
          <w:color w:val="auto"/>
        </w:rPr>
        <w:t>. As soon as administratively feasible following the close of the three-year period ending on June 30, 2027 (the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the Compensation Committee shall determine and certify the TSR Payout Percentage (as defined below). The Compensation Committee shall make such determination based on a scaled payout range of between 0% and 200% as provided in the table below (the specific payout percentage is referred to as the “TSR Payout Percentage”) based on PAA’s TSR ranking at the end of the Performance Period compared to the TSR ranking of the various companies and/or indices included in the PAA Peer Group described below. If PAA’s absolute TSR is within 50 basis points of the TSR of one or more peer group comparators (i.e., 50 basis points higher or lower), PAA and such comparator(s) shall be deemed to have the same rank and the TSR Payout Percentage shall be equal to the average of the TSR Payout Percentages associated with the relevant rankings as set forth in the table below. If PAA’s absolute TSR at the end of the Performance Period is less than 0% and the TSR Payout Percentage is greater than 100%, (i) a TSR Payout Percentage equal to or greater than 125% will be reduced by 25 gross percentage points, and (ii) a TSR Payout Percentage between 100% and 125% will be reduced to 100%. The number of Tranche 2 Phantom Units vesting will be determined by multiplying your target number of Tranche 2 Phantom Units by the TSR Payout Percentage as certified by the Compensation Committee. If the resulting amount includes a fraction, it will be rounded down to the nearest whole number.</w:t>
      </w:r>
    </w:p>
    <w:p>
      <w:pPr>
        <w:spacing w:after="0" w:line="352" w:lineRule="exact"/>
        <w:rPr>
          <w:sz w:val="20"/>
          <w:szCs w:val="20"/>
          <w:color w:val="auto"/>
        </w:rPr>
      </w:pPr>
    </w:p>
    <w:tbl>
      <w:tblPr>
        <w:tblLayout w:type="fixed"/>
        <w:tblInd w:w="1698" w:type="dxa"/>
        <w:tblCellMar>
          <w:top w:w="0" w:type="dxa"/>
          <w:left w:w="0" w:type="dxa"/>
          <w:bottom w:w="0" w:type="dxa"/>
          <w:right w:w="0" w:type="dxa"/>
        </w:tblCellMar>
      </w:tblPr>
      <w:tr>
        <w:trPr>
          <w:trHeight w:val="234"/>
        </w:trPr>
        <w:tc>
          <w:tcPr>
            <w:tcW w:w="3620" w:type="dxa"/>
            <w:vAlign w:val="bottom"/>
            <w:tcBorders>
              <w:top w:val="single" w:sz="8" w:color="auto"/>
              <w:left w:val="single" w:sz="8" w:color="auto"/>
              <w:right w:val="single" w:sz="8" w:color="auto"/>
            </w:tcBorders>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PAA TSR Ranking vs. PAA Peer Group</w:t>
            </w:r>
          </w:p>
        </w:tc>
        <w:tc>
          <w:tcPr>
            <w:tcW w:w="3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TSR Payout</w:t>
            </w:r>
          </w:p>
        </w:tc>
        <w:tc>
          <w:tcPr>
            <w:tcW w:w="0" w:type="dxa"/>
            <w:vAlign w:val="bottom"/>
          </w:tcPr>
          <w:p>
            <w:pPr>
              <w:spacing w:after="0"/>
              <w:rPr>
                <w:sz w:val="1"/>
                <w:szCs w:val="1"/>
                <w:color w:val="auto"/>
              </w:rPr>
            </w:pPr>
          </w:p>
        </w:tc>
      </w:tr>
      <w:tr>
        <w:trPr>
          <w:trHeight w:val="238"/>
        </w:trPr>
        <w:tc>
          <w:tcPr>
            <w:tcW w:w="3620" w:type="dxa"/>
            <w:vAlign w:val="bottom"/>
            <w:tcBorders>
              <w:left w:val="single" w:sz="8" w:color="auto"/>
              <w:right w:val="single" w:sz="8" w:color="auto"/>
            </w:tcBorders>
            <w:vMerge w:val="continue"/>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3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3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183%</w:t>
            </w:r>
          </w:p>
        </w:tc>
        <w:tc>
          <w:tcPr>
            <w:tcW w:w="0" w:type="dxa"/>
            <w:vAlign w:val="bottom"/>
          </w:tcPr>
          <w:p>
            <w:pPr>
              <w:spacing w:after="0"/>
              <w:rPr>
                <w:sz w:val="1"/>
                <w:szCs w:val="1"/>
                <w:color w:val="auto"/>
              </w:rPr>
            </w:pP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3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167%</w:t>
            </w:r>
          </w:p>
        </w:tc>
        <w:tc>
          <w:tcPr>
            <w:tcW w:w="0" w:type="dxa"/>
            <w:vAlign w:val="bottom"/>
          </w:tcPr>
          <w:p>
            <w:pPr>
              <w:spacing w:after="0"/>
              <w:rPr>
                <w:sz w:val="1"/>
                <w:szCs w:val="1"/>
                <w:color w:val="auto"/>
              </w:rPr>
            </w:pP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3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c>
          <w:tcPr>
            <w:tcW w:w="0" w:type="dxa"/>
            <w:vAlign w:val="bottom"/>
          </w:tcPr>
          <w:p>
            <w:pPr>
              <w:spacing w:after="0"/>
              <w:rPr>
                <w:sz w:val="1"/>
                <w:szCs w:val="1"/>
                <w:color w:val="auto"/>
              </w:rPr>
            </w:pP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3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133%</w:t>
            </w:r>
          </w:p>
        </w:tc>
        <w:tc>
          <w:tcPr>
            <w:tcW w:w="0" w:type="dxa"/>
            <w:vAlign w:val="bottom"/>
          </w:tcPr>
          <w:p>
            <w:pPr>
              <w:spacing w:after="0"/>
              <w:rPr>
                <w:sz w:val="1"/>
                <w:szCs w:val="1"/>
                <w:color w:val="auto"/>
              </w:rPr>
            </w:pP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3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117%</w:t>
            </w:r>
          </w:p>
        </w:tc>
        <w:tc>
          <w:tcPr>
            <w:tcW w:w="0" w:type="dxa"/>
            <w:vAlign w:val="bottom"/>
          </w:tcPr>
          <w:p>
            <w:pPr>
              <w:spacing w:after="0"/>
              <w:rPr>
                <w:sz w:val="1"/>
                <w:szCs w:val="1"/>
                <w:color w:val="auto"/>
              </w:rPr>
            </w:pP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3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3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3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3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3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3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3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0908"/>
          </w:cols>
          <w:pgMar w:left="652" w:top="14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Illustrative Examples (based on an assumed target number of Tranche 2 Phantom Units of 1,000):</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5120" w:type="dxa"/>
            <w:vAlign w:val="bottom"/>
            <w:tcBorders>
              <w:top w:val="single" w:sz="8" w:color="auto"/>
              <w:left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PAA TSR Ranking vs. PAA Peer Group</w:t>
            </w:r>
          </w:p>
        </w:tc>
        <w:tc>
          <w:tcPr>
            <w:tcW w:w="500" w:type="dxa"/>
            <w:vAlign w:val="bottom"/>
            <w:tcBorders>
              <w:top w:val="single" w:sz="8" w:color="auto"/>
            </w:tcBorders>
          </w:tcPr>
          <w:p>
            <w:pPr>
              <w:spacing w:after="0"/>
              <w:rPr>
                <w:sz w:val="20"/>
                <w:szCs w:val="20"/>
                <w:color w:val="auto"/>
              </w:rPr>
            </w:pPr>
          </w:p>
        </w:tc>
        <w:tc>
          <w:tcPr>
            <w:tcW w:w="5640" w:type="dxa"/>
            <w:vAlign w:val="bottom"/>
            <w:tcBorders>
              <w:top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TSR Payout Percentage / Number of Units Vesting</w:t>
            </w:r>
          </w:p>
        </w:tc>
      </w:tr>
      <w:tr>
        <w:trPr>
          <w:trHeight w:val="238"/>
        </w:trPr>
        <w:tc>
          <w:tcPr>
            <w:tcW w:w="5120" w:type="dxa"/>
            <w:vAlign w:val="bottom"/>
            <w:tcBorders>
              <w:left w:val="single" w:sz="8" w:color="auto"/>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564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(impact of negative absolute TSR)</w:t>
            </w:r>
          </w:p>
        </w:tc>
      </w:tr>
      <w:tr>
        <w:trPr>
          <w:trHeight w:val="27"/>
        </w:trPr>
        <w:tc>
          <w:tcPr>
            <w:tcW w:w="5120" w:type="dxa"/>
            <w:vAlign w:val="bottom"/>
            <w:tcBorders>
              <w:left w:val="single" w:sz="8" w:color="auto"/>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200%</w:t>
            </w:r>
          </w:p>
        </w:tc>
        <w:tc>
          <w:tcPr>
            <w:tcW w:w="5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2,000 units</w:t>
            </w:r>
          </w:p>
        </w:tc>
      </w:tr>
      <w:tr>
        <w:trPr>
          <w:trHeight w:val="40"/>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640" w:type="dxa"/>
            <w:vAlign w:val="bottom"/>
            <w:tcBorders>
              <w:bottom w:val="single" w:sz="8" w:color="auto"/>
              <w:right w:val="single" w:sz="8" w:color="auto"/>
            </w:tcBorders>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150%</w:t>
            </w:r>
          </w:p>
        </w:tc>
        <w:tc>
          <w:tcPr>
            <w:tcW w:w="5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1,500 units</w:t>
            </w:r>
          </w:p>
        </w:tc>
      </w:tr>
      <w:tr>
        <w:trPr>
          <w:trHeight w:val="41"/>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640" w:type="dxa"/>
            <w:vAlign w:val="bottom"/>
            <w:tcBorders>
              <w:bottom w:val="single" w:sz="8" w:color="auto"/>
              <w:right w:val="single" w:sz="8" w:color="auto"/>
            </w:tcBorders>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 but PAA’s absolute TSR is less than 0%</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125%</w:t>
            </w:r>
          </w:p>
        </w:tc>
        <w:tc>
          <w:tcPr>
            <w:tcW w:w="5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1,250 units (TSR Payout Percentage reduced by 25 gross percentage points)</w:t>
            </w:r>
          </w:p>
        </w:tc>
      </w:tr>
      <w:tr>
        <w:trPr>
          <w:trHeight w:val="40"/>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6140" w:type="dxa"/>
            <w:vAlign w:val="bottom"/>
            <w:tcBorders>
              <w:bottom w:val="single" w:sz="8" w:color="auto"/>
              <w:right w:val="single" w:sz="8" w:color="auto"/>
            </w:tcBorders>
            <w:gridSpan w:val="2"/>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w:t>
            </w:r>
          </w:p>
        </w:tc>
        <w:tc>
          <w:tcPr>
            <w:tcW w:w="61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117% / 1,170 units</w:t>
            </w:r>
          </w:p>
        </w:tc>
      </w:tr>
      <w:tr>
        <w:trPr>
          <w:trHeight w:val="40"/>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640" w:type="dxa"/>
            <w:vAlign w:val="bottom"/>
            <w:tcBorders>
              <w:bottom w:val="single" w:sz="8" w:color="auto"/>
              <w:right w:val="single" w:sz="8" w:color="auto"/>
            </w:tcBorders>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 but PAA’s absolute TSR is less than 0%</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100%</w:t>
            </w:r>
          </w:p>
        </w:tc>
        <w:tc>
          <w:tcPr>
            <w:tcW w:w="5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1,000 units (TSR Payout Percentage reduced from 117% to 100%)</w:t>
            </w:r>
          </w:p>
        </w:tc>
      </w:tr>
      <w:tr>
        <w:trPr>
          <w:trHeight w:val="41"/>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640" w:type="dxa"/>
            <w:vAlign w:val="bottom"/>
            <w:tcBorders>
              <w:bottom w:val="single" w:sz="8" w:color="auto"/>
              <w:right w:val="single" w:sz="8" w:color="auto"/>
            </w:tcBorders>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100%</w:t>
            </w:r>
          </w:p>
        </w:tc>
        <w:tc>
          <w:tcPr>
            <w:tcW w:w="5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1,000 units (performance at Target)</w:t>
            </w:r>
          </w:p>
        </w:tc>
      </w:tr>
      <w:tr>
        <w:trPr>
          <w:trHeight w:val="40"/>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6140" w:type="dxa"/>
            <w:vAlign w:val="bottom"/>
            <w:tcBorders>
              <w:bottom w:val="single" w:sz="8" w:color="auto"/>
              <w:right w:val="single" w:sz="8" w:color="auto"/>
            </w:tcBorders>
            <w:gridSpan w:val="2"/>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61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50% / 500 units</w:t>
            </w:r>
          </w:p>
        </w:tc>
      </w:tr>
      <w:tr>
        <w:trPr>
          <w:trHeight w:val="41"/>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6140" w:type="dxa"/>
            <w:vAlign w:val="bottom"/>
            <w:tcBorders>
              <w:bottom w:val="single" w:sz="8" w:color="auto"/>
              <w:right w:val="single" w:sz="8" w:color="auto"/>
            </w:tcBorders>
            <w:gridSpan w:val="2"/>
          </w:tcPr>
          <w:p>
            <w:pPr>
              <w:spacing w:after="0"/>
              <w:rPr>
                <w:sz w:val="3"/>
                <w:szCs w:val="3"/>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w:t>
            </w:r>
          </w:p>
        </w:tc>
        <w:tc>
          <w:tcPr>
            <w:tcW w:w="61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0% / 0 units</w:t>
            </w:r>
          </w:p>
        </w:tc>
      </w:tr>
      <w:tr>
        <w:trPr>
          <w:trHeight w:val="40"/>
        </w:trPr>
        <w:tc>
          <w:tcPr>
            <w:tcW w:w="5120" w:type="dxa"/>
            <w:vAlign w:val="bottom"/>
            <w:tcBorders>
              <w:left w:val="single" w:sz="8" w:color="auto"/>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640" w:type="dxa"/>
            <w:vAlign w:val="bottom"/>
            <w:tcBorders>
              <w:bottom w:val="single" w:sz="8" w:color="auto"/>
              <w:right w:val="single" w:sz="8" w:color="auto"/>
            </w:tcBorders>
          </w:tcPr>
          <w:p>
            <w:pPr>
              <w:spacing w:after="0"/>
              <w:rPr>
                <w:sz w:val="3"/>
                <w:szCs w:val="3"/>
                <w:color w:val="auto"/>
              </w:rPr>
            </w:pPr>
          </w:p>
        </w:tc>
      </w:tr>
    </w:tbl>
    <w:p>
      <w:pPr>
        <w:spacing w:after="0" w:line="317"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PAA Peer Group (2024-2027 Performance Period)</w:t>
      </w:r>
      <w:r>
        <w:rPr>
          <w:rFonts w:ascii="Times New Roman" w:cs="Times New Roman" w:eastAsia="Times New Roman" w:hAnsi="Times New Roman"/>
          <w:sz w:val="18"/>
          <w:szCs w:val="18"/>
          <w:color w:val="auto"/>
        </w:rPr>
        <w:t>:</w:t>
      </w:r>
    </w:p>
    <w:p>
      <w:pPr>
        <w:spacing w:after="0" w:line="387" w:lineRule="exact"/>
        <w:rPr>
          <w:sz w:val="20"/>
          <w:szCs w:val="20"/>
          <w:color w:val="auto"/>
        </w:rPr>
      </w:pPr>
    </w:p>
    <w:tbl>
      <w:tblPr>
        <w:tblLayout w:type="fixed"/>
        <w:tblInd w:w="1250" w:type="dxa"/>
        <w:tblCellMar>
          <w:top w:w="0" w:type="dxa"/>
          <w:left w:w="0" w:type="dxa"/>
          <w:bottom w:w="0" w:type="dxa"/>
          <w:right w:w="0" w:type="dxa"/>
        </w:tblCellMar>
      </w:tblPr>
      <w:tr>
        <w:trPr>
          <w:trHeight w:val="270"/>
        </w:trPr>
        <w:tc>
          <w:tcPr>
            <w:tcW w:w="3760" w:type="dxa"/>
            <w:vAlign w:val="bottom"/>
            <w:tcBorders>
              <w:top w:val="single" w:sz="8" w:color="auto"/>
              <w:left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4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Ticker</w:t>
            </w:r>
          </w:p>
        </w:tc>
      </w:tr>
      <w:tr>
        <w:trPr>
          <w:trHeight w:val="41"/>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Enterprise Products Partners LP</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EPD</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Kinder Morgan Inc.</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KMI</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Williams Companies Inc.</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WMB</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MPLX LP</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MPLX</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Energy Transfer LP</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ET</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ONEOK Inc.</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OKE</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Genesis Energy LP</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GEL</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Targa Resources Corp.</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TRGP</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Western Midstream Partners LP</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WES</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EnLink Midstream LLC</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ENLC</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Alerian Midstream Energy Index</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AMNA</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S&amp;P 500 Index</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SPX</w:t>
            </w:r>
          </w:p>
        </w:tc>
      </w:tr>
      <w:tr>
        <w:trPr>
          <w:trHeight w:val="40"/>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bl>
    <w:p>
      <w:pPr>
        <w:spacing w:after="0" w:line="306"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In the event any member of the PAA Peer Group files for bankruptcy, liquidates or reorganizes under the United States Bankruptcy Code or other applicable bankruptcy law, such entity shall remain in the PAA Peer Group but shall be deemed to have a TSR of -100% for purposes of calculating the TSR Payout Percentage. In all cases involving the acquisition, merger, reorganization or other material change in ownership, legal structure or business operations of any member of the PAA Peer Group before the end of the Performance Period, the Compensation Committee shall have authority to retain, remove or replace such member, as applicable, for purposes of calculating the TSR Payout Percentage. In connection with any change to the PAA Peer Group, the Compensation Committee shall also have authority to make related adjustments to the rankings and TSR Payout Percentages.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60"/>
          </w:cols>
          <w:pgMar w:left="320" w:top="1417" w:right="319" w:bottom="1440" w:gutter="0" w:footer="0" w:header="0"/>
        </w:sectPr>
      </w:pPr>
    </w:p>
    <w:bookmarkStart w:id="69" w:name="page70"/>
    <w:bookmarkEnd w:id="69"/>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4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Tranche 3 Vesting Terms</w:t>
      </w:r>
    </w:p>
    <w:p>
      <w:pPr>
        <w:spacing w:after="0" w:line="3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(Cumulative DCF with Leverage Modifier)</w:t>
      </w:r>
    </w:p>
    <w:p>
      <w:pPr>
        <w:spacing w:after="0" w:line="230" w:lineRule="exact"/>
        <w:rPr>
          <w:sz w:val="20"/>
          <w:szCs w:val="20"/>
          <w:color w:val="auto"/>
        </w:rPr>
      </w:pPr>
    </w:p>
    <w:p>
      <w:pPr>
        <w:jc w:val="both"/>
        <w:ind w:left="328" w:hanging="328"/>
        <w:spacing w:after="0" w:line="257" w:lineRule="auto"/>
        <w:tabs>
          <w:tab w:leader="none" w:pos="32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General</w:t>
      </w:r>
      <w:r>
        <w:rPr>
          <w:rFonts w:ascii="Times New Roman" w:cs="Times New Roman" w:eastAsia="Times New Roman" w:hAnsi="Times New Roman"/>
          <w:sz w:val="18"/>
          <w:szCs w:val="18"/>
          <w:color w:val="auto"/>
        </w:rPr>
        <w:t>. Consistent with the Company’s pay for performance philosophy and in order to more closely align the interests of management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of investors, a portion of your Phantom Units will vest based on PAA’s cumulative distributable cash flow (“DCF”) per common unit equivalent (“CUE”) over a three-year period as described below. PAA’s ability to sustain and increase DCF is a primary long-term measure of PAA’s performance and is consistent with PAA’s overall financial strategy. The final payout calculation will be subject to modification based on leverage levels at the end of the Performance Period; the purpose of the potential leverage modifier is to insure that DCF performance remains tied to leverage levels assumed in PAA’s long term plan as of the grant date (the “Grant Date Plan”).</w:t>
      </w:r>
    </w:p>
    <w:p>
      <w:pPr>
        <w:spacing w:after="0" w:line="74" w:lineRule="exact"/>
        <w:rPr>
          <w:rFonts w:ascii="Times New Roman" w:cs="Times New Roman" w:eastAsia="Times New Roman" w:hAnsi="Times New Roman"/>
          <w:sz w:val="18"/>
          <w:szCs w:val="18"/>
          <w:color w:val="auto"/>
        </w:rPr>
      </w:pPr>
    </w:p>
    <w:p>
      <w:pPr>
        <w:jc w:val="both"/>
        <w:ind w:left="328" w:hanging="328"/>
        <w:spacing w:after="0" w:line="257" w:lineRule="auto"/>
        <w:tabs>
          <w:tab w:leader="none" w:pos="32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Vesting and Payout</w:t>
      </w:r>
      <w:r>
        <w:rPr>
          <w:rFonts w:ascii="Times New Roman" w:cs="Times New Roman" w:eastAsia="Times New Roman" w:hAnsi="Times New Roman"/>
          <w:sz w:val="18"/>
          <w:szCs w:val="18"/>
          <w:color w:val="auto"/>
        </w:rPr>
        <w:t>. As soon as administratively feasible following the close of the three-year period ending on June 30, 2027 (the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the Compensation Committee shall determine and certify the DCF Payout Percentage (as defined below). The Compensation Committee shall make such determination based on a scaled payout range between 0% and 200% as provided in the table below (the specific payout percentage is referred to as the “DCF Payout Percentage”) based on PAA’s cumulative DCF per CUE over the Performance Period. If PAA’s cumulative DCF per CUE at the end of the Performance Period is between any two of the stated amounts in the table below, the DCF Payout Percentage will be interpolated between the two levels. In addition, the DCF Payout Percentage will be reduced by 25 gross percentage points (the</w:t>
      </w:r>
    </w:p>
    <w:p>
      <w:pPr>
        <w:spacing w:after="0" w:line="8" w:lineRule="exact"/>
        <w:rPr>
          <w:rFonts w:ascii="Times New Roman" w:cs="Times New Roman" w:eastAsia="Times New Roman" w:hAnsi="Times New Roman"/>
          <w:sz w:val="18"/>
          <w:szCs w:val="18"/>
          <w:color w:val="auto"/>
        </w:rPr>
      </w:pPr>
    </w:p>
    <w:p>
      <w:pPr>
        <w:jc w:val="both"/>
        <w:ind w:left="328"/>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Modifier”) if PAA’s “Leverage Ratio” (long-term debt to adjusted EBITDA as calculated pursuant to PAA’s senior unsecured revolving credit facility, modified to include customary adjustments deemed appropriate by the Compensation Committee (for example, a “net debt” adjustment to account for certain cash balances reflected on PAA’s balance sheet as of the applicable measurement date)) as of June 30, 2027 is higher than the Leverage Ratio that equals the upper end of PAA’s then applicable target Leverage Ratio range (the “Threshold Leverage Ratio”) (such range is 2.5x to 3.0x as of the date hereof); if PAA’s Leverage Ratio as of June 30, 2027 is equal to or lower than the Threshold Leverage Ratio, there will be no adjustment to the DCF Payout Percentage.</w:t>
      </w:r>
    </w:p>
    <w:p>
      <w:pPr>
        <w:spacing w:after="0" w:line="348" w:lineRule="exact"/>
        <w:rPr>
          <w:sz w:val="20"/>
          <w:szCs w:val="20"/>
          <w:color w:val="auto"/>
        </w:rPr>
      </w:pPr>
    </w:p>
    <w:tbl>
      <w:tblPr>
        <w:tblLayout w:type="fixed"/>
        <w:tblInd w:w="898" w:type="dxa"/>
        <w:tblCellMar>
          <w:top w:w="0" w:type="dxa"/>
          <w:left w:w="0" w:type="dxa"/>
          <w:bottom w:w="0" w:type="dxa"/>
          <w:right w:w="0" w:type="dxa"/>
        </w:tblCellMar>
      </w:tblPr>
      <w:tr>
        <w:trPr>
          <w:trHeight w:val="261"/>
        </w:trPr>
        <w:tc>
          <w:tcPr>
            <w:tcW w:w="36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Cumulative DCF Per CUE Over the</w:t>
            </w:r>
          </w:p>
        </w:tc>
        <w:tc>
          <w:tcPr>
            <w:tcW w:w="3560" w:type="dxa"/>
            <w:vAlign w:val="bottom"/>
            <w:tcBorders>
              <w:top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DCF Payout Percentage</w:t>
            </w:r>
          </w:p>
        </w:tc>
      </w:tr>
      <w:tr>
        <w:trPr>
          <w:trHeight w:val="238"/>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Performance Period</w:t>
            </w:r>
          </w:p>
        </w:tc>
        <w:tc>
          <w:tcPr>
            <w:tcW w:w="3560" w:type="dxa"/>
            <w:vAlign w:val="bottom"/>
            <w:tcBorders>
              <w:right w:val="single" w:sz="8" w:color="auto"/>
            </w:tcBorders>
          </w:tcPr>
          <w:p>
            <w:pPr>
              <w:spacing w:after="0"/>
              <w:rPr>
                <w:sz w:val="20"/>
                <w:szCs w:val="20"/>
                <w:color w:val="auto"/>
              </w:rPr>
            </w:pP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$8.71875 (112.5% of target)</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$8.4765625</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175%</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$8.234375</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$7.9921875</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125%</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$7.75 (target)</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$7.55625</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$7.3625</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$7.16875</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$6.975 (90% of target)</w:t>
            </w:r>
          </w:p>
        </w:tc>
        <w:tc>
          <w:tcPr>
            <w:tcW w:w="3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40"/>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bl>
    <w:p>
      <w:pPr>
        <w:spacing w:after="0" w:line="306" w:lineRule="exact"/>
        <w:rPr>
          <w:sz w:val="20"/>
          <w:szCs w:val="20"/>
          <w:color w:val="auto"/>
        </w:rPr>
      </w:pPr>
    </w:p>
    <w:p>
      <w:pPr>
        <w:jc w:val="both"/>
        <w:ind w:left="328"/>
        <w:spacing w:after="0" w:line="266" w:lineRule="auto"/>
        <w:rPr>
          <w:sz w:val="20"/>
          <w:szCs w:val="20"/>
          <w:color w:val="auto"/>
        </w:rPr>
      </w:pPr>
      <w:r>
        <w:rPr>
          <w:rFonts w:ascii="Times New Roman" w:cs="Times New Roman" w:eastAsia="Times New Roman" w:hAnsi="Times New Roman"/>
          <w:sz w:val="18"/>
          <w:szCs w:val="18"/>
          <w:color w:val="auto"/>
        </w:rPr>
        <w:t>Note: Both the cumulative DCF per CUE targets set forth in the table above and the initial Threshold Leverage Ratio referenced above are based on the Grant Date Plan, excluding the earnings and leverage impacts of potential asset sales (other than asset sales under contract as of the grant date). Accordingly, when calculating the DCF Payout Percentage, the following adjustments will be made:</w:t>
      </w:r>
    </w:p>
    <w:p>
      <w:pPr>
        <w:spacing w:after="0" w:line="68" w:lineRule="exact"/>
        <w:rPr>
          <w:sz w:val="20"/>
          <w:szCs w:val="20"/>
          <w:color w:val="auto"/>
        </w:rPr>
      </w:pPr>
    </w:p>
    <w:p>
      <w:pPr>
        <w:jc w:val="both"/>
        <w:ind w:left="648" w:hanging="324"/>
        <w:spacing w:after="0" w:line="266" w:lineRule="auto"/>
        <w:tabs>
          <w:tab w:leader="none" w:pos="64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DCF per CUE target for the Performance Period as set forth in the table above will be adjusted downward to account for the loss of earnings assumed in the Grant Date Plan for any divested assets, net of avoided interest expense allocable to the divested assets (calculated based on an assumption that 100% of the net sales proceeds from such divestitures are used to reduce debt);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B-1</w:t>
      </w:r>
    </w:p>
    <w:p>
      <w:pPr>
        <w:sectPr>
          <w:pgSz w:w="11900" w:h="16838" w:orient="portrait"/>
          <w:cols w:equalWidth="0" w:num="1">
            <w:col w:w="10908"/>
          </w:cols>
          <w:pgMar w:left="652" w:top="1418" w:right="339" w:bottom="1440" w:gutter="0" w:footer="0" w:header="0"/>
        </w:sectPr>
      </w:pPr>
    </w:p>
    <w:bookmarkStart w:id="70" w:name="page71"/>
    <w:bookmarkEnd w:id="70"/>
    <w:p>
      <w:pPr>
        <w:ind w:left="980" w:right="40" w:hanging="324"/>
        <w:spacing w:after="0" w:line="282" w:lineRule="auto"/>
        <w:tabs>
          <w:tab w:leader="none" w:pos="97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divested assets that were included as divestitures in the Grant Date Plan, the Threshold Leverage Ratio target will be adjusted to reflect the leverage impact of any such divested assets based on the assumptions originally set forth in the Grant Date Plan.</w:t>
      </w:r>
    </w:p>
    <w:p>
      <w:pPr>
        <w:spacing w:after="0" w:line="54" w:lineRule="exact"/>
        <w:rPr>
          <w:sz w:val="20"/>
          <w:szCs w:val="20"/>
          <w:color w:val="auto"/>
        </w:rPr>
      </w:pPr>
    </w:p>
    <w:p>
      <w:pPr>
        <w:jc w:val="both"/>
        <w:ind w:left="660" w:right="20"/>
        <w:spacing w:after="0" w:line="254" w:lineRule="auto"/>
        <w:rPr>
          <w:sz w:val="20"/>
          <w:szCs w:val="20"/>
          <w:color w:val="auto"/>
        </w:rPr>
      </w:pPr>
      <w:r>
        <w:rPr>
          <w:rFonts w:ascii="Times New Roman" w:cs="Times New Roman" w:eastAsia="Times New Roman" w:hAnsi="Times New Roman"/>
          <w:sz w:val="18"/>
          <w:szCs w:val="18"/>
          <w:color w:val="auto"/>
        </w:rPr>
        <w:t>In addition, for the Leverage Modifier, the Leverage Ratio calculation will be adjusted up or down as appropriate to neutralize the impact on leverage of any DCF per CUE over or under performance that has already been taken into account in determining the final amount of cumulative DCF per CUE during the Performance Period (with the goal of isolating the balance sheet impact of other actions such as timing and amount of asset sales, amount of capital expenditures, etc.). In addition, the Compensation Committee shall have the ability to make adjustments to the Leverage Ratio calculation to the extent deemed appropriate in connection with leverage attributable to a transaction or project approved by the Company’s Board of Directors (including, without limitation, transactions involving changes to the Company’s capital structure). The number of Tranche 3 Phantom Units vesting will be determined by multiplying your target number of Tranche 3 Phantom Units by the DCF Payout Percentage as certified by the Compensation Committee. If the resulting amount includes a fraction, it will be rounded down to the nearest whole number.</w:t>
      </w:r>
    </w:p>
    <w:p>
      <w:pPr>
        <w:spacing w:after="0" w:line="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Illustrative Examples (based on an assumed target number of Tranche 3 Phantom Units of 1,000 and based on an assumed Threshold Leverage Ratio of 3.0x, which is the Leverage Ratio that is equal to the upper end of PAA’s current target Leverage Ratio range of 2.5x to 3.0x):</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6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PAA Cumulative DCF per CUE</w:t>
            </w:r>
          </w:p>
        </w:tc>
        <w:tc>
          <w:tcPr>
            <w:tcW w:w="2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Leverage Ratio as of June</w:t>
            </w:r>
          </w:p>
        </w:tc>
        <w:tc>
          <w:tcPr>
            <w:tcW w:w="3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960" w:type="dxa"/>
            <w:vAlign w:val="bottom"/>
            <w:tcBorders>
              <w:top w:val="single" w:sz="8" w:color="auto"/>
              <w:right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DCF Payout Percentage / Number of Units Vesting</w:t>
            </w:r>
          </w:p>
        </w:tc>
      </w:tr>
      <w:tr>
        <w:trPr>
          <w:trHeight w:val="279"/>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Over the Performance Period</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30, 2027</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60" w:type="dxa"/>
            <w:vAlign w:val="bottom"/>
            <w:tcBorders>
              <w:right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(Impact of Leverage Modifier)</w:t>
            </w: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$8.71875</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3.0x or lower</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200%</w:t>
            </w:r>
          </w:p>
        </w:tc>
        <w:tc>
          <w:tcPr>
            <w:tcW w:w="5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2,000 units (no adjustment to DCF Payout Percentage)</w:t>
            </w: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5960" w:type="dxa"/>
            <w:vAlign w:val="bottom"/>
            <w:tcBorders>
              <w:bottom w:val="single" w:sz="8" w:color="auto"/>
              <w:right w:val="single" w:sz="8" w:color="auto"/>
            </w:tcBorders>
          </w:tcPr>
          <w:p>
            <w:pPr>
              <w:spacing w:after="0"/>
              <w:rPr>
                <w:sz w:val="3"/>
                <w:szCs w:val="3"/>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$8.71875</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3.1x</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175%</w:t>
            </w:r>
          </w:p>
        </w:tc>
        <w:tc>
          <w:tcPr>
            <w:tcW w:w="5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1,750 units (DCF Payout Percentage reduced by 25 gross percentage points)</w:t>
            </w:r>
          </w:p>
        </w:tc>
      </w:tr>
      <w:tr>
        <w:trPr>
          <w:trHeight w:val="41"/>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5960" w:type="dxa"/>
            <w:vAlign w:val="bottom"/>
            <w:tcBorders>
              <w:bottom w:val="single" w:sz="8" w:color="auto"/>
              <w:right w:val="single" w:sz="8" w:color="auto"/>
            </w:tcBorders>
          </w:tcPr>
          <w:p>
            <w:pPr>
              <w:spacing w:after="0"/>
              <w:rPr>
                <w:sz w:val="3"/>
                <w:szCs w:val="3"/>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$7.75</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3.0x or lower</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100%</w:t>
            </w:r>
          </w:p>
        </w:tc>
        <w:tc>
          <w:tcPr>
            <w:tcW w:w="5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1,000 units (no adjustment to DCF Payout Percentage)</w:t>
            </w: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6460" w:type="dxa"/>
            <w:vAlign w:val="bottom"/>
            <w:tcBorders>
              <w:bottom w:val="single" w:sz="8" w:color="auto"/>
              <w:right w:val="single" w:sz="8" w:color="auto"/>
            </w:tcBorders>
            <w:gridSpan w:val="3"/>
          </w:tcPr>
          <w:p>
            <w:pPr>
              <w:spacing w:after="0"/>
              <w:rPr>
                <w:sz w:val="3"/>
                <w:szCs w:val="3"/>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$7.75</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3.1x</w:t>
            </w:r>
          </w:p>
        </w:tc>
        <w:tc>
          <w:tcPr>
            <w:tcW w:w="64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75% / 750 units (DCF Payout Percentage reduced by 25 gross percentage points)</w:t>
            </w: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6460" w:type="dxa"/>
            <w:vAlign w:val="bottom"/>
            <w:tcBorders>
              <w:bottom w:val="single" w:sz="8" w:color="auto"/>
              <w:right w:val="single" w:sz="8" w:color="auto"/>
            </w:tcBorders>
            <w:gridSpan w:val="3"/>
          </w:tcPr>
          <w:p>
            <w:pPr>
              <w:spacing w:after="0"/>
              <w:rPr>
                <w:sz w:val="3"/>
                <w:szCs w:val="3"/>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$7.16875</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3.0x or lower</w:t>
            </w:r>
          </w:p>
        </w:tc>
        <w:tc>
          <w:tcPr>
            <w:tcW w:w="64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25% / 250 units (no adjustment to DCF Payout Percentage)</w:t>
            </w: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140" w:type="dxa"/>
            <w:vAlign w:val="bottom"/>
            <w:tcBorders>
              <w:bottom w:val="single" w:sz="8" w:color="auto"/>
              <w:right w:val="single" w:sz="8" w:color="auto"/>
            </w:tcBorders>
            <w:gridSpan w:val="2"/>
          </w:tcPr>
          <w:p>
            <w:pPr>
              <w:spacing w:after="0"/>
              <w:rPr>
                <w:sz w:val="3"/>
                <w:szCs w:val="3"/>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$7.16875</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3.1x</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0%</w:t>
            </w:r>
          </w:p>
        </w:tc>
        <w:tc>
          <w:tcPr>
            <w:tcW w:w="61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0 units (DCF Payout Percentage reduced by 25 gross percentage points)</w:t>
            </w: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140" w:type="dxa"/>
            <w:vAlign w:val="bottom"/>
            <w:tcBorders>
              <w:bottom w:val="single" w:sz="8" w:color="auto"/>
              <w:right w:val="single" w:sz="8" w:color="auto"/>
            </w:tcBorders>
            <w:gridSpan w:val="2"/>
          </w:tcPr>
          <w:p>
            <w:pPr>
              <w:spacing w:after="0"/>
              <w:rPr>
                <w:sz w:val="3"/>
                <w:szCs w:val="3"/>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$6.975</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3.0x or lower</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0%</w:t>
            </w:r>
          </w:p>
        </w:tc>
        <w:tc>
          <w:tcPr>
            <w:tcW w:w="61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0 units (DCF Payout Percentage equal to zero based on DCF performance)</w:t>
            </w: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140" w:type="dxa"/>
            <w:vAlign w:val="bottom"/>
            <w:tcBorders>
              <w:bottom w:val="single" w:sz="8" w:color="auto"/>
              <w:right w:val="single" w:sz="8" w:color="auto"/>
            </w:tcBorders>
            <w:gridSpan w:val="2"/>
          </w:tcPr>
          <w:p>
            <w:pPr>
              <w:spacing w:after="0"/>
              <w:rPr>
                <w:sz w:val="3"/>
                <w:szCs w:val="3"/>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$6.975</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3.1x</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0%</w:t>
            </w:r>
          </w:p>
        </w:tc>
        <w:tc>
          <w:tcPr>
            <w:tcW w:w="61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0 units (DCF Payout Percentage equal to zero based on DCF performance)</w:t>
            </w:r>
          </w:p>
        </w:tc>
      </w:tr>
      <w:tr>
        <w:trPr>
          <w:trHeight w:val="40"/>
        </w:trPr>
        <w:tc>
          <w:tcPr>
            <w:tcW w:w="2680" w:type="dxa"/>
            <w:vAlign w:val="bottom"/>
            <w:tcBorders>
              <w:left w:val="single" w:sz="8" w:color="auto"/>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96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B-2</w:t>
      </w:r>
    </w:p>
    <w:p>
      <w:pPr>
        <w:sectPr>
          <w:pgSz w:w="11900" w:h="16838" w:orient="portrait"/>
          <w:cols w:equalWidth="0" w:num="1">
            <w:col w:w="11260"/>
          </w:cols>
          <w:pgMar w:left="320" w:top="1417" w:right="31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13335</wp:posOffset>
            </wp:positionV>
            <wp:extent cx="2305685" cy="5575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2">
                      <a:extLst>
                        <a:ext uri="{28A0092B-C50C-407E-A947-70E740481C1C}"/>
                      </a:extLst>
                    </a:blip>
                    <a:srcRect/>
                    <a:stretch>
                      <a:fillRect/>
                    </a:stretch>
                  </pic:blipFill>
                  <pic:spPr bwMode="auto">
                    <a:xfrm>
                      <a:off x="0" y="0"/>
                      <a:ext cx="230568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2024 ANNUAL DIRECTOR GRANT</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August 15, 2024</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«FirstName» «LastName»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«City», «State» «Zip»</w:t>
      </w:r>
    </w:p>
    <w:p>
      <w:pPr>
        <w:spacing w:after="0" w:line="223"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color w:val="auto"/>
        </w:rPr>
        <w:t>Grant of Phantom Class A Shares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«Salutation»:</w:t>
      </w:r>
    </w:p>
    <w:p>
      <w:pPr>
        <w:spacing w:after="0" w:line="26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 am pleased to inform you that you have been granted 7,650 Phantom Class A Shares as of the above date pursuant to the Plains GP Holdings, L.P. Long-Term Incentive Plan (the “Plan”). In tandem with each Phantom Class A Share granted hereby you have been granted a distribution equivalent right (a “DER”). A DER represents the right to receive a cash payment equivalent to the amount, if any, paid in cash distributions on one Class A Share of Plains GP Holdings, L.P. (“PAGP” or the “Partnership”) to the holder of such Class A Share. The terms and conditions of this grant are as set forth below.</w:t>
      </w:r>
    </w:p>
    <w:p>
      <w:pPr>
        <w:spacing w:after="0" w:line="208" w:lineRule="exact"/>
        <w:rPr>
          <w:sz w:val="20"/>
          <w:szCs w:val="20"/>
          <w:color w:val="auto"/>
        </w:rPr>
      </w:pPr>
    </w:p>
    <w:p>
      <w:pPr>
        <w:ind w:left="660" w:hanging="328"/>
        <w:spacing w:after="0" w:line="284" w:lineRule="auto"/>
        <w:tabs>
          <w:tab w:leader="none" w:pos="6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further provisions of this Agreement, your Phantom Class A Shares shall vest (become payable in the form of one Class A Share of PAGP for each Phantom Class A Share that vests) on the August 2025 Distribution Date.</w:t>
      </w:r>
    </w:p>
    <w:p>
      <w:pPr>
        <w:spacing w:after="0" w:line="170" w:lineRule="exact"/>
        <w:rPr>
          <w:rFonts w:ascii="Times New Roman" w:cs="Times New Roman" w:eastAsia="Times New Roman" w:hAnsi="Times New Roman"/>
          <w:sz w:val="22"/>
          <w:szCs w:val="22"/>
          <w:color w:val="auto"/>
        </w:rPr>
      </w:pPr>
    </w:p>
    <w:p>
      <w:pPr>
        <w:ind w:left="660" w:hanging="328"/>
        <w:spacing w:after="0" w:line="271" w:lineRule="auto"/>
        <w:tabs>
          <w:tab w:leader="none" w:pos="6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further provisions of this Agreement, your DERs shall be payable in cash substantially contemporaneously with each Distribution Date.</w:t>
      </w:r>
    </w:p>
    <w:p>
      <w:pPr>
        <w:spacing w:after="0" w:line="18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the vesting of any Phantom Class A Shares, an equal number of DERs shall expire.</w:t>
      </w:r>
    </w:p>
    <w:p>
      <w:pPr>
        <w:spacing w:after="0" w:line="24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forfeiture of Phantom Class A Shares, an equal number of DERs shall expire.</w:t>
      </w:r>
    </w:p>
    <w:p>
      <w:pPr>
        <w:spacing w:after="0" w:line="260" w:lineRule="exact"/>
        <w:rPr>
          <w:rFonts w:ascii="Times New Roman" w:cs="Times New Roman" w:eastAsia="Times New Roman" w:hAnsi="Times New Roman"/>
          <w:sz w:val="22"/>
          <w:szCs w:val="22"/>
          <w:color w:val="auto"/>
        </w:rPr>
      </w:pPr>
    </w:p>
    <w:p>
      <w:pPr>
        <w:jc w:val="both"/>
        <w:ind w:left="660" w:hanging="328"/>
        <w:spacing w:after="0" w:line="252" w:lineRule="auto"/>
        <w:tabs>
          <w:tab w:leader="none" w:pos="6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(i) you voluntarily terminate your service on the Board of Directors (other than for Retirement) or (ii) your service on the Board of Directors is terminated by the Board (by a majority vote of the remaining Directors) for Cause (as defined in the LLC Agreement), all unvested Phantom Class A Shares (and tandem DERs) shall be forfeited as of the date service terminates.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00080"/>
        </w:rPr>
        <w:t xml:space="preserve">333 Clay Street, Suite 1600 </w:t>
      </w:r>
      <w:r>
        <w:rPr>
          <w:rFonts w:ascii="Times New Roman" w:cs="Times New Roman" w:eastAsia="Times New Roman" w:hAnsi="Times New Roman"/>
          <w:sz w:val="17"/>
          <w:szCs w:val="17"/>
          <w:b w:val="1"/>
          <w:bCs w:val="1"/>
          <w:color w:val="000080"/>
        </w:rPr>
        <w:t>■</w:t>
      </w:r>
      <w:r>
        <w:rPr>
          <w:rFonts w:ascii="Times New Roman" w:cs="Times New Roman" w:eastAsia="Times New Roman" w:hAnsi="Times New Roman"/>
          <w:sz w:val="20"/>
          <w:szCs w:val="20"/>
          <w:color w:val="000080"/>
        </w:rPr>
        <w:t xml:space="preserve"> Houston, Texas 77002 </w:t>
      </w:r>
      <w:r>
        <w:rPr>
          <w:rFonts w:ascii="Times New Roman" w:cs="Times New Roman" w:eastAsia="Times New Roman" w:hAnsi="Times New Roman"/>
          <w:sz w:val="17"/>
          <w:szCs w:val="17"/>
          <w:b w:val="1"/>
          <w:bCs w:val="1"/>
          <w:color w:val="000080"/>
        </w:rPr>
        <w:t>■</w:t>
      </w:r>
      <w:r>
        <w:rPr>
          <w:rFonts w:ascii="Times New Roman" w:cs="Times New Roman" w:eastAsia="Times New Roman" w:hAnsi="Times New Roman"/>
          <w:sz w:val="20"/>
          <w:szCs w:val="20"/>
          <w:color w:val="000080"/>
        </w:rPr>
        <w:t xml:space="preserve"> 713/646-4100 or 800-564-3036</w:t>
      </w:r>
    </w:p>
    <w:p>
      <w:pPr>
        <w:sectPr>
          <w:pgSz w:w="11900" w:h="16838" w:orient="portrait"/>
          <w:cols w:equalWidth="0" w:num="1">
            <w:col w:w="11240"/>
          </w:cols>
          <w:pgMar w:left="320" w:top="122" w:right="339" w:bottom="1440" w:gutter="0" w:footer="0" w:header="0"/>
        </w:sectPr>
      </w:pPr>
    </w:p>
    <w:bookmarkStart w:id="72" w:name="page73"/>
    <w:bookmarkEnd w:id="72"/>
    <w:p>
      <w:pPr>
        <w:jc w:val="center"/>
        <w:spacing w:after="0"/>
        <w:tabs>
          <w:tab w:leader="none" w:pos="260" w:val="left"/>
          <w:tab w:leader="none" w:pos="240" w:val="left"/>
        </w:tabs>
        <w:rPr>
          <w:sz w:val="20"/>
          <w:szCs w:val="20"/>
          <w:color w:val="auto"/>
        </w:rPr>
      </w:pPr>
      <w:r>
        <w:rPr>
          <w:rFonts w:ascii="Times New Roman" w:cs="Times New Roman" w:eastAsia="Times New Roman" w:hAnsi="Times New Roman"/>
          <w:sz w:val="22"/>
          <w:szCs w:val="22"/>
          <w:color w:val="auto"/>
        </w:rPr>
        <w:t>«FirstName» «LastName»</w:t>
        <w:tab/>
        <w:t>- 2 -</w:t>
      </w:r>
      <w:r>
        <w:rPr>
          <w:sz w:val="20"/>
          <w:szCs w:val="20"/>
          <w:color w:val="auto"/>
        </w:rPr>
        <w:tab/>
      </w:r>
      <w:r>
        <w:rPr>
          <w:rFonts w:ascii="Times New Roman" w:cs="Times New Roman" w:eastAsia="Times New Roman" w:hAnsi="Times New Roman"/>
          <w:sz w:val="21"/>
          <w:szCs w:val="21"/>
          <w:color w:val="auto"/>
        </w:rPr>
        <w:t>August 15,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left="660" w:hanging="328"/>
        <w:spacing w:after="0" w:line="253" w:lineRule="auto"/>
        <w:tabs>
          <w:tab w:leader="none" w:pos="6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your service on the Board of Directors is terminated (i) because of your death or disability (as determined in good faith by the Board), (ii) due to your Retirement, or (iii) for any reason other than as described in clauses (i) and (ii) of paragraph 5 above, all unvested Phantom Class A Shares shall immediately become nonforfeitable and shall vest in full as of the next following Distribution Date. Upon such payment, the tandem DERs associated with the Phantom Class A Shares that are vesting shall expire.</w:t>
      </w:r>
    </w:p>
    <w:p>
      <w:pPr>
        <w:spacing w:after="0" w:line="205" w:lineRule="exact"/>
        <w:rPr>
          <w:rFonts w:ascii="Times New Roman" w:cs="Times New Roman" w:eastAsia="Times New Roman" w:hAnsi="Times New Roman"/>
          <w:sz w:val="22"/>
          <w:szCs w:val="22"/>
          <w:color w:val="auto"/>
        </w:rPr>
      </w:pPr>
    </w:p>
    <w:p>
      <w:pPr>
        <w:ind w:left="660" w:hanging="328"/>
        <w:spacing w:after="0" w:line="271" w:lineRule="auto"/>
        <w:tabs>
          <w:tab w:leader="none" w:pos="6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to the extent the expiration of a DER relates to the vesting of a Phantom Class A Share on a Distribution Date, the intent is for the DER to be paid with respect to such Distribution Date before the DER expires.</w:t>
      </w:r>
    </w:p>
    <w:p>
      <w:pPr>
        <w:spacing w:after="0" w:line="185" w:lineRule="exact"/>
        <w:rPr>
          <w:sz w:val="20"/>
          <w:szCs w:val="20"/>
          <w:color w:val="auto"/>
        </w:rPr>
      </w:pPr>
    </w:p>
    <w:p>
      <w:pPr>
        <w:jc w:val="both"/>
        <w:ind w:firstLine="286"/>
        <w:spacing w:after="0" w:line="252" w:lineRule="auto"/>
        <w:rPr>
          <w:sz w:val="20"/>
          <w:szCs w:val="20"/>
          <w:color w:val="auto"/>
        </w:rPr>
      </w:pPr>
      <w:r>
        <w:rPr>
          <w:rFonts w:ascii="Times New Roman" w:cs="Times New Roman" w:eastAsia="Times New Roman" w:hAnsi="Times New Roman"/>
          <w:sz w:val="22"/>
          <w:szCs w:val="22"/>
          <w:color w:val="auto"/>
        </w:rPr>
        <w:t>As used herein, (i) “Company” refers to PAA GP Holdings LLC, (ii) “Distribution Date” means the day in February, May, August or November in any year (as context dictates) that is 45 days after the end of a calendar quarter (or, if not a business day, the closest previous business day), (iii) “Board of Directors” or “Board” means the Board of Directors of the Company, and (iv) “Retirement” means you have provided the Chairman of the Board of the Company with written notice indicating that (a) you have retired (or will retire within the next sixty days) from full-time employment and from service as a director of the Company, and (b) excluding director positions held by you at such time, you do not intend to serve as a director of any other public company.</w:t>
      </w:r>
    </w:p>
    <w:p>
      <w:pPr>
        <w:spacing w:after="0" w:line="206" w:lineRule="exact"/>
        <w:rPr>
          <w:sz w:val="20"/>
          <w:szCs w:val="20"/>
          <w:color w:val="auto"/>
        </w:rPr>
      </w:pPr>
    </w:p>
    <w:p>
      <w:pPr>
        <w:jc w:val="both"/>
        <w:ind w:firstLine="236"/>
        <w:spacing w:after="0" w:line="265" w:lineRule="auto"/>
        <w:rPr>
          <w:sz w:val="20"/>
          <w:szCs w:val="20"/>
          <w:color w:val="auto"/>
        </w:rPr>
      </w:pPr>
      <w:r>
        <w:rPr>
          <w:rFonts w:ascii="Times New Roman" w:cs="Times New Roman" w:eastAsia="Times New Roman" w:hAnsi="Times New Roman"/>
          <w:sz w:val="21"/>
          <w:szCs w:val="21"/>
          <w:color w:val="auto"/>
        </w:rPr>
        <w:t>Terms used herein that are not defined herein shall have the meanings set forth in the Plan or, if not defined in the Plan, in the Second Amended and Restated Agreement of Limited Partnership of Plains GP Holdings, L.P., as amended (the “Partnership Agreement”) or the Fourth Amended and Restated Limited Liability Company Agreement of PAA GP Holdings LLC (the “LLC Agreement”). By signing below, you agree that the Phantom Class A Shares and DERs granted hereunder are governed by the terms of the Plan. Copies of the Plan, the Partnership Agreement and the LLC Agreement are available upon request.</w:t>
      </w:r>
    </w:p>
    <w:p>
      <w:pPr>
        <w:sectPr>
          <w:pgSz w:w="11900" w:h="16838" w:orient="portrait"/>
          <w:cols w:equalWidth="0" w:num="1">
            <w:col w:w="11240"/>
          </w:cols>
          <w:pgMar w:left="320" w:top="112" w:right="339" w:bottom="1440" w:gutter="0" w:footer="0" w:header="0"/>
        </w:sectPr>
      </w:pPr>
    </w:p>
    <w:bookmarkStart w:id="73" w:name="page74"/>
    <w:bookmarkEnd w:id="73"/>
    <w:p>
      <w:pPr>
        <w:jc w:val="center"/>
        <w:ind w:right="20"/>
        <w:spacing w:after="0"/>
        <w:tabs>
          <w:tab w:leader="none" w:pos="260" w:val="left"/>
          <w:tab w:leader="none" w:pos="240" w:val="left"/>
        </w:tabs>
        <w:rPr>
          <w:sz w:val="20"/>
          <w:szCs w:val="20"/>
          <w:color w:val="auto"/>
        </w:rPr>
      </w:pPr>
      <w:r>
        <w:rPr>
          <w:rFonts w:ascii="Times New Roman" w:cs="Times New Roman" w:eastAsia="Times New Roman" w:hAnsi="Times New Roman"/>
          <w:sz w:val="22"/>
          <w:szCs w:val="22"/>
          <w:color w:val="auto"/>
        </w:rPr>
        <w:t>«FirstName» «LastName»</w:t>
        <w:tab/>
        <w:t>- 3 -</w:t>
      </w:r>
      <w:r>
        <w:rPr>
          <w:sz w:val="20"/>
          <w:szCs w:val="20"/>
          <w:color w:val="auto"/>
        </w:rPr>
        <w:tab/>
      </w:r>
      <w:r>
        <w:rPr>
          <w:rFonts w:ascii="Times New Roman" w:cs="Times New Roman" w:eastAsia="Times New Roman" w:hAnsi="Times New Roman"/>
          <w:sz w:val="21"/>
          <w:szCs w:val="21"/>
          <w:color w:val="auto"/>
        </w:rPr>
        <w:t>August 15,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Please designate in the space provided below a beneficiary to receive benefits payable under this a grant in the event of your death. In addition, please execute and return a copy of this grant letter to me and retain a copy for your records.</w:t>
      </w:r>
    </w:p>
    <w:p>
      <w:pPr>
        <w:spacing w:after="0" w:line="200" w:lineRule="exact"/>
        <w:rPr>
          <w:sz w:val="20"/>
          <w:szCs w:val="20"/>
          <w:color w:val="auto"/>
        </w:rPr>
      </w:pPr>
    </w:p>
    <w:p>
      <w:pPr>
        <w:spacing w:after="0" w:line="2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PLAINS GP HOLDINGS, L.P.</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PAA GP HOLDINGS LLC</w:t>
      </w:r>
    </w:p>
    <w:p>
      <w:pPr>
        <w:spacing w:after="0" w:line="200" w:lineRule="exact"/>
        <w:rPr>
          <w:sz w:val="20"/>
          <w:szCs w:val="20"/>
          <w:color w:val="auto"/>
        </w:rPr>
      </w:pPr>
    </w:p>
    <w:p>
      <w:pPr>
        <w:spacing w:after="0" w:line="303"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____________________________________</w:t>
      </w:r>
    </w:p>
    <w:p>
      <w:pPr>
        <w:spacing w:after="0" w:line="2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Richard McGee</w:t>
      </w:r>
    </w:p>
    <w:p>
      <w:pPr>
        <w:spacing w:after="0" w:line="4"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450215</wp:posOffset>
            </wp:positionV>
            <wp:extent cx="13716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3">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«FirstName» «LastName»</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of Phantom Class A Shares: 7,650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-13970</wp:posOffset>
            </wp:positionV>
            <wp:extent cx="4457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4">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-13970</wp:posOffset>
            </wp:positionV>
            <wp:extent cx="6858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Beneficiary Designation</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360" w:type="dxa"/>
            <w:vAlign w:val="bottom"/>
            <w:tcBorders>
              <w:top w:val="single" w:sz="8" w:color="auto"/>
              <w:left w:val="single" w:sz="8" w:color="auto"/>
              <w:bottom w:val="single" w:sz="8" w:color="auto"/>
              <w:right w:val="single" w:sz="8" w:color="auto"/>
            </w:tcBorders>
            <w:shd w:val="clear" w:color="auto" w:fill="C0C0C0"/>
          </w:tcPr>
          <w:p>
            <w:pPr>
              <w:ind w:left="80"/>
              <w:spacing w:after="0"/>
              <w:rPr>
                <w:sz w:val="20"/>
                <w:szCs w:val="20"/>
                <w:color w:val="auto"/>
              </w:rPr>
            </w:pPr>
            <w:r>
              <w:rPr>
                <w:rFonts w:ascii="Times New Roman" w:cs="Times New Roman" w:eastAsia="Times New Roman" w:hAnsi="Times New Roman"/>
                <w:sz w:val="22"/>
                <w:szCs w:val="22"/>
                <w:color w:val="auto"/>
              </w:rPr>
              <w:t>Primary Beneficiary Name</w:t>
            </w:r>
          </w:p>
        </w:tc>
        <w:tc>
          <w:tcPr>
            <w:tcW w:w="2280" w:type="dxa"/>
            <w:vAlign w:val="bottom"/>
            <w:tcBorders>
              <w:top w:val="single" w:sz="8" w:color="auto"/>
              <w:bottom w:val="single" w:sz="8" w:color="auto"/>
              <w:right w:val="single" w:sz="8" w:color="auto"/>
            </w:tcBorders>
            <w:shd w:val="clear" w:color="auto" w:fill="C0C0C0"/>
          </w:tcPr>
          <w:p>
            <w:pPr>
              <w:ind w:left="60"/>
              <w:spacing w:after="0"/>
              <w:rPr>
                <w:sz w:val="20"/>
                <w:szCs w:val="20"/>
                <w:color w:val="auto"/>
              </w:rPr>
            </w:pPr>
            <w:r>
              <w:rPr>
                <w:rFonts w:ascii="Times New Roman" w:cs="Times New Roman" w:eastAsia="Times New Roman" w:hAnsi="Times New Roman"/>
                <w:sz w:val="22"/>
                <w:szCs w:val="22"/>
                <w:color w:val="auto"/>
              </w:rPr>
              <w:t>Relationship</w:t>
            </w:r>
          </w:p>
        </w:tc>
        <w:tc>
          <w:tcPr>
            <w:tcW w:w="3620" w:type="dxa"/>
            <w:vAlign w:val="bottom"/>
            <w:tcBorders>
              <w:top w:val="single" w:sz="8" w:color="auto"/>
              <w:bottom w:val="single" w:sz="8" w:color="auto"/>
              <w:right w:val="single" w:sz="8" w:color="auto"/>
            </w:tcBorders>
            <w:shd w:val="clear" w:color="auto" w:fill="C0C0C0"/>
          </w:tcPr>
          <w:p>
            <w:pPr>
              <w:ind w:left="60"/>
              <w:spacing w:after="0"/>
              <w:rPr>
                <w:sz w:val="20"/>
                <w:szCs w:val="20"/>
                <w:color w:val="auto"/>
              </w:rPr>
            </w:pPr>
            <w:r>
              <w:rPr>
                <w:rFonts w:ascii="Times New Roman" w:cs="Times New Roman" w:eastAsia="Times New Roman" w:hAnsi="Times New Roman"/>
                <w:sz w:val="22"/>
                <w:szCs w:val="22"/>
                <w:color w:val="auto"/>
              </w:rPr>
              <w:t>Percent (Must total 100%)</w:t>
            </w:r>
          </w:p>
        </w:tc>
      </w:tr>
      <w:tr>
        <w:trPr>
          <w:trHeight w:val="250"/>
        </w:trPr>
        <w:tc>
          <w:tcPr>
            <w:tcW w:w="536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3620" w:type="dxa"/>
            <w:vAlign w:val="bottom"/>
            <w:tcBorders>
              <w:bottom w:val="single" w:sz="8" w:color="auto"/>
              <w:right w:val="single" w:sz="8" w:color="auto"/>
            </w:tcBorders>
          </w:tcPr>
          <w:p>
            <w:pPr>
              <w:spacing w:after="0"/>
              <w:rPr>
                <w:sz w:val="21"/>
                <w:szCs w:val="21"/>
                <w:color w:val="auto"/>
              </w:rPr>
            </w:pPr>
          </w:p>
        </w:tc>
      </w:tr>
      <w:tr>
        <w:trPr>
          <w:trHeight w:val="250"/>
        </w:trPr>
        <w:tc>
          <w:tcPr>
            <w:tcW w:w="536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3620" w:type="dxa"/>
            <w:vAlign w:val="bottom"/>
            <w:tcBorders>
              <w:bottom w:val="single" w:sz="8" w:color="auto"/>
              <w:right w:val="single" w:sz="8" w:color="auto"/>
            </w:tcBorders>
          </w:tcPr>
          <w:p>
            <w:pPr>
              <w:spacing w:after="0"/>
              <w:rPr>
                <w:sz w:val="21"/>
                <w:szCs w:val="21"/>
                <w:color w:val="auto"/>
              </w:rPr>
            </w:pPr>
          </w:p>
        </w:tc>
      </w:tr>
      <w:tr>
        <w:trPr>
          <w:trHeight w:val="250"/>
        </w:trPr>
        <w:tc>
          <w:tcPr>
            <w:tcW w:w="536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3620" w:type="dxa"/>
            <w:vAlign w:val="bottom"/>
            <w:tcBorders>
              <w:bottom w:val="single" w:sz="8" w:color="auto"/>
              <w:right w:val="single" w:sz="8" w:color="auto"/>
            </w:tcBorders>
          </w:tcPr>
          <w:p>
            <w:pPr>
              <w:spacing w:after="0"/>
              <w:rPr>
                <w:sz w:val="21"/>
                <w:szCs w:val="21"/>
                <w:color w:val="auto"/>
              </w:rPr>
            </w:pPr>
          </w:p>
        </w:tc>
      </w:tr>
      <w:tr>
        <w:trPr>
          <w:trHeight w:val="298"/>
        </w:trPr>
        <w:tc>
          <w:tcPr>
            <w:tcW w:w="5360" w:type="dxa"/>
            <w:vAlign w:val="bottom"/>
            <w:tcBorders>
              <w:left w:val="single" w:sz="8" w:color="auto"/>
              <w:bottom w:val="single" w:sz="8" w:color="auto"/>
              <w:right w:val="single" w:sz="8" w:color="auto"/>
            </w:tcBorders>
            <w:shd w:val="clear" w:color="auto" w:fill="C0C0C0"/>
          </w:tcPr>
          <w:p>
            <w:pPr>
              <w:ind w:left="80"/>
              <w:spacing w:after="0"/>
              <w:rPr>
                <w:sz w:val="20"/>
                <w:szCs w:val="20"/>
                <w:color w:val="auto"/>
              </w:rPr>
            </w:pPr>
            <w:r>
              <w:rPr>
                <w:rFonts w:ascii="Times New Roman" w:cs="Times New Roman" w:eastAsia="Times New Roman" w:hAnsi="Times New Roman"/>
                <w:sz w:val="22"/>
                <w:szCs w:val="22"/>
                <w:color w:val="auto"/>
              </w:rPr>
              <w:t>Secondary Beneficiary Name</w:t>
            </w:r>
          </w:p>
        </w:tc>
        <w:tc>
          <w:tcPr>
            <w:tcW w:w="2280" w:type="dxa"/>
            <w:vAlign w:val="bottom"/>
            <w:tcBorders>
              <w:bottom w:val="single" w:sz="8" w:color="auto"/>
              <w:right w:val="single" w:sz="8" w:color="auto"/>
            </w:tcBorders>
            <w:shd w:val="clear" w:color="auto" w:fill="C0C0C0"/>
          </w:tcPr>
          <w:p>
            <w:pPr>
              <w:ind w:left="60"/>
              <w:spacing w:after="0"/>
              <w:rPr>
                <w:sz w:val="20"/>
                <w:szCs w:val="20"/>
                <w:color w:val="auto"/>
              </w:rPr>
            </w:pPr>
            <w:r>
              <w:rPr>
                <w:rFonts w:ascii="Times New Roman" w:cs="Times New Roman" w:eastAsia="Times New Roman" w:hAnsi="Times New Roman"/>
                <w:sz w:val="22"/>
                <w:szCs w:val="22"/>
                <w:color w:val="auto"/>
              </w:rPr>
              <w:t>Relationship</w:t>
            </w:r>
          </w:p>
        </w:tc>
        <w:tc>
          <w:tcPr>
            <w:tcW w:w="3620" w:type="dxa"/>
            <w:vAlign w:val="bottom"/>
            <w:tcBorders>
              <w:bottom w:val="single" w:sz="8" w:color="auto"/>
              <w:right w:val="single" w:sz="8" w:color="auto"/>
            </w:tcBorders>
            <w:shd w:val="clear" w:color="auto" w:fill="C0C0C0"/>
          </w:tcPr>
          <w:p>
            <w:pPr>
              <w:ind w:left="60"/>
              <w:spacing w:after="0"/>
              <w:rPr>
                <w:sz w:val="20"/>
                <w:szCs w:val="20"/>
                <w:color w:val="auto"/>
              </w:rPr>
            </w:pPr>
            <w:r>
              <w:rPr>
                <w:rFonts w:ascii="Times New Roman" w:cs="Times New Roman" w:eastAsia="Times New Roman" w:hAnsi="Times New Roman"/>
                <w:sz w:val="22"/>
                <w:szCs w:val="22"/>
                <w:color w:val="auto"/>
              </w:rPr>
              <w:t>Percent (Must total 100%)</w:t>
            </w:r>
          </w:p>
        </w:tc>
      </w:tr>
      <w:tr>
        <w:trPr>
          <w:trHeight w:val="243"/>
        </w:trPr>
        <w:tc>
          <w:tcPr>
            <w:tcW w:w="536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3620" w:type="dxa"/>
            <w:vAlign w:val="bottom"/>
            <w:tcBorders>
              <w:bottom w:val="single" w:sz="8" w:color="auto"/>
              <w:right w:val="single" w:sz="8" w:color="auto"/>
            </w:tcBorders>
          </w:tcPr>
          <w:p>
            <w:pPr>
              <w:spacing w:after="0"/>
              <w:rPr>
                <w:sz w:val="21"/>
                <w:szCs w:val="21"/>
                <w:color w:val="auto"/>
              </w:rPr>
            </w:pPr>
          </w:p>
        </w:tc>
      </w:tr>
      <w:tr>
        <w:trPr>
          <w:trHeight w:val="237"/>
        </w:trPr>
        <w:tc>
          <w:tcPr>
            <w:tcW w:w="536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p>
        </w:tc>
      </w:tr>
      <w:tr>
        <w:trPr>
          <w:trHeight w:val="236"/>
        </w:trPr>
        <w:tc>
          <w:tcPr>
            <w:tcW w:w="536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p>
        </w:tc>
      </w:tr>
    </w:tbl>
    <w:p>
      <w:pPr>
        <w:sectPr>
          <w:pgSz w:w="11900" w:h="16838" w:orient="portrait"/>
          <w:cols w:equalWidth="0" w:num="1">
            <w:col w:w="11260"/>
          </w:cols>
          <w:pgMar w:left="320" w:top="112" w:right="31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Plains All American Pipeline, L.P. (the “registrant”);</w:t>
      </w:r>
    </w:p>
    <w:p>
      <w:pPr>
        <w:spacing w:after="0" w:line="225" w:lineRule="exact"/>
        <w:rPr>
          <w:rFonts w:ascii="Times New Roman" w:cs="Times New Roman" w:eastAsia="Times New Roman" w:hAnsi="Times New Roman"/>
          <w:sz w:val="18"/>
          <w:szCs w:val="18"/>
          <w:color w:val="auto"/>
        </w:rPr>
      </w:pPr>
    </w:p>
    <w:p>
      <w:pPr>
        <w:ind w:right="160" w:firstLine="656"/>
        <w:spacing w:after="0" w:line="266" w:lineRule="auto"/>
        <w:tabs>
          <w:tab w:leader="none" w:pos="87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656"/>
        <w:spacing w:after="0" w:line="282" w:lineRule="auto"/>
        <w:tabs>
          <w:tab w:leader="none" w:pos="87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87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firstLine="656"/>
        <w:spacing w:after="0" w:line="266" w:lineRule="auto"/>
        <w:tabs>
          <w:tab w:leader="none" w:pos="134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40" w:firstLine="656"/>
        <w:spacing w:after="0" w:line="266" w:lineRule="auto"/>
        <w:tabs>
          <w:tab w:leader="none" w:pos="135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80" w:firstLine="656"/>
        <w:spacing w:after="0" w:line="282" w:lineRule="auto"/>
        <w:tabs>
          <w:tab w:leader="none" w:pos="134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160" w:firstLine="656"/>
        <w:spacing w:after="0" w:line="266" w:lineRule="auto"/>
        <w:tabs>
          <w:tab w:leader="none" w:pos="135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0" w:firstLine="656"/>
        <w:spacing w:after="0" w:line="282" w:lineRule="auto"/>
        <w:tabs>
          <w:tab w:leader="none" w:pos="87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0" w:firstLine="656"/>
        <w:spacing w:after="0" w:line="282" w:lineRule="auto"/>
        <w:tabs>
          <w:tab w:leader="none" w:pos="134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80" w:firstLine="656"/>
        <w:spacing w:after="0" w:line="282" w:lineRule="auto"/>
        <w:tabs>
          <w:tab w:leader="none" w:pos="135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2024</w:t>
      </w: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Willie Chiang</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Plains All American Pipeline, L.P. (the “registrant”);</w:t>
      </w:r>
    </w:p>
    <w:p>
      <w:pPr>
        <w:spacing w:after="0" w:line="225" w:lineRule="exact"/>
        <w:rPr>
          <w:rFonts w:ascii="Times New Roman" w:cs="Times New Roman" w:eastAsia="Times New Roman" w:hAnsi="Times New Roman"/>
          <w:sz w:val="18"/>
          <w:szCs w:val="18"/>
          <w:color w:val="auto"/>
        </w:rPr>
      </w:pPr>
    </w:p>
    <w:p>
      <w:pPr>
        <w:ind w:right="160" w:firstLine="656"/>
        <w:spacing w:after="0" w:line="266" w:lineRule="auto"/>
        <w:tabs>
          <w:tab w:leader="none" w:pos="87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656"/>
        <w:spacing w:after="0" w:line="282" w:lineRule="auto"/>
        <w:tabs>
          <w:tab w:leader="none" w:pos="87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87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firstLine="656"/>
        <w:spacing w:after="0" w:line="266" w:lineRule="auto"/>
        <w:tabs>
          <w:tab w:leader="none" w:pos="134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40" w:firstLine="656"/>
        <w:spacing w:after="0" w:line="266" w:lineRule="auto"/>
        <w:tabs>
          <w:tab w:leader="none" w:pos="135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80" w:firstLine="656"/>
        <w:spacing w:after="0" w:line="282" w:lineRule="auto"/>
        <w:tabs>
          <w:tab w:leader="none" w:pos="134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160" w:firstLine="656"/>
        <w:spacing w:after="0" w:line="266" w:lineRule="auto"/>
        <w:tabs>
          <w:tab w:leader="none" w:pos="135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0" w:firstLine="656"/>
        <w:spacing w:after="0" w:line="282" w:lineRule="auto"/>
        <w:tabs>
          <w:tab w:leader="none" w:pos="87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0" w:firstLine="656"/>
        <w:spacing w:after="0" w:line="282" w:lineRule="auto"/>
        <w:tabs>
          <w:tab w:leader="none" w:pos="134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80" w:firstLine="656"/>
        <w:spacing w:after="0" w:line="282" w:lineRule="auto"/>
        <w:tabs>
          <w:tab w:leader="none" w:pos="135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2024</w:t>
      </w: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7">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Al Swanson</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Willie Chiang, Chief Executive Officer of Plains All American Pipeline, L.P. (the “Company”), hereby certify that:</w:t>
      </w:r>
    </w:p>
    <w:p>
      <w:pPr>
        <w:spacing w:after="0" w:line="225" w:lineRule="exact"/>
        <w:rPr>
          <w:sz w:val="20"/>
          <w:szCs w:val="20"/>
          <w:color w:val="auto"/>
        </w:rPr>
      </w:pPr>
    </w:p>
    <w:p>
      <w:pPr>
        <w:ind w:right="180" w:firstLine="656"/>
        <w:spacing w:after="0" w:line="266" w:lineRule="auto"/>
        <w:tabs>
          <w:tab w:leader="none" w:pos="135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report on Form 10-Q for the period ended September 30, 2024 and filed with the Securities and Exchange Commission on the date hereof (the “Report”) by the Company fully complies with the requirements of Section 13(a) or 15(d)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8">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 Willie Chiang</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 November 8, 2024</w:t>
      </w:r>
    </w:p>
    <w:p>
      <w:pPr>
        <w:sectPr>
          <w:pgSz w:w="11900" w:h="16838" w:orient="portrait"/>
          <w:cols w:equalWidth="0" w:num="1">
            <w:col w:w="11240"/>
          </w:cols>
          <w:pgMar w:left="320" w:top="887"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 Swanson, Chief Financial Officer of Plains All American Pipeline, L.P. (the “Company”), hereby certify that:</w:t>
      </w:r>
    </w:p>
    <w:p>
      <w:pPr>
        <w:spacing w:after="0" w:line="225" w:lineRule="exact"/>
        <w:rPr>
          <w:sz w:val="20"/>
          <w:szCs w:val="20"/>
          <w:color w:val="auto"/>
        </w:rPr>
      </w:pPr>
    </w:p>
    <w:p>
      <w:pPr>
        <w:ind w:right="180" w:firstLine="656"/>
        <w:spacing w:after="0" w:line="266" w:lineRule="auto"/>
        <w:tabs>
          <w:tab w:leader="none" w:pos="135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report on Form 10-Q for the period ended September 30, 2024 and filed with the Securities and Exchange Commission on the date hereof (the “Report”) by the Company fully complies with the requirements of Section 13(a) or 15(d)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9">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 Al Swanson</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 November 8, 2024</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decimal"/>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1)"/>
      <w:numFmt w:val="decimal"/>
      <w:start w:val="1"/>
    </w:lvl>
  </w:abstractNum>
  <w:abstractNum w:abstractNumId="6">
    <w:nsid w:val="614FD4A1"/>
    <w:multiLevelType w:val="hybridMultilevel"/>
    <w:lvl w:ilvl="0">
      <w:lvlJc w:val="left"/>
      <w:lvlText w:val="(%1)"/>
      <w:numFmt w:val="decimal"/>
      <w:start w:val="1"/>
    </w:lvl>
  </w:abstractNum>
  <w:abstractNum w:abstractNumId="7">
    <w:nsid w:val="419AC241"/>
    <w:multiLevelType w:val="hybridMultilevel"/>
    <w:lvl w:ilvl="0">
      <w:lvlJc w:val="left"/>
      <w:lvlText w:val="(%1)"/>
      <w:numFmt w:val="decimal"/>
      <w:start w:val="1"/>
    </w:lvl>
  </w:abstractNum>
  <w:abstractNum w:abstractNumId="8">
    <w:nsid w:val="5577F8E1"/>
    <w:multiLevelType w:val="hybridMultilevel"/>
    <w:lvl w:ilvl="0">
      <w:lvlJc w:val="left"/>
      <w:lvlText w:val="(%1)"/>
      <w:numFmt w:val="decimal"/>
      <w:start w:val="1"/>
    </w:lvl>
  </w:abstractNum>
  <w:abstractNum w:abstractNumId="9">
    <w:nsid w:val="440BADFC"/>
    <w:multiLevelType w:val="hybridMultilevel"/>
    <w:lvl w:ilvl="0">
      <w:lvlJc w:val="left"/>
      <w:lvlText w:val="(%1)"/>
      <w:numFmt w:val="decimal"/>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1)"/>
      <w:numFmt w:val="decimal"/>
      <w:start w:val="1"/>
    </w:lvl>
  </w:abstractNum>
  <w:abstractNum w:abstractNumId="12">
    <w:nsid w:val="77465F01"/>
    <w:multiLevelType w:val="hybridMultilevel"/>
    <w:lvl w:ilvl="0">
      <w:lvlJc w:val="left"/>
      <w:lvlText w:val="(%1)"/>
      <w:numFmt w:val="decimal"/>
      <w:start w:val="1"/>
    </w:lvl>
  </w:abstractNum>
  <w:abstractNum w:abstractNumId="13">
    <w:nsid w:val="7724C67E"/>
    <w:multiLevelType w:val="hybridMultilevel"/>
    <w:lvl w:ilvl="0">
      <w:lvlJc w:val="left"/>
      <w:lvlText w:val="(%1)"/>
      <w:numFmt w:val="decimal"/>
      <w:start w:val="1"/>
    </w:lvl>
  </w:abstractNum>
  <w:abstractNum w:abstractNumId="14">
    <w:nsid w:val="5C482A97"/>
    <w:multiLevelType w:val="hybridMultilevel"/>
    <w:lvl w:ilvl="0">
      <w:lvlJc w:val="left"/>
      <w:lvlText w:val="(%1)"/>
      <w:numFmt w:val="decimal"/>
      <w:start w:val="1"/>
    </w:lvl>
  </w:abstractNum>
  <w:abstractNum w:abstractNumId="15">
    <w:nsid w:val="2463B9EA"/>
    <w:multiLevelType w:val="hybridMultilevel"/>
    <w:lvl w:ilvl="0">
      <w:lvlJc w:val="left"/>
      <w:lvlText w:val="(%1)"/>
      <w:numFmt w:val="decimal"/>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1)"/>
      <w:numFmt w:val="decimal"/>
      <w:start w:val="1"/>
    </w:lvl>
  </w:abstractNum>
  <w:abstractNum w:abstractNumId="19">
    <w:nsid w:val="580BD78F"/>
    <w:multiLevelType w:val="hybridMultilevel"/>
    <w:lvl w:ilvl="0">
      <w:lvlJc w:val="left"/>
      <w:lvlText w:val="(%1)"/>
      <w:numFmt w:val="decimal"/>
      <w:start w:val="1"/>
    </w:lvl>
  </w:abstractNum>
  <w:abstractNum w:abstractNumId="20">
    <w:nsid w:val="153EA438"/>
    <w:multiLevelType w:val="hybridMultilevel"/>
    <w:lvl w:ilvl="0">
      <w:lvlJc w:val="left"/>
      <w:lvlText w:val="(%1)"/>
      <w:numFmt w:val="decimal"/>
      <w:start w:val="3"/>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1)"/>
      <w:numFmt w:val="decimal"/>
      <w:start w:val="1"/>
    </w:lvl>
  </w:abstractNum>
  <w:abstractNum w:abstractNumId="23">
    <w:nsid w:val="6A2342EC"/>
    <w:multiLevelType w:val="hybridMultilevel"/>
    <w:lvl w:ilvl="0">
      <w:lvlJc w:val="left"/>
      <w:lvlText w:val="(%1)"/>
      <w:numFmt w:val="decimal"/>
      <w:start w:val="10"/>
    </w:lvl>
  </w:abstractNum>
  <w:abstractNum w:abstractNumId="24">
    <w:nsid w:val="2A487CB0"/>
    <w:multiLevelType w:val="hybridMultilevel"/>
    <w:lvl w:ilvl="0">
      <w:lvlJc w:val="left"/>
      <w:lvlText w:val="(%1)"/>
      <w:numFmt w:val="decimal"/>
      <w:start w:val="1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1)"/>
      <w:numFmt w:val="lowerRoman"/>
      <w:start w:val="1"/>
    </w:lvl>
  </w:abstractNum>
  <w:abstractNum w:abstractNumId="28">
    <w:nsid w:val="57E4CCAF"/>
    <w:multiLevelType w:val="hybridMultilevel"/>
    <w:lvl w:ilvl="0">
      <w:lvlJc w:val="left"/>
      <w:lvlText w:val="(%1)"/>
      <w:numFmt w:val="lowerRoman"/>
      <w:start w:val="5"/>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1)"/>
      <w:numFmt w:val="decimal"/>
      <w:start w:val="1"/>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1."/>
      <w:numFmt w:val="decimal"/>
      <w:start w:val="1"/>
    </w:lvl>
    <w:lvl w:ilvl="1">
      <w:lvlJc w:val="left"/>
      <w:lvlText w:val="%2."/>
      <w:numFmt w:val="lowerLetter"/>
      <w:start w:val="1"/>
    </w:lvl>
  </w:abstractNum>
  <w:abstractNum w:abstractNumId="38">
    <w:nsid w:val="749ABB43"/>
    <w:multiLevelType w:val="hybridMultilevel"/>
    <w:lvl w:ilvl="0">
      <w:lvlJc w:val="left"/>
      <w:lvlText w:val="%1"/>
      <w:numFmt w:val="decimal"/>
      <w:start w:val="1"/>
    </w:lvl>
    <w:lvl w:ilvl="1">
      <w:lvlJc w:val="left"/>
      <w:lvlText w:val="%2."/>
      <w:numFmt w:val="lowerLetter"/>
      <w:start w:val="2"/>
    </w:lvl>
  </w:abstractNum>
  <w:abstractNum w:abstractNumId="39">
    <w:nsid w:val="3DC240FB"/>
    <w:multiLevelType w:val="hybridMultilevel"/>
    <w:lvl w:ilvl="0">
      <w:lvlJc w:val="left"/>
      <w:lvlText w:val="%1."/>
      <w:numFmt w:val="decimal"/>
      <w:start w:val="3"/>
    </w:lvl>
    <w:lvl w:ilvl="1">
      <w:lvlJc w:val="left"/>
      <w:lvlText w:val="%2"/>
      <w:numFmt w:val="lowerLetter"/>
      <w:start w:val="1"/>
    </w:lvl>
  </w:abstractNum>
  <w:abstractNum w:abstractNumId="40">
    <w:nsid w:val="1BA026FA"/>
    <w:multiLevelType w:val="hybridMultilevel"/>
    <w:lvl w:ilvl="0">
      <w:lvlJc w:val="left"/>
      <w:lvlText w:val="%1."/>
      <w:numFmt w:val="decimal"/>
      <w:start w:val="6"/>
    </w:lvl>
    <w:lvl w:ilvl="1">
      <w:lvlJc w:val="left"/>
      <w:lvlText w:val="(%2)"/>
      <w:numFmt w:val="lowerLetter"/>
      <w:start w:val="25"/>
    </w:lvl>
  </w:abstractNum>
  <w:abstractNum w:abstractNumId="41">
    <w:nsid w:val="79A1DEAA"/>
    <w:multiLevelType w:val="hybridMultilevel"/>
    <w:lvl w:ilvl="0">
      <w:lvlJc w:val="left"/>
      <w:lvlText w:val="(%1)"/>
      <w:numFmt w:val="lowerRoman"/>
      <w:start w:val="1"/>
    </w:lvl>
  </w:abstractNum>
  <w:abstractNum w:abstractNumId="42">
    <w:nsid w:val="75C6C33A"/>
    <w:multiLevelType w:val="hybridMultilevel"/>
    <w:lvl w:ilvl="0">
      <w:lvlJc w:val="left"/>
      <w:lvlText w:val="1"/>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1."/>
      <w:numFmt w:val="decimal"/>
      <w:start w:val="1"/>
    </w:lvl>
  </w:abstractNum>
  <w:abstractNum w:abstractNumId="45">
    <w:nsid w:val="520EEDD1"/>
    <w:multiLevelType w:val="hybridMultilevel"/>
    <w:lvl w:ilvl="0">
      <w:lvlJc w:val="left"/>
      <w:lvlText w:val="%1."/>
      <w:numFmt w:val="decimal"/>
      <w:start w:val="3"/>
    </w:lvl>
  </w:abstractNum>
  <w:abstractNum w:abstractNumId="46">
    <w:nsid w:val="374A3FE6"/>
    <w:multiLevelType w:val="hybridMultilevel"/>
    <w:lvl w:ilvl="0">
      <w:lvlJc w:val="left"/>
      <w:lvlText w:val="%1."/>
      <w:numFmt w:val="decimal"/>
      <w:start w:val="1"/>
    </w:lvl>
  </w:abstractNum>
  <w:abstractNum w:abstractNumId="47">
    <w:nsid w:val="4F4EF005"/>
    <w:multiLevelType w:val="hybridMultilevel"/>
    <w:lvl w:ilvl="0">
      <w:lvlJc w:val="left"/>
      <w:lvlText w:val="(%1)"/>
      <w:numFmt w:val="lowerLetter"/>
      <w:start w:val="1"/>
    </w:lvl>
  </w:abstractNum>
  <w:abstractNum w:abstractNumId="48">
    <w:nsid w:val="23F9C13C"/>
    <w:multiLevelType w:val="hybridMultilevel"/>
    <w:lvl w:ilvl="0">
      <w:lvlJc w:val="left"/>
      <w:lvlText w:val="(%1)"/>
      <w:numFmt w:val="lowerLetter"/>
      <w:start w:val="2"/>
    </w:lvl>
  </w:abstractNum>
  <w:abstractNum w:abstractNumId="49">
    <w:nsid w:val="649BB77C"/>
    <w:multiLevelType w:val="hybridMultilevel"/>
    <w:lvl w:ilvl="0">
      <w:lvlJc w:val="left"/>
      <w:lvlText w:val="%1."/>
      <w:numFmt w:val="decimal"/>
      <w:start w:val="1"/>
    </w:lvl>
  </w:abstractNum>
  <w:abstractNum w:abstractNumId="50">
    <w:nsid w:val="275AC794"/>
    <w:multiLevelType w:val="hybridMultilevel"/>
    <w:lvl w:ilvl="0">
      <w:lvlJc w:val="left"/>
      <w:lvlText w:val="%1."/>
      <w:numFmt w:val="decimal"/>
      <w:start w:val="6"/>
    </w:lvl>
  </w:abstractNum>
  <w:abstractNum w:abstractNumId="51">
    <w:nsid w:val="39386575"/>
    <w:multiLevelType w:val="hybridMultilevel"/>
    <w:lvl w:ilvl="0">
      <w:lvlJc w:val="left"/>
      <w:lvlText w:val="%1."/>
      <w:numFmt w:val="decimal"/>
      <w:start w:val="1"/>
    </w:lvl>
  </w:abstractNum>
  <w:abstractNum w:abstractNumId="52">
    <w:nsid w:val="1CF10FD8"/>
    <w:multiLevelType w:val="hybridMultilevel"/>
    <w:lvl w:ilvl="0">
      <w:lvlJc w:val="left"/>
      <w:lvlText w:val="(%1)"/>
      <w:numFmt w:val="lowerLetter"/>
      <w:start w:val="1"/>
    </w:lvl>
  </w:abstractNum>
  <w:abstractNum w:abstractNumId="53">
    <w:nsid w:val="180115BE"/>
    <w:multiLevelType w:val="hybridMultilevel"/>
    <w:lvl w:ilvl="0">
      <w:lvlJc w:val="left"/>
      <w:lvlText w:val="%1."/>
      <w:numFmt w:val="decimal"/>
      <w:start w:val="5"/>
    </w:lvl>
  </w:abstractNum>
  <w:abstractNum w:abstractNumId="54">
    <w:nsid w:val="235BA861"/>
    <w:multiLevelType w:val="hybridMultilevel"/>
    <w:lvl w:ilvl="0">
      <w:lvlJc w:val="left"/>
      <w:lvlText w:val="(%1)"/>
      <w:numFmt w:val="lowerLetter"/>
      <w:start w:val="1"/>
    </w:lvl>
  </w:abstractNum>
  <w:abstractNum w:abstractNumId="55">
    <w:nsid w:val="47398C89"/>
    <w:multiLevelType w:val="hybridMultilevel"/>
    <w:lvl w:ilvl="0">
      <w:lvlJc w:val="left"/>
      <w:lvlText w:val="%1."/>
      <w:numFmt w:val="decimal"/>
      <w:start w:val="1"/>
    </w:lvl>
  </w:abstractNum>
  <w:abstractNum w:abstractNumId="56">
    <w:nsid w:val="354FE9F9"/>
    <w:multiLevelType w:val="hybridMultilevel"/>
    <w:lvl w:ilvl="0">
      <w:lvlJc w:val="left"/>
      <w:lvlText w:val="(%1)"/>
      <w:numFmt w:val="lowerLetter"/>
      <w:start w:val="1"/>
    </w:lvl>
  </w:abstractNum>
  <w:abstractNum w:abstractNumId="57">
    <w:nsid w:val="15B5AF5C"/>
    <w:multiLevelType w:val="hybridMultilevel"/>
    <w:lvl w:ilvl="0">
      <w:lvlJc w:val="left"/>
      <w:lvlText w:val="%1."/>
      <w:numFmt w:val="decimal"/>
      <w:start w:val="5"/>
    </w:lvl>
  </w:abstractNum>
  <w:abstractNum w:abstractNumId="58">
    <w:nsid w:val="741226BB"/>
    <w:multiLevelType w:val="hybridMultilevel"/>
    <w:lvl w:ilvl="0">
      <w:lvlJc w:val="left"/>
      <w:lvlText w:val="(%1)"/>
      <w:numFmt w:val="lowerLetter"/>
      <w:start w:val="1"/>
    </w:lvl>
  </w:abstractNum>
  <w:abstractNum w:abstractNumId="59">
    <w:nsid w:val="D34B6A8"/>
    <w:multiLevelType w:val="hybridMultilevel"/>
    <w:lvl w:ilvl="0">
      <w:lvlJc w:val="left"/>
      <w:lvlText w:val="(%1)"/>
      <w:numFmt w:val="lowerRoman"/>
      <w:start w:val="1"/>
    </w:lvl>
  </w:abstractNum>
  <w:abstractNum w:abstractNumId="60">
    <w:nsid w:val="10233C9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107" Type="http://schemas.openxmlformats.org/officeDocument/2006/relationships/image" Target="media/image85.png"/><Relationship Id="rId123" Type="http://schemas.openxmlformats.org/officeDocument/2006/relationships/image" Target="media/image86.png"/><Relationship Id="rId135" Type="http://schemas.openxmlformats.org/officeDocument/2006/relationships/image" Target="media/image87.png"/><Relationship Id="rId136" Type="http://schemas.openxmlformats.org/officeDocument/2006/relationships/image" Target="media/image88.png"/><Relationship Id="rId137" Type="http://schemas.openxmlformats.org/officeDocument/2006/relationships/image" Target="media/image89.png"/><Relationship Id="rId138" Type="http://schemas.openxmlformats.org/officeDocument/2006/relationships/image" Target="media/image90.jpeg"/><Relationship Id="rId139" Type="http://schemas.openxmlformats.org/officeDocument/2006/relationships/image" Target="media/image91.png"/><Relationship Id="rId140" Type="http://schemas.openxmlformats.org/officeDocument/2006/relationships/image" Target="media/image92.png"/><Relationship Id="rId141" Type="http://schemas.openxmlformats.org/officeDocument/2006/relationships/image" Target="media/image93.png"/><Relationship Id="rId142" Type="http://schemas.openxmlformats.org/officeDocument/2006/relationships/image" Target="media/image94.jpeg"/><Relationship Id="rId143" Type="http://schemas.openxmlformats.org/officeDocument/2006/relationships/image" Target="media/image95.png"/><Relationship Id="rId144" Type="http://schemas.openxmlformats.org/officeDocument/2006/relationships/image" Target="media/image96.png"/><Relationship Id="rId145" Type="http://schemas.openxmlformats.org/officeDocument/2006/relationships/image" Target="media/image97.png"/><Relationship Id="rId146" Type="http://schemas.openxmlformats.org/officeDocument/2006/relationships/image" Target="media/image98.png"/><Relationship Id="rId147" Type="http://schemas.openxmlformats.org/officeDocument/2006/relationships/image" Target="media/image99.png"/><Relationship Id="rId148" Type="http://schemas.openxmlformats.org/officeDocument/2006/relationships/image" Target="media/image100.png"/><Relationship Id="rId149" Type="http://schemas.openxmlformats.org/officeDocument/2006/relationships/image" Target="media/image101.png"/><Relationship Id="rId92" Type="http://schemas.openxmlformats.org/officeDocument/2006/relationships/hyperlink" Target="https://www.sec.gov/Archives/edgar/data/1070423/000110465917061889/a17-22685_5ex3d1.htm#Exhibit3_1_122228" TargetMode="External"/><Relationship Id="rId93" Type="http://schemas.openxmlformats.org/officeDocument/2006/relationships/hyperlink" Target="https://www.sec.gov/Archives/edgar/data/1070423/000104746904016502/a2135501zex-3_2.htm" TargetMode="External"/><Relationship Id="rId94" Type="http://schemas.openxmlformats.org/officeDocument/2006/relationships/hyperlink" Target="https://www.sec.gov/Archives/edgar/data/1070423/000110465911010359/a11-2319_1ex3d9.htm" TargetMode="External"/><Relationship Id="rId95" Type="http://schemas.openxmlformats.org/officeDocument/2006/relationships/hyperlink" Target="https://www.sec.gov/Archives/edgar/data/1070423/000110465911010359/a11-2319_1ex3d10.htm" TargetMode="External"/><Relationship Id="rId96" Type="http://schemas.openxmlformats.org/officeDocument/2006/relationships/hyperlink" Target="https://www.sec.gov/Archives/edgar/data/1070423/000110465914014322/a13-25941_1ex3d7.htm" TargetMode="External"/><Relationship Id="rId97" Type="http://schemas.openxmlformats.org/officeDocument/2006/relationships/hyperlink" Target="https://www.sec.gov/Archives/edgar/data/1070423/000110465914014322/a13-25941_1ex3d8.htm" TargetMode="External"/><Relationship Id="rId98" Type="http://schemas.openxmlformats.org/officeDocument/2006/relationships/hyperlink" Target="https://www.sec.gov/Archives/edgar/data/1070423/000107042320000004/paa201910-kexhibit37.htm" TargetMode="External"/><Relationship Id="rId99" Type="http://schemas.openxmlformats.org/officeDocument/2006/relationships/hyperlink" Target="https://www.sec.gov/Archives/edgar/data/1070423/000104746904016502/a2135501zex-3_3.htm" TargetMode="External"/><Relationship Id="rId100" Type="http://schemas.openxmlformats.org/officeDocument/2006/relationships/hyperlink" Target="https://www.sec.gov/Archives/edgar/data/1070423/000110465914014322/a13-25941_1ex3d10.htm" TargetMode="External"/><Relationship Id="rId101" Type="http://schemas.openxmlformats.org/officeDocument/2006/relationships/hyperlink" Target="https://www.sec.gov/Archives/edgar/data/1070423/000110465916158355/a16-21841_1ex3d3.htm" TargetMode="External"/><Relationship Id="rId102" Type="http://schemas.openxmlformats.org/officeDocument/2006/relationships/hyperlink" Target="https://www.sec.gov/Archives/edgar/data/1070423/000110465916158355/a16-21841_1ex3d4.htm" TargetMode="External"/><Relationship Id="rId103" Type="http://schemas.openxmlformats.org/officeDocument/2006/relationships/hyperlink" Target="https://www.sec.gov/Archives/edgar/data/1070423/000110465918060011/a18-36196_1ex3d1.htm" TargetMode="External"/><Relationship Id="rId104" Type="http://schemas.openxmlformats.org/officeDocument/2006/relationships/hyperlink" Target="https://www.sec.gov/Archives/edgar/data/1070423/000110465919032810/a19-10856_1ex3d1.htm" TargetMode="External"/><Relationship Id="rId105" Type="http://schemas.openxmlformats.org/officeDocument/2006/relationships/hyperlink" Target="https://www.sec.gov/Archives/edgar/data/1070423/000110465923093997/tm2324104d2_ex3-1.htm" TargetMode="External"/><Relationship Id="rId106" Type="http://schemas.openxmlformats.org/officeDocument/2006/relationships/hyperlink" Target="https://www.sec.gov/Archives/edgar/data/1070423/000095012907001096/h43224exv3w10.htm" TargetMode="External"/><Relationship Id="rId108" Type="http://schemas.openxmlformats.org/officeDocument/2006/relationships/hyperlink" Target="https://www.sec.gov/Archives/edgar/data/1070423/000095012907001096/h43224exv3w11.htm" TargetMode="External"/><Relationship Id="rId109" Type="http://schemas.openxmlformats.org/officeDocument/2006/relationships/hyperlink" Target="https://www.sec.gov/Archives/edgar/data/1070423/000095012908000071/h52770exv3w3.htm" TargetMode="External"/><Relationship Id="rId110" Type="http://schemas.openxmlformats.org/officeDocument/2006/relationships/hyperlink" Target="https://www.sec.gov/Archives/edgar/data/1581990/000104746913007875/a2216069zex-3_1.htm" TargetMode="External"/><Relationship Id="rId111" Type="http://schemas.openxmlformats.org/officeDocument/2006/relationships/hyperlink" Target="https://www.sec.gov/Archives/edgar/data/1581990/000110465916158356/a16-21845_1ex3d2.htm" TargetMode="External"/><Relationship Id="rId112" Type="http://schemas.openxmlformats.org/officeDocument/2006/relationships/hyperlink" Target="https://www.sec.gov/Archives/edgar/data/1581990/000158199020000012/exhibit31.htm" TargetMode="External"/><Relationship Id="rId113" Type="http://schemas.openxmlformats.org/officeDocument/2006/relationships/hyperlink" Target="https://www.sec.gov/Archives/edgar/data/1581990/000104746913007875/a2216069zex-3_3.htm" TargetMode="External"/><Relationship Id="rId114" Type="http://schemas.openxmlformats.org/officeDocument/2006/relationships/hyperlink" Target="https://www.sec.gov/Archives/edgar/data/1070423/000107042322000006/paa202110-kexhibite69.htm" TargetMode="External"/><Relationship Id="rId115" Type="http://schemas.openxmlformats.org/officeDocument/2006/relationships/hyperlink" Target="https://www.sec.gov/Archives/edgar/data/1070423/000089924302002834/dex41.txt" TargetMode="External"/><Relationship Id="rId116" Type="http://schemas.openxmlformats.org/officeDocument/2006/relationships/hyperlink" Target="https://www.sec.gov/Archives/edgar/data/1070423/000110465906034368/a06-11663_1ex4d1.htm" TargetMode="External"/><Relationship Id="rId117" Type="http://schemas.openxmlformats.org/officeDocument/2006/relationships/hyperlink" Target="https://www.sec.gov/Archives/edgar/data/1070423/000095012906009235/h40667exv4w2.htm" TargetMode="External"/><Relationship Id="rId118" Type="http://schemas.openxmlformats.org/officeDocument/2006/relationships/hyperlink" Target="https://www.sec.gov/Archives/edgar/data/1070423/000119312512132295/d321017dex43.htm" TargetMode="External"/><Relationship Id="rId119" Type="http://schemas.openxmlformats.org/officeDocument/2006/relationships/hyperlink" Target="https://www.sec.gov/Archives/edgar/data/1070423/000119312512499932/d453762dex43.htm" TargetMode="External"/><Relationship Id="rId120" Type="http://schemas.openxmlformats.org/officeDocument/2006/relationships/hyperlink" Target="https://www.sec.gov/Archives/edgar/data/1070423/000119312514164183/d713938dex41.htm" TargetMode="External"/><Relationship Id="rId121" Type="http://schemas.openxmlformats.org/officeDocument/2006/relationships/hyperlink" Target="https://www.sec.gov/Archives/edgar/data/1070423/000119312514338289/d787160dex41.htm" TargetMode="External"/><Relationship Id="rId122" Type="http://schemas.openxmlformats.org/officeDocument/2006/relationships/hyperlink" Target="https://www.sec.gov/Archives/edgar/data/1070423/000119312514440007/d833885dex43.htm" TargetMode="External"/><Relationship Id="rId124" Type="http://schemas.openxmlformats.org/officeDocument/2006/relationships/hyperlink" Target="https://www.sec.gov/Archives/edgar/data/1070423/000119312515302829/d45393dex41.htm" TargetMode="External"/><Relationship Id="rId125" Type="http://schemas.openxmlformats.org/officeDocument/2006/relationships/hyperlink" Target="https://www.sec.gov/Archives/edgar/data/1070423/000110465916159593/a16-22232_1ex4d1.htm" TargetMode="External"/><Relationship Id="rId126" Type="http://schemas.openxmlformats.org/officeDocument/2006/relationships/hyperlink" Target="https://www.sec.gov/Archives/edgar/data/1070423/000141057819001281/tv529555_ex4-1.htm" TargetMode="External"/><Relationship Id="rId127" Type="http://schemas.openxmlformats.org/officeDocument/2006/relationships/hyperlink" Target="https://www.sec.gov/Archives/edgar/data/1070423/000110465920072270/tm2022235d1_ex4-1.htm" TargetMode="External"/><Relationship Id="rId128" Type="http://schemas.openxmlformats.org/officeDocument/2006/relationships/hyperlink" Target="https://www.sec.gov/Archives/edgar/data/1070423/000110465924075672/tm2418387d1_ex4-1.htm" TargetMode="External"/><Relationship Id="rId129" Type="http://schemas.openxmlformats.org/officeDocument/2006/relationships/hyperlink" Target="https://www.sec.gov/Archives/edgar/data/1070423/000095012309050401/h68193exv4w1.htm" TargetMode="External"/><Relationship Id="rId130" Type="http://schemas.openxmlformats.org/officeDocument/2006/relationships/hyperlink" Target="https://www.sec.gov/Archives/edgar/data/1070423/000110465916093299/a16-3362_1ex4d1.htm" TargetMode="External"/><Relationship Id="rId131" Type="http://schemas.openxmlformats.org/officeDocument/2006/relationships/hyperlink" Target="https://www.sec.gov/Archives/edgar/data/1070423/000110465916158355/a16-21841_1ex10d4.htm" TargetMode="External"/><Relationship Id="rId132" Type="http://schemas.openxmlformats.org/officeDocument/2006/relationships/hyperlink" Target="https://www.sec.gov/Archives/edgar/data/1070423/000107042324000008/paa202310-kexhibit416.htm" TargetMode="External"/><Relationship Id="rId133" Type="http://schemas.openxmlformats.org/officeDocument/2006/relationships/hyperlink" Target="https://www.sec.gov/Archives/edgar/data/1070423/000110465924092056/tm2422213d1_ex10-1.htm" TargetMode="External"/><Relationship Id="rId134" Type="http://schemas.openxmlformats.org/officeDocument/2006/relationships/hyperlink" Target="https://www.sec.gov/Archives/edgar/data/1070423/000110465924092056/tm2422213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2024-11-08T14:45:00Z</dcterms:created>
  <dcterms:modified xsi:type="dcterms:W3CDTF">2024-11-08T14:45:00Z</dcterms:modified>
</cp:coreProperties>
</file>