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503555</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460375</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20" w:right="1560" w:hanging="3812"/>
        <w:spacing w:after="0" w:line="402" w:lineRule="auto"/>
        <w:tabs>
          <w:tab w:leader="none" w:pos="475"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43"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95" w:lineRule="exact"/>
        <w:rPr>
          <w:sz w:val="24"/>
          <w:szCs w:val="24"/>
          <w:color w:val="auto"/>
        </w:rPr>
      </w:pPr>
    </w:p>
    <w:p>
      <w:pPr>
        <w:sectPr>
          <w:pgSz w:w="11900" w:h="16838" w:orient="portrait"/>
          <w:cols w:equalWidth="0" w:num="2">
            <w:col w:w="6960" w:space="720"/>
            <w:col w:w="3500"/>
          </w:cols>
          <w:pgMar w:left="320" w:top="233" w:right="399"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220" w:space="720"/>
            <w:col w:w="4240"/>
          </w:cols>
          <w:pgMar w:left="320" w:top="233" w:right="399" w:bottom="1440" w:gutter="0" w:footer="0" w:header="0"/>
          <w:type w:val="continuous"/>
        </w:sectPr>
      </w:pP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57"/>
        </w:trPr>
        <w:tc>
          <w:tcPr>
            <w:tcW w:w="3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37"/>
        </w:trPr>
        <w:tc>
          <w:tcPr>
            <w:tcW w:w="3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1800" w:type="dxa"/>
        <w:tblCellMar>
          <w:top w:w="0" w:type="dxa"/>
          <w:left w:w="0" w:type="dxa"/>
          <w:bottom w:w="0" w:type="dxa"/>
          <w:right w:w="0" w:type="dxa"/>
        </w:tblCellMar>
      </w:tblPr>
      <w:tr>
        <w:trPr>
          <w:trHeight w:val="311"/>
        </w:trPr>
        <w:tc>
          <w:tcPr>
            <w:tcW w:w="3700" w:type="dxa"/>
            <w:vAlign w:val="bottom"/>
          </w:tcPr>
          <w:p>
            <w:pPr>
              <w:jc w:val="right"/>
              <w:ind w:right="1770"/>
              <w:spacing w:after="0" w:line="242" w:lineRule="exact"/>
              <w:rPr>
                <w:sz w:val="20"/>
                <w:szCs w:val="20"/>
                <w:color w:val="auto"/>
              </w:rPr>
            </w:pPr>
            <w:r>
              <w:rPr>
                <w:rFonts w:ascii="Arial" w:cs="Arial" w:eastAsia="Arial" w:hAnsi="Arial"/>
                <w:sz w:val="18"/>
                <w:szCs w:val="18"/>
                <w:color w:val="auto"/>
                <w:w w:val="89"/>
              </w:rPr>
              <w:t xml:space="preserve">Large accelerated filer </w:t>
            </w:r>
            <w:r>
              <w:rPr>
                <w:rFonts w:ascii="MS PGothic" w:cs="MS PGothic" w:eastAsia="MS PGothic" w:hAnsi="MS PGothic"/>
                <w:sz w:val="21"/>
                <w:szCs w:val="21"/>
                <w:color w:val="auto"/>
                <w:w w:val="89"/>
              </w:rPr>
              <w:t>☒</w:t>
            </w:r>
          </w:p>
        </w:tc>
        <w:tc>
          <w:tcPr>
            <w:tcW w:w="404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21"/>
                <w:szCs w:val="21"/>
                <w:color w:val="auto"/>
              </w:rPr>
              <w:t>☐</w:t>
            </w:r>
          </w:p>
        </w:tc>
      </w:tr>
      <w:tr>
        <w:trPr>
          <w:trHeight w:val="310"/>
        </w:trPr>
        <w:tc>
          <w:tcPr>
            <w:tcW w:w="3700" w:type="dxa"/>
            <w:vAlign w:val="bottom"/>
          </w:tcPr>
          <w:p>
            <w:pPr>
              <w:jc w:val="right"/>
              <w:ind w:right="1770"/>
              <w:spacing w:after="0" w:line="242" w:lineRule="exact"/>
              <w:rPr>
                <w:sz w:val="20"/>
                <w:szCs w:val="20"/>
                <w:color w:val="auto"/>
              </w:rPr>
            </w:pPr>
            <w:r>
              <w:rPr>
                <w:rFonts w:ascii="Arial" w:cs="Arial" w:eastAsia="Arial" w:hAnsi="Arial"/>
                <w:sz w:val="18"/>
                <w:szCs w:val="18"/>
                <w:color w:val="auto"/>
                <w:w w:val="94"/>
              </w:rPr>
              <w:t xml:space="preserve">Non-accelerated filer </w:t>
            </w:r>
            <w:r>
              <w:rPr>
                <w:rFonts w:ascii="MS PGothic" w:cs="MS PGothic" w:eastAsia="MS PGothic" w:hAnsi="MS PGothic"/>
                <w:sz w:val="21"/>
                <w:szCs w:val="21"/>
                <w:color w:val="auto"/>
                <w:w w:val="94"/>
              </w:rPr>
              <w:t>☐</w:t>
            </w:r>
          </w:p>
        </w:tc>
        <w:tc>
          <w:tcPr>
            <w:tcW w:w="404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21"/>
                <w:szCs w:val="21"/>
                <w:color w:val="auto"/>
              </w:rPr>
              <w:t>☐</w:t>
            </w:r>
          </w:p>
        </w:tc>
      </w:tr>
      <w:tr>
        <w:trPr>
          <w:trHeight w:val="338"/>
        </w:trPr>
        <w:tc>
          <w:tcPr>
            <w:tcW w:w="3700" w:type="dxa"/>
            <w:vAlign w:val="bottom"/>
          </w:tcPr>
          <w:p>
            <w:pPr>
              <w:spacing w:after="0"/>
              <w:rPr>
                <w:sz w:val="24"/>
                <w:szCs w:val="24"/>
                <w:color w:val="auto"/>
              </w:rPr>
            </w:pPr>
          </w:p>
        </w:tc>
        <w:tc>
          <w:tcPr>
            <w:tcW w:w="404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tc>
      </w:tr>
    </w:tbl>
    <w:p>
      <w:pPr>
        <w:spacing w:after="0" w:line="87"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May 1, 2020, there were 184,240,079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77470</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52070</wp:posOffset>
            </wp:positionV>
            <wp:extent cx="677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215"/>
        </w:trPr>
        <w:tc>
          <w:tcPr>
            <w:tcW w:w="10240" w:type="dxa"/>
            <w:vAlign w:val="bottom"/>
            <w:gridSpan w:val="23"/>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980" w:type="dxa"/>
            <w:vAlign w:val="bottom"/>
          </w:tcPr>
          <w:p>
            <w:pPr>
              <w:spacing w:after="0"/>
              <w:rPr>
                <w:sz w:val="18"/>
                <w:szCs w:val="18"/>
                <w:color w:val="auto"/>
              </w:rPr>
            </w:pPr>
          </w:p>
        </w:tc>
      </w:tr>
      <w:tr>
        <w:trPr>
          <w:trHeight w:val="230"/>
        </w:trPr>
        <w:tc>
          <w:tcPr>
            <w:tcW w:w="10240" w:type="dxa"/>
            <w:vAlign w:val="bottom"/>
            <w:gridSpan w:val="2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UNAUDITED CONDENSED CONSOLIDATED FINANCIAL STATEMENTS:</w:t>
              </w:r>
            </w:hyperlink>
          </w:p>
        </w:tc>
        <w:tc>
          <w:tcPr>
            <w:tcW w:w="98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10120" w:type="dxa"/>
            <w:vAlign w:val="bottom"/>
            <w:gridSpan w:val="22"/>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March 31, </w:t>
              </w:r>
            </w:hyperlink>
            <w:r>
              <w:rPr>
                <w:rFonts w:ascii="Arial" w:cs="Arial" w:eastAsia="Arial" w:hAnsi="Arial"/>
                <w:sz w:val="18"/>
                <w:szCs w:val="18"/>
                <w:u w:val="single" w:color="auto"/>
                <w:color w:val="0000FF"/>
              </w:rPr>
              <w:t>2020</w:t>
            </w:r>
            <w:r>
              <w:rPr>
                <w:rFonts w:ascii="Arial" w:cs="Arial" w:eastAsia="Arial" w:hAnsi="Arial"/>
                <w:sz w:val="18"/>
                <w:szCs w:val="18"/>
                <w:color w:val="0000FF"/>
              </w:rPr>
              <w:t xml:space="preserve"> </w:t>
            </w:r>
            <w:hyperlink w:anchor="page3">
              <w:r>
                <w:rPr>
                  <w:rFonts w:ascii="Arial" w:cs="Arial" w:eastAsia="Arial" w:hAnsi="Arial"/>
                  <w:sz w:val="18"/>
                  <w:szCs w:val="18"/>
                  <w:u w:val="single" w:color="auto"/>
                  <w:color w:val="0000FF"/>
                </w:rPr>
                <w:t>and December 31, 2019</w:t>
              </w:r>
            </w:hyperlink>
          </w:p>
        </w:tc>
        <w:tc>
          <w:tcPr>
            <w:tcW w:w="980" w:type="dxa"/>
            <w:vAlign w:val="bottom"/>
          </w:tcPr>
          <w:p>
            <w:pPr>
              <w:jc w:val="right"/>
              <w:spacing w:after="0" w:line="190"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1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Statements of Operations: For the three m</w:t>
              </w:r>
              <w:r>
                <w:rPr>
                  <w:rFonts w:ascii="Arial" w:cs="Arial" w:eastAsia="Arial" w:hAnsi="Arial"/>
                  <w:sz w:val="18"/>
                  <w:szCs w:val="18"/>
                  <w:color w:val="0000FF"/>
                </w:rPr>
                <w:t xml:space="preserve">onths ended March 31, 2020 and </w:t>
              </w:r>
            </w:hyperlink>
            <w:r>
              <w:rPr>
                <w:rFonts w:ascii="Arial" w:cs="Arial" w:eastAsia="Arial" w:hAnsi="Arial"/>
                <w:sz w:val="18"/>
                <w:szCs w:val="18"/>
                <w:color w:val="0000FF"/>
              </w:rPr>
              <w:t>2019</w:t>
            </w:r>
          </w:p>
        </w:tc>
        <w:tc>
          <w:tcPr>
            <w:tcW w:w="9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22"/>
          </w:tcPr>
          <w:p>
            <w:pPr>
              <w:spacing w:after="0"/>
              <w:rPr>
                <w:rFonts w:ascii="Arial" w:cs="Arial" w:eastAsia="Arial" w:hAnsi="Arial"/>
                <w:sz w:val="18"/>
                <w:szCs w:val="18"/>
                <w:color w:val="0000FF"/>
                <w:w w:val="99"/>
              </w:rPr>
            </w:pPr>
            <w:hyperlink w:anchor="page4">
              <w:r>
                <w:rPr>
                  <w:rFonts w:ascii="Arial" w:cs="Arial" w:eastAsia="Arial" w:hAnsi="Arial"/>
                  <w:sz w:val="18"/>
                  <w:szCs w:val="18"/>
                  <w:u w:val="single" w:color="auto"/>
                  <w:color w:val="0000FF"/>
                  <w:w w:val="99"/>
                </w:rPr>
                <w:t xml:space="preserve">Condensed Consolidated Statements of Comprehensive </w:t>
              </w:r>
            </w:hyperlink>
            <w:r>
              <w:rPr>
                <w:rFonts w:ascii="Arial" w:cs="Arial" w:eastAsia="Arial" w:hAnsi="Arial"/>
                <w:sz w:val="18"/>
                <w:szCs w:val="18"/>
                <w:color w:val="0000FF"/>
                <w:w w:val="99"/>
              </w:rPr>
              <w:t>Income/(Loss)</w:t>
            </w:r>
            <w:hyperlink w:anchor="page4">
              <w:r>
                <w:rPr>
                  <w:rFonts w:ascii="Arial" w:cs="Arial" w:eastAsia="Arial" w:hAnsi="Arial"/>
                  <w:sz w:val="18"/>
                  <w:szCs w:val="18"/>
                  <w:color w:val="0000FF"/>
                  <w:w w:val="99"/>
                </w:rPr>
                <w:t>: For the three months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22"/>
          </w:tcPr>
          <w:p>
            <w:pPr>
              <w:spacing w:after="0"/>
              <w:rPr>
                <w:rFonts w:ascii="Arial" w:cs="Arial" w:eastAsia="Arial" w:hAnsi="Arial"/>
                <w:sz w:val="18"/>
                <w:szCs w:val="18"/>
                <w:color w:val="0000FF"/>
                <w:w w:val="90"/>
              </w:rPr>
            </w:pPr>
            <w:hyperlink w:anchor="page5">
              <w:r>
                <w:rPr>
                  <w:rFonts w:ascii="Arial" w:cs="Arial" w:eastAsia="Arial" w:hAnsi="Arial"/>
                  <w:sz w:val="18"/>
                  <w:szCs w:val="18"/>
                  <w:u w:val="single" w:color="auto"/>
                  <w:color w:val="0000FF"/>
                  <w:w w:val="90"/>
                </w:rPr>
                <w:t>Condensed Consolidated Statements of Changes in Accumulated Other Comprehensive Income/(Loss): For the</w:t>
              </w:r>
              <w:r>
                <w:rPr>
                  <w:rFonts w:ascii="Arial" w:cs="Arial" w:eastAsia="Arial" w:hAnsi="Arial"/>
                  <w:sz w:val="18"/>
                  <w:szCs w:val="18"/>
                  <w:color w:val="0000FF"/>
                  <w:w w:val="90"/>
                </w:rPr>
                <w:t xml:space="preserve"> three months ended March</w:t>
              </w:r>
            </w:hyperlink>
          </w:p>
        </w:tc>
        <w:tc>
          <w:tcPr>
            <w:tcW w:w="980" w:type="dxa"/>
            <w:vAlign w:val="bottom"/>
          </w:tcPr>
          <w:p>
            <w:pPr>
              <w:spacing w:after="0"/>
              <w:rPr>
                <w:sz w:val="18"/>
                <w:szCs w:val="18"/>
                <w:color w:val="auto"/>
              </w:rPr>
            </w:pPr>
          </w:p>
        </w:tc>
      </w:tr>
      <w:tr>
        <w:trPr>
          <w:trHeight w:val="156"/>
        </w:trPr>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900" w:type="dxa"/>
            <w:vAlign w:val="bottom"/>
            <w:gridSpan w:val="16"/>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31, 2020 and 2019</w:t>
              </w:r>
            </w:hyperlink>
          </w:p>
        </w:tc>
        <w:tc>
          <w:tcPr>
            <w:tcW w:w="840" w:type="dxa"/>
            <w:vAlign w:val="bottom"/>
            <w:tcBorders>
              <w:top w:val="single" w:sz="8" w:color="0000FF"/>
            </w:tcBorders>
            <w:gridSpan w:val="2"/>
          </w:tcPr>
          <w:p>
            <w:pPr>
              <w:spacing w:after="0"/>
              <w:rPr>
                <w:sz w:val="13"/>
                <w:szCs w:val="13"/>
                <w:color w:val="auto"/>
              </w:rPr>
            </w:pPr>
          </w:p>
        </w:tc>
        <w:tc>
          <w:tcPr>
            <w:tcW w:w="1080" w:type="dxa"/>
            <w:vAlign w:val="bottom"/>
            <w:tcBorders>
              <w:top w:val="single" w:sz="8" w:color="0000FF"/>
            </w:tcBorders>
            <w:gridSpan w:val="2"/>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line="15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three months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0"/>
        </w:trPr>
        <w:tc>
          <w:tcPr>
            <w:tcW w:w="120" w:type="dxa"/>
            <w:vAlign w:val="bottom"/>
          </w:tcPr>
          <w:p>
            <w:pPr>
              <w:spacing w:after="0" w:line="20" w:lineRule="exact"/>
              <w:rPr>
                <w:sz w:val="1"/>
                <w:szCs w:val="1"/>
                <w:color w:val="auto"/>
              </w:rPr>
            </w:pPr>
          </w:p>
        </w:tc>
        <w:tc>
          <w:tcPr>
            <w:tcW w:w="6000" w:type="dxa"/>
            <w:vAlign w:val="bottom"/>
            <w:gridSpan w:val="8"/>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12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Condensed Consolidated Statements of Changes in Partners’ Capital: For the three</w:t>
              </w:r>
              <w:r>
                <w:rPr>
                  <w:rFonts w:ascii="Arial" w:cs="Arial" w:eastAsia="Arial" w:hAnsi="Arial"/>
                  <w:sz w:val="18"/>
                  <w:szCs w:val="18"/>
                  <w:color w:val="0000FF"/>
                </w:rPr>
                <w:t xml:space="preserve"> months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49"/>
        </w:trPr>
        <w:tc>
          <w:tcPr>
            <w:tcW w:w="120" w:type="dxa"/>
            <w:vAlign w:val="bottom"/>
          </w:tcPr>
          <w:p>
            <w:pPr>
              <w:spacing w:after="0"/>
              <w:rPr>
                <w:sz w:val="21"/>
                <w:szCs w:val="21"/>
                <w:color w:val="auto"/>
              </w:rPr>
            </w:pPr>
          </w:p>
        </w:tc>
        <w:tc>
          <w:tcPr>
            <w:tcW w:w="6000" w:type="dxa"/>
            <w:vAlign w:val="bottom"/>
            <w:gridSpan w:val="8"/>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the Condensed Consolidated Financial Statements:</w:t>
              </w:r>
            </w:hyperlink>
          </w:p>
        </w:tc>
        <w:tc>
          <w:tcPr>
            <w:tcW w:w="1740" w:type="dxa"/>
            <w:vAlign w:val="bottom"/>
            <w:tcBorders>
              <w:top w:val="single" w:sz="8" w:color="0000FF"/>
            </w:tcBorders>
            <w:gridSpan w:val="6"/>
          </w:tcPr>
          <w:p>
            <w:pPr>
              <w:spacing w:after="0"/>
              <w:rPr>
                <w:sz w:val="21"/>
                <w:szCs w:val="21"/>
                <w:color w:val="auto"/>
              </w:rPr>
            </w:pPr>
          </w:p>
        </w:tc>
        <w:tc>
          <w:tcPr>
            <w:tcW w:w="280" w:type="dxa"/>
            <w:vAlign w:val="bottom"/>
            <w:gridSpan w:val="2"/>
          </w:tcPr>
          <w:p>
            <w:pPr>
              <w:spacing w:after="0"/>
              <w:rPr>
                <w:sz w:val="21"/>
                <w:szCs w:val="21"/>
                <w:color w:val="auto"/>
              </w:rPr>
            </w:pPr>
          </w:p>
        </w:tc>
        <w:tc>
          <w:tcPr>
            <w:tcW w:w="880" w:type="dxa"/>
            <w:vAlign w:val="bottom"/>
            <w:tcBorders>
              <w:top w:val="single" w:sz="8" w:color="0000FF"/>
            </w:tcBorders>
            <w:gridSpan w:val="3"/>
          </w:tcPr>
          <w:p>
            <w:pPr>
              <w:spacing w:after="0"/>
              <w:rPr>
                <w:sz w:val="21"/>
                <w:szCs w:val="21"/>
                <w:color w:val="auto"/>
              </w:rPr>
            </w:pPr>
          </w:p>
        </w:tc>
        <w:tc>
          <w:tcPr>
            <w:tcW w:w="1220" w:type="dxa"/>
            <w:vAlign w:val="bottom"/>
            <w:gridSpan w:val="3"/>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8">
              <w:r>
                <w:rPr>
                  <w:rFonts w:ascii="Arial" w:cs="Arial" w:eastAsia="Arial" w:hAnsi="Arial"/>
                  <w:sz w:val="17"/>
                  <w:szCs w:val="17"/>
                  <w:u w:val="single" w:color="auto"/>
                  <w:color w:val="0000FF"/>
                  <w:w w:val="70"/>
                </w:rPr>
                <w:t>1.</w:t>
              </w:r>
            </w:hyperlink>
          </w:p>
        </w:tc>
        <w:tc>
          <w:tcPr>
            <w:tcW w:w="9780" w:type="dxa"/>
            <w:vAlign w:val="bottom"/>
            <w:gridSpan w:val="20"/>
          </w:tcPr>
          <w:p>
            <w:pPr>
              <w:ind w:left="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Organization and Basis of Consolidation and Presentation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230"/>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0">
              <w:r>
                <w:rPr>
                  <w:rFonts w:ascii="Arial" w:cs="Arial" w:eastAsia="Arial" w:hAnsi="Arial"/>
                  <w:sz w:val="17"/>
                  <w:szCs w:val="17"/>
                  <w:u w:val="single" w:color="auto"/>
                  <w:color w:val="0000FF"/>
                  <w:w w:val="70"/>
                </w:rPr>
                <w:t>2.</w:t>
              </w:r>
            </w:hyperlink>
          </w:p>
        </w:tc>
        <w:tc>
          <w:tcPr>
            <w:tcW w:w="9780" w:type="dxa"/>
            <w:vAlign w:val="bottom"/>
            <w:gridSpan w:val="20"/>
          </w:tcPr>
          <w:p>
            <w:pPr>
              <w:ind w:left="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Summary of Significant Accounting Policies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10</w:t>
              </w:r>
            </w:hyperlink>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1">
              <w:r>
                <w:rPr>
                  <w:rFonts w:ascii="Arial" w:cs="Arial" w:eastAsia="Arial" w:hAnsi="Arial"/>
                  <w:sz w:val="17"/>
                  <w:szCs w:val="17"/>
                  <w:u w:val="single" w:color="auto"/>
                  <w:color w:val="0000FF"/>
                  <w:w w:val="70"/>
                </w:rPr>
                <w:t>3.</w:t>
              </w:r>
            </w:hyperlink>
          </w:p>
        </w:tc>
        <w:tc>
          <w:tcPr>
            <w:tcW w:w="9780" w:type="dxa"/>
            <w:vAlign w:val="bottom"/>
            <w:gridSpan w:val="20"/>
          </w:tcPr>
          <w:p>
            <w:pPr>
              <w:ind w:left="4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Revenues and Accounts Receivable</w:t>
              </w:r>
            </w:hyperlink>
          </w:p>
        </w:tc>
        <w:tc>
          <w:tcPr>
            <w:tcW w:w="98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4">
              <w:r>
                <w:rPr>
                  <w:rFonts w:ascii="Arial" w:cs="Arial" w:eastAsia="Arial" w:hAnsi="Arial"/>
                  <w:sz w:val="17"/>
                  <w:szCs w:val="17"/>
                  <w:u w:val="single" w:color="auto"/>
                  <w:color w:val="0000FF"/>
                  <w:w w:val="70"/>
                </w:rPr>
                <w:t>4.</w:t>
              </w:r>
            </w:hyperlink>
          </w:p>
        </w:tc>
        <w:tc>
          <w:tcPr>
            <w:tcW w:w="9780" w:type="dxa"/>
            <w:vAlign w:val="bottom"/>
            <w:gridSpan w:val="20"/>
          </w:tcPr>
          <w:p>
            <w:pPr>
              <w:ind w:left="4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Net Income/(Loss) Per Class A Share</w:t>
              </w:r>
            </w:hyperlink>
          </w:p>
        </w:tc>
        <w:tc>
          <w:tcPr>
            <w:tcW w:w="980" w:type="dxa"/>
            <w:vAlign w:val="bottom"/>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14</w:t>
              </w:r>
            </w:hyperlink>
          </w:p>
        </w:tc>
      </w:tr>
      <w:tr>
        <w:trPr>
          <w:trHeight w:val="230"/>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5">
              <w:r>
                <w:rPr>
                  <w:rFonts w:ascii="Arial" w:cs="Arial" w:eastAsia="Arial" w:hAnsi="Arial"/>
                  <w:sz w:val="17"/>
                  <w:szCs w:val="17"/>
                  <w:u w:val="single" w:color="auto"/>
                  <w:color w:val="0000FF"/>
                  <w:w w:val="70"/>
                </w:rPr>
                <w:t>5.</w:t>
              </w:r>
            </w:hyperlink>
          </w:p>
        </w:tc>
        <w:tc>
          <w:tcPr>
            <w:tcW w:w="9780" w:type="dxa"/>
            <w:vAlign w:val="bottom"/>
            <w:gridSpan w:val="20"/>
          </w:tcPr>
          <w:p>
            <w:pPr>
              <w:ind w:left="4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Inventory, Linefill and Base Gas and Long-term Inventory</w:t>
              </w:r>
            </w:hyperlink>
          </w:p>
        </w:tc>
        <w:tc>
          <w:tcPr>
            <w:tcW w:w="980" w:type="dxa"/>
            <w:vAlign w:val="bottom"/>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16</w:t>
              </w:r>
            </w:hyperlink>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6">
              <w:r>
                <w:rPr>
                  <w:rFonts w:ascii="Arial" w:cs="Arial" w:eastAsia="Arial" w:hAnsi="Arial"/>
                  <w:sz w:val="17"/>
                  <w:szCs w:val="17"/>
                  <w:u w:val="single" w:color="auto"/>
                  <w:color w:val="0000FF"/>
                  <w:w w:val="70"/>
                </w:rPr>
                <w:t>6.</w:t>
              </w:r>
            </w:hyperlink>
          </w:p>
        </w:tc>
        <w:tc>
          <w:tcPr>
            <w:tcW w:w="9780" w:type="dxa"/>
            <w:vAlign w:val="bottom"/>
            <w:gridSpan w:val="20"/>
          </w:tcPr>
          <w:p>
            <w:pPr>
              <w:ind w:left="4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Goodwill</w:t>
              </w:r>
            </w:hyperlink>
          </w:p>
        </w:tc>
        <w:tc>
          <w:tcPr>
            <w:tcW w:w="98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17</w:t>
              </w:r>
            </w:hyperlink>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7">
              <w:r>
                <w:rPr>
                  <w:rFonts w:ascii="Arial" w:cs="Arial" w:eastAsia="Arial" w:hAnsi="Arial"/>
                  <w:sz w:val="17"/>
                  <w:szCs w:val="17"/>
                  <w:u w:val="single" w:color="auto"/>
                  <w:color w:val="0000FF"/>
                  <w:w w:val="70"/>
                </w:rPr>
                <w:t>7.</w:t>
              </w:r>
            </w:hyperlink>
          </w:p>
        </w:tc>
        <w:tc>
          <w:tcPr>
            <w:tcW w:w="9780" w:type="dxa"/>
            <w:vAlign w:val="bottom"/>
            <w:gridSpan w:val="20"/>
          </w:tcPr>
          <w:p>
            <w:pPr>
              <w:ind w:left="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Investments in Unconsolidated Entities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18</w:t>
              </w:r>
            </w:hyperlink>
          </w:p>
        </w:tc>
      </w:tr>
      <w:tr>
        <w:trPr>
          <w:trHeight w:val="230"/>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8">
              <w:r>
                <w:rPr>
                  <w:rFonts w:ascii="Arial" w:cs="Arial" w:eastAsia="Arial" w:hAnsi="Arial"/>
                  <w:sz w:val="17"/>
                  <w:szCs w:val="17"/>
                  <w:u w:val="single" w:color="auto"/>
                  <w:color w:val="0000FF"/>
                  <w:w w:val="70"/>
                </w:rPr>
                <w:t>8.</w:t>
              </w:r>
            </w:hyperlink>
          </w:p>
        </w:tc>
        <w:tc>
          <w:tcPr>
            <w:tcW w:w="9780" w:type="dxa"/>
            <w:vAlign w:val="bottom"/>
            <w:gridSpan w:val="20"/>
          </w:tcPr>
          <w:p>
            <w:pPr>
              <w:ind w:left="4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Debt</w:t>
              </w:r>
            </w:hyperlink>
          </w:p>
        </w:tc>
        <w:tc>
          <w:tcPr>
            <w:tcW w:w="98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20">
              <w:r>
                <w:rPr>
                  <w:rFonts w:ascii="Arial" w:cs="Arial" w:eastAsia="Arial" w:hAnsi="Arial"/>
                  <w:sz w:val="17"/>
                  <w:szCs w:val="17"/>
                  <w:u w:val="single" w:color="auto"/>
                  <w:color w:val="0000FF"/>
                  <w:w w:val="70"/>
                </w:rPr>
                <w:t>9.</w:t>
              </w:r>
            </w:hyperlink>
          </w:p>
        </w:tc>
        <w:tc>
          <w:tcPr>
            <w:tcW w:w="9780" w:type="dxa"/>
            <w:vAlign w:val="bottom"/>
            <w:gridSpan w:val="20"/>
          </w:tcPr>
          <w:p>
            <w:pPr>
              <w:ind w:left="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Partners’ Capital and Distributions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20</w:t>
              </w:r>
            </w:hyperlink>
          </w:p>
        </w:tc>
      </w:tr>
      <w:tr>
        <w:trPr>
          <w:trHeight w:val="230"/>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21"/>
          </w:tcPr>
          <w:p>
            <w:pPr>
              <w:ind w:left="6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10. Derivatives and Risk Management Activities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r>
      <w:tr>
        <w:trPr>
          <w:trHeight w:val="229"/>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21"/>
          </w:tcPr>
          <w:p>
            <w:pPr>
              <w:ind w:left="6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11. Related Party Transactions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230"/>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21"/>
          </w:tcPr>
          <w:p>
            <w:pPr>
              <w:ind w:left="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12. Commitments and Contingencies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29"/>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21"/>
          </w:tcPr>
          <w:p>
            <w:pPr>
              <w:ind w:left="6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13. Operating Segments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33</w:t>
              </w:r>
            </w:hyperlink>
          </w:p>
        </w:tc>
      </w:tr>
      <w:tr>
        <w:trPr>
          <w:trHeight w:val="230"/>
        </w:trPr>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60" w:type="dxa"/>
            <w:vAlign w:val="bottom"/>
            <w:gridSpan w:val="21"/>
          </w:tcPr>
          <w:p>
            <w:pPr>
              <w:ind w:left="6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14. Acquisitions, Divestitures and Asset Impairments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r>
      <w:tr>
        <w:trPr>
          <w:trHeight w:val="499"/>
        </w:trPr>
        <w:tc>
          <w:tcPr>
            <w:tcW w:w="10240" w:type="dxa"/>
            <w:vAlign w:val="bottom"/>
            <w:gridSpan w:val="2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2. 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38</w:t>
              </w:r>
            </w:hyperlink>
          </w:p>
        </w:tc>
      </w:tr>
      <w:tr>
        <w:trPr>
          <w:trHeight w:val="230"/>
        </w:trPr>
        <w:tc>
          <w:tcPr>
            <w:tcW w:w="10240" w:type="dxa"/>
            <w:vAlign w:val="bottom"/>
            <w:gridSpan w:val="23"/>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Item 3. QUANTITATIVE AND QUALITATIVE DISCLOSURES ABOUT MARKET RISK</w:t>
              </w:r>
            </w:hyperlink>
          </w:p>
        </w:tc>
        <w:tc>
          <w:tcPr>
            <w:tcW w:w="98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r>
        <w:trPr>
          <w:trHeight w:val="230"/>
        </w:trPr>
        <w:tc>
          <w:tcPr>
            <w:tcW w:w="10240" w:type="dxa"/>
            <w:vAlign w:val="bottom"/>
            <w:gridSpan w:val="23"/>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4. CONTROLS AND PROCEDURES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63</w:t>
              </w:r>
            </w:hyperlink>
          </w:p>
        </w:tc>
      </w:tr>
      <w:tr>
        <w:trPr>
          <w:trHeight w:val="499"/>
        </w:trPr>
        <w:tc>
          <w:tcPr>
            <w:tcW w:w="10240" w:type="dxa"/>
            <w:vAlign w:val="bottom"/>
            <w:gridSpan w:val="23"/>
          </w:tcPr>
          <w:p>
            <w:pPr>
              <w:spacing w:after="0"/>
              <w:rPr>
                <w:rFonts w:ascii="Arial" w:cs="Arial" w:eastAsia="Arial" w:hAnsi="Arial"/>
                <w:sz w:val="18"/>
                <w:szCs w:val="18"/>
                <w:b w:val="1"/>
                <w:bCs w:val="1"/>
                <w:u w:val="single" w:color="auto"/>
                <w:color w:val="0000FF"/>
              </w:rPr>
            </w:pPr>
            <w:hyperlink w:anchor="page63">
              <w:r>
                <w:rPr>
                  <w:rFonts w:ascii="Arial" w:cs="Arial" w:eastAsia="Arial" w:hAnsi="Arial"/>
                  <w:sz w:val="18"/>
                  <w:szCs w:val="18"/>
                  <w:b w:val="1"/>
                  <w:bCs w:val="1"/>
                  <w:u w:val="single" w:color="auto"/>
                  <w:color w:val="0000FF"/>
                </w:rPr>
                <w:t>PART II. OTHER INFORMATION</w:t>
              </w:r>
            </w:hyperlink>
          </w:p>
        </w:tc>
        <w:tc>
          <w:tcPr>
            <w:tcW w:w="980" w:type="dxa"/>
            <w:vAlign w:val="bottom"/>
          </w:tcPr>
          <w:p>
            <w:pPr>
              <w:spacing w:after="0"/>
              <w:rPr>
                <w:sz w:val="24"/>
                <w:szCs w:val="24"/>
                <w:color w:val="auto"/>
              </w:rPr>
            </w:pPr>
          </w:p>
        </w:tc>
      </w:tr>
      <w:tr>
        <w:trPr>
          <w:trHeight w:val="230"/>
        </w:trPr>
        <w:tc>
          <w:tcPr>
            <w:tcW w:w="10240" w:type="dxa"/>
            <w:vAlign w:val="bottom"/>
            <w:gridSpan w:val="23"/>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1. LEGAL PROCEEDINGS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30"/>
        </w:trPr>
        <w:tc>
          <w:tcPr>
            <w:tcW w:w="10240" w:type="dxa"/>
            <w:vAlign w:val="bottom"/>
            <w:gridSpan w:val="23"/>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1A. RISK FACTORS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29"/>
        </w:trPr>
        <w:tc>
          <w:tcPr>
            <w:tcW w:w="10240" w:type="dxa"/>
            <w:vAlign w:val="bottom"/>
            <w:gridSpan w:val="23"/>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2. UNREGISTERED SALES OF EQUITY SECURITIES AND USE OF PROCEEDS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66</w:t>
              </w:r>
            </w:hyperlink>
          </w:p>
        </w:tc>
      </w:tr>
      <w:tr>
        <w:trPr>
          <w:trHeight w:val="230"/>
        </w:trPr>
        <w:tc>
          <w:tcPr>
            <w:tcW w:w="10240" w:type="dxa"/>
            <w:vAlign w:val="bottom"/>
            <w:gridSpan w:val="23"/>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3. DEFAULTS UPON SENIOR SECURITIES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230"/>
        </w:trPr>
        <w:tc>
          <w:tcPr>
            <w:tcW w:w="10240" w:type="dxa"/>
            <w:vAlign w:val="bottom"/>
            <w:gridSpan w:val="23"/>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4. MINE SAFETY DISCLOSURES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230"/>
        </w:trPr>
        <w:tc>
          <w:tcPr>
            <w:tcW w:w="10240" w:type="dxa"/>
            <w:vAlign w:val="bottom"/>
            <w:gridSpan w:val="23"/>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5. OTHER INFORMATION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229"/>
        </w:trPr>
        <w:tc>
          <w:tcPr>
            <w:tcW w:w="10240" w:type="dxa"/>
            <w:vAlign w:val="bottom"/>
            <w:gridSpan w:val="23"/>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6. EXHIBITS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67</w:t>
              </w:r>
            </w:hyperlink>
          </w:p>
        </w:tc>
      </w:tr>
      <w:tr>
        <w:trPr>
          <w:trHeight w:val="230"/>
        </w:trPr>
        <w:tc>
          <w:tcPr>
            <w:tcW w:w="10240" w:type="dxa"/>
            <w:vAlign w:val="bottom"/>
            <w:gridSpan w:val="23"/>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SIGNATURES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70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37"/>
        </w:trPr>
        <w:tc>
          <w:tcPr>
            <w:tcW w:w="8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47</w:t>
            </w:r>
          </w:p>
        </w:tc>
      </w:tr>
      <w:tr>
        <w:trPr>
          <w:trHeight w:val="31"/>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37</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2,200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3,614</w:t>
            </w:r>
          </w:p>
        </w:tc>
      </w:tr>
      <w:tr>
        <w:trPr>
          <w:trHeight w:val="31"/>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604</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2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530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312</w:t>
            </w:r>
          </w:p>
        </w:tc>
      </w:tr>
      <w:tr>
        <w:trPr>
          <w:trHeight w:val="31"/>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4,614</w:t>
            </w:r>
          </w:p>
        </w:tc>
      </w:tr>
      <w:tr>
        <w:trPr>
          <w:trHeight w:val="142"/>
        </w:trPr>
        <w:tc>
          <w:tcPr>
            <w:tcW w:w="8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17,962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18,983</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Accumulated depreciation</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(3,549)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(3,616)</w:t>
            </w:r>
          </w:p>
        </w:tc>
      </w:tr>
      <w:tr>
        <w:trPr>
          <w:trHeight w:val="31"/>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15,367</w:t>
            </w:r>
          </w:p>
        </w:tc>
      </w:tr>
      <w:tr>
        <w:trPr>
          <w:trHeight w:val="142"/>
        </w:trPr>
        <w:tc>
          <w:tcPr>
            <w:tcW w:w="8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40" w:type="dxa"/>
            <w:vAlign w:val="bottom"/>
          </w:tcPr>
          <w:p>
            <w:pPr>
              <w:spacing w:after="0"/>
              <w:rPr>
                <w:sz w:val="21"/>
                <w:szCs w:val="21"/>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3,714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3,683</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2,540</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2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1,455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1,280</w:t>
            </w:r>
          </w:p>
        </w:tc>
      </w:tr>
      <w:tr>
        <w:trPr>
          <w:trHeight w:val="31"/>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981</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430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466</w:t>
            </w:r>
          </w:p>
        </w:tc>
      </w:tr>
      <w:tr>
        <w:trPr>
          <w:trHeight w:val="31"/>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182</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assets, net</w:t>
            </w:r>
          </w:p>
        </w:tc>
        <w:tc>
          <w:tcPr>
            <w:tcW w:w="2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1,053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856</w:t>
            </w:r>
          </w:p>
        </w:tc>
      </w:tr>
      <w:tr>
        <w:trPr>
          <w:trHeight w:val="31"/>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25,166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29,969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8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2,246</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3,687</w:t>
            </w:r>
          </w:p>
        </w:tc>
      </w:tr>
      <w:tr>
        <w:trPr>
          <w:trHeight w:val="31"/>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504</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Other current liabilities</w:t>
            </w:r>
          </w:p>
        </w:tc>
        <w:tc>
          <w:tcPr>
            <w:tcW w:w="2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828</w:t>
            </w:r>
          </w:p>
        </w:tc>
      </w:tr>
      <w:tr>
        <w:trPr>
          <w:trHeight w:val="31"/>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5,019</w:t>
            </w:r>
          </w:p>
        </w:tc>
      </w:tr>
      <w:tr>
        <w:trPr>
          <w:trHeight w:val="142"/>
        </w:trPr>
        <w:tc>
          <w:tcPr>
            <w:tcW w:w="8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8,941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8,939</w:t>
            </w:r>
          </w:p>
        </w:tc>
      </w:tr>
      <w:tr>
        <w:trPr>
          <w:trHeight w:val="31"/>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248</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370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387</w:t>
            </w:r>
          </w:p>
        </w:tc>
      </w:tr>
      <w:tr>
        <w:trPr>
          <w:trHeight w:val="31"/>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891</w:t>
            </w:r>
          </w:p>
        </w:tc>
      </w:tr>
      <w:tr>
        <w:trPr>
          <w:trHeight w:val="219"/>
        </w:trPr>
        <w:tc>
          <w:tcPr>
            <w:tcW w:w="8240" w:type="dxa"/>
            <w:vAlign w:val="bottom"/>
          </w:tcPr>
          <w:p>
            <w:pPr>
              <w:ind w:left="140"/>
              <w:spacing w:after="0"/>
              <w:rPr>
                <w:sz w:val="20"/>
                <w:szCs w:val="20"/>
                <w:color w:val="auto"/>
              </w:rPr>
            </w:pPr>
            <w:r>
              <w:rPr>
                <w:rFonts w:ascii="Arial" w:cs="Arial" w:eastAsia="Arial" w:hAnsi="Arial"/>
                <w:sz w:val="17"/>
                <w:szCs w:val="17"/>
                <w:color w:val="auto"/>
              </w:rPr>
              <w:t>Total long-term liabilities</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10,621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10,465</w:t>
            </w:r>
          </w:p>
        </w:tc>
      </w:tr>
      <w:tr>
        <w:trPr>
          <w:trHeight w:val="31"/>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2"/>
        </w:trPr>
        <w:tc>
          <w:tcPr>
            <w:tcW w:w="8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 (NOTE 12)</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2"/>
        </w:trPr>
        <w:tc>
          <w:tcPr>
            <w:tcW w:w="8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20"/>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PARTNERS’ CAPITAL</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
        </w:trPr>
        <w:tc>
          <w:tcPr>
            <w:tcW w:w="8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Class A shareholders (184,240,079 and 182,138,592 shares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2,155</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2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9,729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12,330</w:t>
            </w:r>
          </w:p>
        </w:tc>
      </w:tr>
      <w:tr>
        <w:trPr>
          <w:trHeight w:val="31"/>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partners’ capital</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11,186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14,485</w:t>
            </w:r>
          </w:p>
        </w:tc>
      </w:tr>
      <w:tr>
        <w:trPr>
          <w:trHeight w:val="219"/>
        </w:trPr>
        <w:tc>
          <w:tcPr>
            <w:tcW w:w="8240" w:type="dxa"/>
            <w:vAlign w:val="bottom"/>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25,166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29,969</w:t>
            </w:r>
          </w:p>
        </w:tc>
      </w:tr>
      <w:tr>
        <w:trPr>
          <w:trHeight w:val="31"/>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609"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40"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p>
      <w:pPr>
        <w:jc w:val="both"/>
        <w:ind w:left="9080"/>
        <w:spacing w:after="0"/>
        <w:tabs>
          <w:tab w:leader="none" w:pos="104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23495</wp:posOffset>
            </wp:positionV>
            <wp:extent cx="1680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5"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(unaudited)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Supply and Logistics segment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Transportation segment revenues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Facilities segment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revenues</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Purchases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Field operating costs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(Gains)/losses on asset sales and asset impairments, net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impairment losses (Note 6)</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INCOME/(EXPENSE)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earnings in unconsolidated entities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on/(impairment of) investments in unconsolidated entities, net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Interest expense (net of capitalized interest of $6 and $11, respectively)</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income tax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income tax (expense)/benefit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(income)/loss attributable to noncontrolling interests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7,907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8,022</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197</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156</w:t>
            </w:r>
          </w:p>
        </w:tc>
      </w:tr>
      <w:tr>
        <w:trPr>
          <w:trHeight w:val="27"/>
        </w:trPr>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8,269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8,375</w:t>
            </w:r>
          </w:p>
        </w:tc>
      </w:tr>
      <w:tr>
        <w:trPr>
          <w:trHeight w:val="756"/>
        </w:trPr>
        <w:tc>
          <w:tcPr>
            <w:tcW w:w="3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7,367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7,119</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326</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77</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136</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11,044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7,662</w:t>
            </w:r>
          </w:p>
        </w:tc>
      </w:tr>
      <w:tr>
        <w:trPr>
          <w:trHeight w:val="540"/>
        </w:trPr>
        <w:tc>
          <w:tcPr>
            <w:tcW w:w="3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713</w:t>
            </w:r>
          </w:p>
        </w:tc>
      </w:tr>
    </w:tbl>
    <w:p>
      <w:pPr>
        <w:spacing w:after="0" w:line="200" w:lineRule="exact"/>
        <w:rPr>
          <w:sz w:val="20"/>
          <w:szCs w:val="20"/>
          <w:color w:val="auto"/>
        </w:rPr>
      </w:pPr>
    </w:p>
    <w:p>
      <w:pPr>
        <w:spacing w:after="0" w:line="326" w:lineRule="exact"/>
        <w:rPr>
          <w:sz w:val="20"/>
          <w:szCs w:val="20"/>
          <w:color w:val="auto"/>
        </w:rPr>
      </w:pPr>
    </w:p>
    <w:p>
      <w:pPr>
        <w:ind w:left="2300" w:hanging="1453"/>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89</w:t>
      </w:r>
    </w:p>
    <w:p>
      <w:pPr>
        <w:spacing w:after="0" w:line="63" w:lineRule="exact"/>
        <w:rPr>
          <w:rFonts w:ascii="Arial" w:cs="Arial" w:eastAsia="Arial" w:hAnsi="Arial"/>
          <w:sz w:val="18"/>
          <w:szCs w:val="18"/>
          <w:color w:val="auto"/>
        </w:rPr>
      </w:pPr>
    </w:p>
    <w:p>
      <w:pPr>
        <w:ind w:left="2220" w:hanging="1365"/>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267</w:t>
      </w:r>
    </w:p>
    <w:p>
      <w:pPr>
        <w:spacing w:after="0" w:line="63" w:lineRule="exact"/>
        <w:rPr>
          <w:sz w:val="20"/>
          <w:szCs w:val="20"/>
          <w:color w:val="auto"/>
        </w:rPr>
      </w:pPr>
    </w:p>
    <w:p>
      <w:pPr>
        <w:ind w:left="2140" w:hanging="1375"/>
        <w:spacing w:after="0"/>
        <w:tabs>
          <w:tab w:leader="none" w:pos="2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(101)</w:t>
      </w:r>
    </w:p>
    <w:p>
      <w:pPr>
        <w:spacing w:after="0" w:line="63" w:lineRule="exact"/>
        <w:rPr>
          <w:sz w:val="20"/>
          <w:szCs w:val="20"/>
          <w:color w:val="auto"/>
        </w:rPr>
      </w:pPr>
    </w:p>
    <w:p>
      <w:pPr>
        <w:ind w:left="2300" w:hanging="1445"/>
        <w:spacing w:after="0"/>
        <w:tabs>
          <w:tab w:leader="none" w:pos="2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993</w:t>
            </w:r>
          </w:p>
        </w:tc>
      </w:tr>
      <w:tr>
        <w:trPr>
          <w:trHeight w:val="27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0"/>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8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24"/>
                <w:szCs w:val="24"/>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914</w:t>
            </w:r>
          </w:p>
        </w:tc>
      </w:tr>
      <w:tr>
        <w:trPr>
          <w:trHeight w:val="270"/>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680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7880" w:space="720"/>
            <w:col w:w="26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PAGP</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147</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8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7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3"/>
                <w:szCs w:val="23"/>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0.92</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7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BASIC AND DILUTED WEIGHTED AVERAGE CLASS A SHARES OUTSTANDING</w:t>
            </w: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159</w:t>
            </w:r>
          </w:p>
        </w:tc>
      </w:tr>
      <w:tr>
        <w:trPr>
          <w:trHeight w:val="20"/>
        </w:trPr>
        <w:tc>
          <w:tcPr>
            <w:tcW w:w="8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23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96"/>
        </w:trPr>
        <w:tc>
          <w:tcPr>
            <w:tcW w:w="8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r>
      <w:tr>
        <w:trPr>
          <w:trHeight w:val="25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914</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58</w:t>
            </w:r>
          </w:p>
        </w:tc>
      </w:tr>
      <w:tr>
        <w:trPr>
          <w:trHeight w:val="27"/>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972</w:t>
            </w:r>
          </w:p>
        </w:tc>
      </w:tr>
      <w:tr>
        <w:trPr>
          <w:trHeight w:val="243"/>
        </w:trPr>
        <w:tc>
          <w:tcPr>
            <w:tcW w:w="8600" w:type="dxa"/>
            <w:vAlign w:val="bottom"/>
          </w:tcPr>
          <w:p>
            <w:pPr>
              <w:ind w:left="80"/>
              <w:spacing w:after="0"/>
              <w:rPr>
                <w:sz w:val="20"/>
                <w:szCs w:val="20"/>
                <w:color w:val="auto"/>
              </w:rPr>
            </w:pPr>
            <w:r>
              <w:rPr>
                <w:rFonts w:ascii="Arial" w:cs="Arial" w:eastAsia="Arial" w:hAnsi="Arial"/>
                <w:sz w:val="18"/>
                <w:szCs w:val="18"/>
                <w:color w:val="auto"/>
              </w:rPr>
              <w:t>Comprehensive (income)/loss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(812)</w:t>
            </w:r>
          </w:p>
        </w:tc>
      </w:tr>
      <w:tr>
        <w:trPr>
          <w:trHeight w:val="27"/>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PAGP</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Translation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5"/>
          </w:tcPr>
          <w:p>
            <w:pPr>
              <w:ind w:left="900"/>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(674)</w:t>
            </w:r>
          </w:p>
        </w:tc>
        <w:tc>
          <w:tcPr>
            <w:tcW w:w="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(251)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period activity</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(251)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(925)</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Translation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(unaudited)</w:t>
            </w: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(853)</w:t>
            </w:r>
          </w:p>
        </w:tc>
        <w:tc>
          <w:tcPr>
            <w:tcW w:w="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period activity</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Balance at March 31, 2019</w:t>
            </w: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(775)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8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96"/>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914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Reconciliation of net income/(loss)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136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(Gains)/losses on asset sales and asset impairments, net (Note 14)</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r>
      <w:tr>
        <w:trPr>
          <w:trHeight w:val="243"/>
        </w:trPr>
        <w:tc>
          <w:tcPr>
            <w:tcW w:w="8240" w:type="dxa"/>
            <w:vAlign w:val="bottom"/>
          </w:tcPr>
          <w:p>
            <w:pPr>
              <w:ind w:left="80"/>
              <w:spacing w:after="0"/>
              <w:rPr>
                <w:sz w:val="20"/>
                <w:szCs w:val="20"/>
                <w:color w:val="auto"/>
              </w:rPr>
            </w:pPr>
            <w:r>
              <w:rPr>
                <w:rFonts w:ascii="Arial" w:cs="Arial" w:eastAsia="Arial" w:hAnsi="Arial"/>
                <w:sz w:val="18"/>
                <w:szCs w:val="18"/>
                <w:color w:val="auto"/>
              </w:rPr>
              <w:t>Goodwill impairment losses (Note 6)</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Equity-indexed compensation expense/(benefit)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r>
      <w:tr>
        <w:trPr>
          <w:trHeight w:val="243"/>
        </w:trPr>
        <w:tc>
          <w:tcPr>
            <w:tcW w:w="8240" w:type="dxa"/>
            <w:vAlign w:val="bottom"/>
          </w:tcPr>
          <w:p>
            <w:pPr>
              <w:ind w:left="80"/>
              <w:spacing w:after="0"/>
              <w:rPr>
                <w:sz w:val="20"/>
                <w:szCs w:val="20"/>
                <w:color w:val="auto"/>
              </w:rPr>
            </w:pPr>
            <w:r>
              <w:rPr>
                <w:rFonts w:ascii="Arial" w:cs="Arial" w:eastAsia="Arial" w:hAnsi="Arial"/>
                <w:sz w:val="18"/>
                <w:szCs w:val="18"/>
                <w:color w:val="auto"/>
              </w:rPr>
              <w:t>Inventory valuation adjustments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income tax expense/(benefit)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r>
      <w:tr>
        <w:trPr>
          <w:trHeight w:val="243"/>
        </w:trPr>
        <w:tc>
          <w:tcPr>
            <w:tcW w:w="8240" w:type="dxa"/>
            <w:vAlign w:val="bottom"/>
          </w:tcPr>
          <w:p>
            <w:pPr>
              <w:ind w:left="80"/>
              <w:spacing w:after="0"/>
              <w:rPr>
                <w:sz w:val="20"/>
                <w:szCs w:val="20"/>
                <w:color w:val="auto"/>
              </w:rPr>
            </w:pPr>
            <w:r>
              <w:rPr>
                <w:rFonts w:ascii="Arial" w:cs="Arial" w:eastAsia="Arial" w:hAnsi="Arial"/>
                <w:sz w:val="18"/>
                <w:szCs w:val="18"/>
                <w:color w:val="auto"/>
              </w:rPr>
              <w:t>Loss on foreign currency revaluation</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r>
      <w:tr>
        <w:trPr>
          <w:trHeight w:val="243"/>
        </w:trPr>
        <w:tc>
          <w:tcPr>
            <w:tcW w:w="8240" w:type="dxa"/>
            <w:vAlign w:val="bottom"/>
          </w:tcPr>
          <w:p>
            <w:pPr>
              <w:ind w:left="80"/>
              <w:spacing w:after="0"/>
              <w:rPr>
                <w:sz w:val="20"/>
                <w:szCs w:val="20"/>
                <w:color w:val="auto"/>
              </w:rPr>
            </w:pPr>
            <w:r>
              <w:rPr>
                <w:rFonts w:ascii="Arial" w:cs="Arial" w:eastAsia="Arial" w:hAnsi="Arial"/>
                <w:sz w:val="18"/>
                <w:szCs w:val="18"/>
                <w:color w:val="auto"/>
              </w:rPr>
              <w:t>Equity earnings in unconsolidated entities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Distributions on earnings from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w:t>
            </w:r>
          </w:p>
        </w:tc>
      </w:tr>
      <w:tr>
        <w:trPr>
          <w:trHeight w:val="243"/>
        </w:trPr>
        <w:tc>
          <w:tcPr>
            <w:tcW w:w="8240" w:type="dxa"/>
            <w:vAlign w:val="bottom"/>
          </w:tcPr>
          <w:p>
            <w:pPr>
              <w:ind w:left="80"/>
              <w:spacing w:after="0"/>
              <w:rPr>
                <w:sz w:val="20"/>
                <w:szCs w:val="20"/>
                <w:color w:val="auto"/>
              </w:rPr>
            </w:pPr>
            <w:r>
              <w:rPr>
                <w:rFonts w:ascii="Arial" w:cs="Arial" w:eastAsia="Arial" w:hAnsi="Arial"/>
                <w:sz w:val="18"/>
                <w:szCs w:val="18"/>
                <w:color w:val="auto"/>
              </w:rPr>
              <w:t>(Gain on)/impairment of investments in unconsolidated entities, net (Note 7)</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182</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1,032</w:t>
            </w:r>
          </w:p>
        </w:tc>
      </w:tr>
      <w:tr>
        <w:trPr>
          <w:trHeight w:val="88"/>
        </w:trPr>
        <w:tc>
          <w:tcPr>
            <w:tcW w:w="82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paid in connection with acquisitions, net of cash acquired (Note 14)</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 of assets (Note 14)</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 purchases of linefill and base gas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r>
      <w:tr>
        <w:trPr>
          <w:trHeight w:val="237"/>
        </w:trPr>
        <w:tc>
          <w:tcPr>
            <w:tcW w:w="824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(429)</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88"/>
        </w:trPr>
        <w:tc>
          <w:tcPr>
            <w:tcW w:w="8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repayments under PAA commercial paper program (Note 8)</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borrowings under PAA senior secured hedged inventory facility (Note 8)</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paid to Class A shareholders (Note 9)</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noncontrolling interests (Note 9)</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w:t>
            </w:r>
          </w:p>
        </w:tc>
      </w:tr>
      <w:tr>
        <w:trPr>
          <w:trHeight w:val="236"/>
        </w:trPr>
        <w:tc>
          <w:tcPr>
            <w:tcW w:w="8240" w:type="dxa"/>
            <w:vAlign w:val="bottom"/>
          </w:tcPr>
          <w:p>
            <w:pPr>
              <w:ind w:left="2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88"/>
        </w:trPr>
        <w:tc>
          <w:tcPr>
            <w:tcW w:w="8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Effect of translation adjustment</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08"/>
        </w:trPr>
        <w:tc>
          <w:tcPr>
            <w:tcW w:w="82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r>
      <w:tr>
        <w:trPr>
          <w:trHeight w:val="236"/>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472</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w:t>
            </w:r>
          </w:p>
        </w:tc>
      </w:tr>
      <w:tr>
        <w:trPr>
          <w:trHeight w:val="243"/>
        </w:trPr>
        <w:tc>
          <w:tcPr>
            <w:tcW w:w="8240" w:type="dxa"/>
            <w:vAlign w:val="bottom"/>
          </w:tcPr>
          <w:p>
            <w:pPr>
              <w:ind w:left="80"/>
              <w:spacing w:after="0"/>
              <w:rPr>
                <w:sz w:val="20"/>
                <w:szCs w:val="20"/>
                <w:color w:val="auto"/>
              </w:rPr>
            </w:pPr>
            <w:r>
              <w:rPr>
                <w:rFonts w:ascii="Arial" w:cs="Arial" w:eastAsia="Arial" w:hAnsi="Arial"/>
                <w:sz w:val="18"/>
                <w:szCs w:val="18"/>
                <w:color w:val="auto"/>
              </w:rPr>
              <w:t>Income taxes, net of amounts refunded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65</w:t>
            </w: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9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933"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1360" w:type="dxa"/>
            <w:vAlign w:val="bottom"/>
          </w:tcPr>
          <w:p>
            <w:pPr>
              <w:jc w:val="center"/>
              <w:ind w:right="11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 (Note 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6460" w:type="dxa"/>
            <w:vAlign w:val="bottom"/>
          </w:tcPr>
          <w:p>
            <w:pPr>
              <w:ind w:left="12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6460" w:type="dxa"/>
            <w:vAlign w:val="bottom"/>
          </w:tcPr>
          <w:p>
            <w:pPr>
              <w:ind w:left="120"/>
              <w:spacing w:after="0"/>
              <w:rPr>
                <w:sz w:val="20"/>
                <w:szCs w:val="20"/>
                <w:color w:val="auto"/>
              </w:rPr>
            </w:pPr>
            <w:r>
              <w:rPr>
                <w:rFonts w:ascii="Arial" w:cs="Arial" w:eastAsia="Arial" w:hAnsi="Arial"/>
                <w:sz w:val="18"/>
                <w:szCs w:val="18"/>
                <w:color w:val="auto"/>
                <w:w w:val="95"/>
              </w:rPr>
              <w:t>Change in ownership interest in connection with Exchange Right exercises (Note 9)</w:t>
            </w:r>
          </w:p>
        </w:tc>
        <w:tc>
          <w:tcPr>
            <w:tcW w:w="22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Contributions from noncontrolling interests (Note 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460" w:type="dxa"/>
            <w:vAlign w:val="bottom"/>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9,729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24"/>
                <w:szCs w:val="24"/>
                <w:color w:val="auto"/>
              </w:rPr>
            </w:pPr>
          </w:p>
        </w:tc>
        <w:tc>
          <w:tcPr>
            <w:tcW w:w="1360" w:type="dxa"/>
            <w:vAlign w:val="bottom"/>
          </w:tcPr>
          <w:p>
            <w:pPr>
              <w:jc w:val="center"/>
              <w:ind w:right="11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11,473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6460" w:type="dxa"/>
            <w:vAlign w:val="bottom"/>
          </w:tcPr>
          <w:p>
            <w:pPr>
              <w:ind w:left="12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460" w:type="dxa"/>
            <w:vAlign w:val="bottom"/>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Plains GP Holdings, L.P. (“PAGP”) is a Delaware limited partnership formed in 2013 that has elected to be taxed as a corporation for United States federal income tax purposes. PAGP does not directly own any operating assets; as of March 31, 2020,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March 31, 2020, PAGP owned (i) a 100% managing member interest in Plains All American GP LLC (“GP LLC”), an entity that has also elected to be taxed as a corporation for United States federal income tax purposes and (ii) an approximate 75% limited partner interest in Plains AAP, L.P. (“AAP”) through our direct ownership of approximately 183.2 million Class A units of AAP (“AAP units”) and indirect ownership of approximately 1.0 million AAP units through GP LLC. GP LLC is a Delaware limited liability company that also holds the non-economic general partner interest in AAP. AAP is a Delaware limited partnership that, as of March 31, 2020, directly owned a limited partner interest in PAA through its ownership of approximately 248.4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21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ISDA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MMbls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TWh</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2019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2019 was derived from audited financial statements, but does not include all disclosures required by GAAP. The results of operations for the three months ended March 31, 2020 should not be taken as indicative of results to be expected for the entire year.</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60" w:hanging="324"/>
        <w:spacing w:after="0" w:line="263"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the exception of a deferred tax asset of $1.455 billion and $1.280 billion as of March 31, 2020 and December 31, 2019,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assets and liabilities presented on PAGP’s Condensed Consolidated Balance Sheets are those of PAA. Only the assets of each respective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VIE can be used to settle the obligations of that individual VIE, and the creditors of each/either of those VIEs do not have recourse against the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of PAGP. PAGP did not provide any financial support to PAA or AAP during the three months ended March 31, 2020 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See Note 17 to our Consolidated Financial Statements included in Part IV of our 2019 Annual Report on Form 10-K for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regarding the Omnibus Agreement entered into by the Plains Entities on November 15, 2016.</w:t>
      </w:r>
    </w:p>
    <w:p>
      <w:pPr>
        <w:spacing w:after="0" w:line="23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first quarter of 2020, the novel coronavirus (“COVID-19”) pandemic resulted in a swift and material decline in global crude oil demand, which contributed to an oversupply of crude oil that has been exacerbated by increases in production from certain suppliers in the global oil markets. These macroeconomic and industry specific challenges resulted in a number of impairment charges recognized during the first quarter. See Note 6 and Note 14 for further discussion of these impairments.</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Many uncertainties remain with respect to COVID-19, including uncertainty regarding the length of time the pandemic will continue, as well as the timing, pace and extent of an economic recovery in the United States and elsewhere, and how such uncertainties will impact the energy industry and our business. As a result, these matters may affect our estimates and assumptions on amounts reported in the financial statements and accompanying notes in the near 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 that sum to the total of the amounts shown on our Condensed Consolidated Statement of Cash Flows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r>
      <w:tr>
        <w:trPr>
          <w:trHeight w:val="24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47</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37</w:t>
            </w:r>
          </w:p>
        </w:tc>
      </w:tr>
      <w:tr>
        <w:trPr>
          <w:trHeight w:val="27"/>
        </w:trPr>
        <w:tc>
          <w:tcPr>
            <w:tcW w:w="8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84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Except as discussed below and in our 2019 Annual Report on Form 10-K, there have been no new accounting pronouncements that have become effective or have been issued during the three months ended March 31, 2020 that are of significance or potential significance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adopted the ASUs listed below effective January 1, 2020 and our adoption did not have a material impact on our financial position, results of operations or cash flows (see Note 2 to our Consolidated Financial Statements included in Part IV of our 2019 Annual Report on Form 10-K for additional information regarding these ASUs):</w:t>
      </w:r>
    </w:p>
    <w:p>
      <w:pPr>
        <w:spacing w:after="0" w:line="211" w:lineRule="exact"/>
        <w:rPr>
          <w:sz w:val="20"/>
          <w:szCs w:val="20"/>
          <w:color w:val="auto"/>
        </w:rPr>
      </w:pPr>
    </w:p>
    <w:p>
      <w:pPr>
        <w:ind w:left="820" w:right="80" w:hanging="164"/>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ASU 2019-04, Codification Improvements to Topic 326, Financial Instruments—Credit Losses, Topic 815, Derivatives and Hedging, and Topic 825, Financial Instruments;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ASU 2018-17, Consolidation (Topic 810): Targeted Improvements to Related Party Guidance for Variable Interest Entities;</w:t>
      </w:r>
    </w:p>
    <w:p>
      <w:pPr>
        <w:spacing w:after="0" w:line="117" w:lineRule="exact"/>
        <w:rPr>
          <w:rFonts w:ascii="Arial" w:cs="Arial" w:eastAsia="Arial" w:hAnsi="Arial"/>
          <w:sz w:val="18"/>
          <w:szCs w:val="18"/>
          <w:color w:val="auto"/>
        </w:rPr>
      </w:pPr>
    </w:p>
    <w:p>
      <w:pPr>
        <w:ind w:left="820" w:right="100" w:hanging="164"/>
        <w:spacing w:after="0" w:line="308" w:lineRule="auto"/>
        <w:tabs>
          <w:tab w:leader="none" w:pos="815" w:val="left"/>
        </w:tabs>
        <w:numPr>
          <w:ilvl w:val="0"/>
          <w:numId w:val="7"/>
        </w:numPr>
        <w:rPr>
          <w:rFonts w:ascii="Arial" w:cs="Arial" w:eastAsia="Arial" w:hAnsi="Arial"/>
          <w:sz w:val="17"/>
          <w:szCs w:val="17"/>
          <w:color w:val="auto"/>
        </w:rPr>
      </w:pPr>
      <w:r>
        <w:rPr>
          <w:rFonts w:ascii="Arial" w:cs="Arial" w:eastAsia="Arial" w:hAnsi="Arial"/>
          <w:sz w:val="17"/>
          <w:szCs w:val="17"/>
          <w:color w:val="auto"/>
        </w:rPr>
        <w:t>ASU 2018-15, Intangibles—Goodwill and Other—Internal-Use Software (Subtopic 350-40): Customer’s Accounting for Implementation Costs Incurred in a Cloud Computing Arrangement That Is a Service Contract (a consensus of the FASB Emerging Issues Task Force);</w:t>
      </w:r>
    </w:p>
    <w:p>
      <w:pPr>
        <w:spacing w:after="0" w:line="38" w:lineRule="exact"/>
        <w:rPr>
          <w:rFonts w:ascii="Arial" w:cs="Arial" w:eastAsia="Arial" w:hAnsi="Arial"/>
          <w:sz w:val="17"/>
          <w:szCs w:val="17"/>
          <w:color w:val="auto"/>
        </w:rPr>
      </w:pPr>
    </w:p>
    <w:p>
      <w:pPr>
        <w:ind w:left="820" w:right="780" w:hanging="164"/>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ASU 2018-13, Fair Value Measurement (Topic 820): Disclosure Framework—Changes to the Disclosure Requirements for Fair Value Measurement; and</w:t>
      </w:r>
    </w:p>
    <w:p>
      <w:pPr>
        <w:spacing w:after="0" w:line="62" w:lineRule="exact"/>
        <w:rPr>
          <w:rFonts w:ascii="Arial" w:cs="Arial" w:eastAsia="Arial" w:hAnsi="Arial"/>
          <w:sz w:val="18"/>
          <w:szCs w:val="18"/>
          <w:color w:val="auto"/>
        </w:rPr>
      </w:pPr>
    </w:p>
    <w:p>
      <w:pPr>
        <w:ind w:left="820" w:right="140" w:hanging="164"/>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ASU 2016-13, Financial Instruments—Credit Losses (Topic 326): Measurement of Credit Losses on Financial Instruments (along with a series of related ASUs).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Issued During the Period</w:t>
      </w:r>
    </w:p>
    <w:p>
      <w:pPr>
        <w:spacing w:after="0" w:line="25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 xml:space="preserve">In March 2020, the FASB issued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GAAP to contracts, hedging relationships and other transactions that 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LIBOR or another reference rate expected to be discontinued because of reference rate reform. This guidance is effective prospectively upon issuance through December 31, 2022 and may be applied from the beginning of an interim period that includes the issuance date of this ASU. We are currently evaluating the effect that this guidance will have on our financial position,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We disaggregate our revenues by segment and type of activity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(“Topic 606”). These categories depict how the nature, amount, timing and uncertainty of revenues and cash flows are affected by economic factors. See Note 3 to our Consolidated Financial Statements included in Part IV of our 2019 Annual Report on Form 10-K for additional information regarding our types of revenues and policies for revenue recognition.</w:t>
      </w:r>
    </w:p>
    <w:p>
      <w:pPr>
        <w:spacing w:after="0" w:line="214"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p>
      <w:pPr>
        <w:spacing w:after="0" w:line="243"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1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Crude oil transactions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7,322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6,936</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other transactions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910</w:t>
            </w:r>
          </w:p>
        </w:tc>
      </w:tr>
      <w:tr>
        <w:trPr>
          <w:trHeight w:val="264"/>
        </w:trPr>
        <w:tc>
          <w:tcPr>
            <w:tcW w:w="8600" w:type="dxa"/>
            <w:vAlign w:val="bottom"/>
          </w:tcPr>
          <w:p>
            <w:pPr>
              <w:ind w:left="2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7,750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7,846</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Tariff activities:</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7"/>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800" w:type="dxa"/>
            <w:vAlign w:val="bottom"/>
            <w:tcBorders>
              <w:bottom w:val="single" w:sz="8" w:color="CCEEFF"/>
            </w:tcBorders>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478</w:t>
            </w:r>
          </w:p>
        </w:tc>
      </w:tr>
      <w:tr>
        <w:trPr>
          <w:trHeight w:val="243"/>
        </w:trPr>
        <w:tc>
          <w:tcPr>
            <w:tcW w:w="8600" w:type="dxa"/>
            <w:vAlign w:val="bottom"/>
          </w:tcPr>
          <w:p>
            <w:pPr>
              <w:ind w:left="220"/>
              <w:spacing w:after="0"/>
              <w:rPr>
                <w:sz w:val="20"/>
                <w:szCs w:val="20"/>
                <w:color w:val="auto"/>
              </w:rPr>
            </w:pPr>
            <w:r>
              <w:rPr>
                <w:rFonts w:ascii="Arial" w:cs="Arial" w:eastAsia="Arial" w:hAnsi="Arial"/>
                <w:sz w:val="18"/>
                <w:szCs w:val="18"/>
                <w:color w:val="auto"/>
              </w:rPr>
              <w:t>NGL pipelines</w:t>
            </w:r>
          </w:p>
        </w:tc>
        <w:tc>
          <w:tcPr>
            <w:tcW w:w="800" w:type="dxa"/>
            <w:vAlign w:val="bottom"/>
          </w:tcPr>
          <w:p>
            <w:pPr>
              <w:spacing w:after="0"/>
              <w:rPr>
                <w:sz w:val="21"/>
                <w:szCs w:val="21"/>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27</w:t>
            </w:r>
          </w:p>
        </w:tc>
      </w:tr>
      <w:tr>
        <w:trPr>
          <w:trHeight w:val="27"/>
        </w:trPr>
        <w:tc>
          <w:tcPr>
            <w:tcW w:w="8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tariff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505</w:t>
            </w: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Trucking</w:t>
            </w:r>
          </w:p>
        </w:tc>
        <w:tc>
          <w:tcPr>
            <w:tcW w:w="800" w:type="dxa"/>
            <w:vAlign w:val="bottom"/>
          </w:tcPr>
          <w:p>
            <w:pPr>
              <w:spacing w:after="0"/>
              <w:rPr>
                <w:sz w:val="21"/>
                <w:szCs w:val="21"/>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39</w:t>
            </w:r>
          </w:p>
        </w:tc>
      </w:tr>
      <w:tr>
        <w:trPr>
          <w:trHeight w:val="27"/>
        </w:trPr>
        <w:tc>
          <w:tcPr>
            <w:tcW w:w="8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8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80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573</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544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505"/>
        </w:trPr>
        <w:tc>
          <w:tcPr>
            <w:tcW w:w="8600" w:type="dxa"/>
            <w:vAlign w:val="bottom"/>
          </w:tcPr>
          <w:p>
            <w:pPr>
              <w:spacing w:after="0"/>
              <w:rPr>
                <w:sz w:val="24"/>
                <w:szCs w:val="24"/>
                <w:color w:val="auto"/>
              </w:rPr>
            </w:pPr>
          </w:p>
        </w:tc>
        <w:tc>
          <w:tcPr>
            <w:tcW w:w="21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24"/>
                <w:szCs w:val="24"/>
                <w:color w:val="auto"/>
              </w:rPr>
            </w:pPr>
          </w:p>
        </w:tc>
      </w:tr>
      <w:tr>
        <w:trPr>
          <w:trHeight w:val="192"/>
        </w:trPr>
        <w:tc>
          <w:tcPr>
            <w:tcW w:w="86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r>
      <w:tr>
        <w:trPr>
          <w:trHeight w:val="196"/>
        </w:trPr>
        <w:tc>
          <w:tcPr>
            <w:tcW w:w="86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r>
      <w:tr>
        <w:trPr>
          <w:trHeight w:val="21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Crude oil, NGL and other terminalling and storage</w:t>
            </w:r>
          </w:p>
        </w:tc>
        <w:tc>
          <w:tcPr>
            <w:tcW w:w="800" w:type="dxa"/>
            <w:vAlign w:val="bottom"/>
          </w:tcPr>
          <w:p>
            <w:pPr>
              <w:jc w:val="right"/>
              <w:ind w:right="618"/>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w w:val="99"/>
              </w:rPr>
              <w:t>182</w:t>
            </w:r>
          </w:p>
        </w:tc>
        <w:tc>
          <w:tcPr>
            <w:tcW w:w="120" w:type="dxa"/>
            <w:vAlign w:val="bottom"/>
          </w:tcPr>
          <w:p>
            <w:pPr>
              <w:spacing w:after="0"/>
              <w:rPr>
                <w:sz w:val="21"/>
                <w:szCs w:val="21"/>
                <w:color w:val="auto"/>
              </w:rPr>
            </w:pP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w w:val="93"/>
              </w:rPr>
              <w:t>176</w:t>
            </w:r>
          </w:p>
        </w:tc>
      </w:tr>
      <w:tr>
        <w:trPr>
          <w:trHeight w:val="27"/>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natural gas processing and fractionation</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Rail load / unload</w:t>
            </w:r>
          </w:p>
        </w:tc>
        <w:tc>
          <w:tcPr>
            <w:tcW w:w="800" w:type="dxa"/>
            <w:vAlign w:val="bottom"/>
          </w:tcPr>
          <w:p>
            <w:pPr>
              <w:spacing w:after="0"/>
              <w:rPr>
                <w:sz w:val="21"/>
                <w:szCs w:val="21"/>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7"/>
        </w:trPr>
        <w:tc>
          <w:tcPr>
            <w:tcW w:w="8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8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80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305</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283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i w:val="1"/>
          <w:iCs w:val="1"/>
          <w:color w:val="auto"/>
        </w:rPr>
        <w:t xml:space="preserve">Reconciliation to Total Revenues of Reportable Segments. </w:t>
      </w:r>
      <w:r>
        <w:rPr>
          <w:rFonts w:ascii="Arial" w:cs="Arial" w:eastAsia="Arial" w:hAnsi="Arial"/>
          <w:sz w:val="16"/>
          <w:szCs w:val="16"/>
          <w:color w:val="auto"/>
        </w:rPr>
        <w:t>The following tables present the reconciliation of our revenues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segment revenues and total revenues as disclosed in our Condensed Consolidated Statements of Operations (in millions):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3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7,908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37"/>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2019</w:t>
            </w:r>
          </w:p>
        </w:tc>
        <w:tc>
          <w:tcPr>
            <w:tcW w:w="3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8,022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37"/>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At March 31, 2020 and December 31, 2019, counterparty deficiencies associated with contracts with customers and buy/sell arrangements that include minimum volume commitments totaled $22 million and $42 million, respectively, of which $18 million and $22 million, respectively, was recorded as a contract liability. The remaining balance of $4 million and $20 million at March 31, 2020 and December 31, 2019, respectively, was related to deficiencies for which the counterparties had not met their contractual minimum commitments and were not reflected in our Condensed Consolidated Financial Statements as we had not yet billed or collected such amounts.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three months ended March 31, 2020 (in millions):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Contract Liabilities</w:t>
            </w:r>
          </w:p>
        </w:tc>
      </w:tr>
      <w:tr>
        <w:trPr>
          <w:trHeight w:val="295"/>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354</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20" w:type="dxa"/>
            <w:vAlign w:val="bottom"/>
          </w:tcPr>
          <w:p>
            <w:pPr>
              <w:ind w:left="100"/>
              <w:spacing w:after="0"/>
              <w:rPr>
                <w:sz w:val="20"/>
                <w:szCs w:val="20"/>
                <w:color w:val="auto"/>
              </w:rPr>
            </w:pPr>
            <w:r>
              <w:rPr>
                <w:rFonts w:ascii="Arial" w:cs="Arial" w:eastAsia="Arial" w:hAnsi="Arial"/>
                <w:sz w:val="18"/>
                <w:szCs w:val="18"/>
                <w:color w:val="auto"/>
              </w:rPr>
              <w:t>Amounts recognized as revenue</w:t>
            </w:r>
          </w:p>
        </w:tc>
        <w:tc>
          <w:tcPr>
            <w:tcW w:w="240" w:type="dxa"/>
            <w:vAlign w:val="bottom"/>
          </w:tcPr>
          <w:p>
            <w:pPr>
              <w:spacing w:after="0"/>
              <w:rPr>
                <w:sz w:val="18"/>
                <w:szCs w:val="18"/>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(242)</w:t>
            </w:r>
          </w:p>
        </w:tc>
      </w:tr>
      <w:tr>
        <w:trPr>
          <w:trHeight w:val="27"/>
        </w:trPr>
        <w:tc>
          <w:tcPr>
            <w:tcW w:w="9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Additions</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w:t>
            </w:r>
          </w:p>
        </w:tc>
      </w:tr>
      <w:tr>
        <w:trPr>
          <w:trHeight w:val="264"/>
        </w:trPr>
        <w:tc>
          <w:tcPr>
            <w:tcW w:w="92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148</w:t>
            </w: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March 31, 2020 (in millions):</w:t>
      </w:r>
    </w:p>
    <w:p>
      <w:pPr>
        <w:spacing w:after="0" w:line="237" w:lineRule="exact"/>
        <w:rPr>
          <w:sz w:val="20"/>
          <w:szCs w:val="20"/>
          <w:color w:val="auto"/>
        </w:rPr>
      </w:pPr>
    </w:p>
    <w:tbl>
      <w:tblPr>
        <w:tblLayout w:type="fixed"/>
        <w:tblInd w:w="4380" w:type="dxa"/>
        <w:tblCellMar>
          <w:top w:w="0" w:type="dxa"/>
          <w:left w:w="0" w:type="dxa"/>
          <w:bottom w:w="0" w:type="dxa"/>
          <w:right w:w="0" w:type="dxa"/>
        </w:tblCellMar>
      </w:tblPr>
      <w:tr>
        <w:trPr>
          <w:trHeight w:val="161"/>
        </w:trPr>
        <w:tc>
          <w:tcPr>
            <w:tcW w:w="1140" w:type="dxa"/>
            <w:vAlign w:val="bottom"/>
          </w:tcPr>
          <w:p>
            <w:pPr>
              <w:jc w:val="center"/>
              <w:ind w:right="228"/>
              <w:spacing w:after="0"/>
              <w:rPr>
                <w:sz w:val="20"/>
                <w:szCs w:val="20"/>
                <w:color w:val="auto"/>
              </w:rPr>
            </w:pPr>
            <w:r>
              <w:rPr>
                <w:rFonts w:ascii="Arial" w:cs="Arial" w:eastAsia="Arial" w:hAnsi="Arial"/>
                <w:sz w:val="14"/>
                <w:szCs w:val="14"/>
                <w:b w:val="1"/>
                <w:bCs w:val="1"/>
                <w:color w:val="auto"/>
                <w:w w:val="93"/>
              </w:rPr>
              <w:t>Remainder of</w:t>
            </w:r>
          </w:p>
        </w:tc>
        <w:tc>
          <w:tcPr>
            <w:tcW w:w="10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1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1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2025 and</w:t>
            </w:r>
          </w:p>
        </w:tc>
        <w:tc>
          <w:tcPr>
            <w:tcW w:w="0" w:type="dxa"/>
            <w:vAlign w:val="bottom"/>
          </w:tcPr>
          <w:p>
            <w:pPr>
              <w:spacing w:after="0"/>
              <w:rPr>
                <w:sz w:val="1"/>
                <w:szCs w:val="1"/>
                <w:color w:val="auto"/>
              </w:rPr>
            </w:pPr>
          </w:p>
        </w:tc>
      </w:tr>
      <w:tr>
        <w:trPr>
          <w:trHeight w:val="186"/>
        </w:trPr>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5" w:right="359" w:bottom="1440" w:gutter="0" w:footer="0" w:header="0"/>
        </w:sectPr>
      </w:pPr>
    </w:p>
    <w:tbl>
      <w:tblPr>
        <w:tblLayout w:type="fixed"/>
        <w:tblInd w:w="80" w:type="dxa"/>
        <w:tblCellMar>
          <w:top w:w="0" w:type="dxa"/>
          <w:left w:w="0" w:type="dxa"/>
          <w:bottom w:w="0" w:type="dxa"/>
          <w:right w:w="0" w:type="dxa"/>
        </w:tblCellMar>
      </w:tblPr>
      <w:tr>
        <w:trPr>
          <w:trHeight w:val="188"/>
        </w:trPr>
        <w:tc>
          <w:tcPr>
            <w:tcW w:w="4160" w:type="dxa"/>
            <w:vAlign w:val="bottom"/>
          </w:tcPr>
          <w:p>
            <w:pPr>
              <w:spacing w:after="0" w:line="188"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9"/>
        </w:trPr>
        <w:tc>
          <w:tcPr>
            <w:tcW w:w="4160" w:type="dxa"/>
            <w:vAlign w:val="bottom"/>
          </w:tcPr>
          <w:p>
            <w:pPr>
              <w:ind w:left="160"/>
              <w:spacing w:after="0"/>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w w:val="89"/>
              </w:rPr>
              <w:t>Storage, terminalling and throughput agreement revenues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16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4599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124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553</w:t>
            </w:r>
          </w:p>
        </w:tc>
      </w:tr>
      <w:tr>
        <w:trPr>
          <w:trHeight w:val="270"/>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307</w:t>
            </w:r>
          </w:p>
        </w:tc>
        <w:tc>
          <w:tcPr>
            <w:tcW w:w="36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367</w:t>
            </w:r>
          </w:p>
        </w:tc>
      </w:tr>
      <w:tr>
        <w:trPr>
          <w:trHeight w:val="27"/>
        </w:trPr>
        <w:tc>
          <w:tcPr>
            <w:tcW w:w="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431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920</w:t>
            </w:r>
          </w:p>
        </w:tc>
      </w:tr>
      <w:tr>
        <w:trPr>
          <w:trHeight w:val="27"/>
        </w:trPr>
        <w:tc>
          <w:tcPr>
            <w:tcW w:w="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-213995</wp:posOffset>
            </wp:positionV>
            <wp:extent cx="706374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63740" cy="21463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-642620</wp:posOffset>
            </wp:positionV>
            <wp:extent cx="706374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6374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540"/>
            <w:col w:w="6320"/>
          </w:cols>
          <w:pgMar w:left="320" w:top="125" w:right="35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88" w:lineRule="exact"/>
        <w:rPr>
          <w:sz w:val="20"/>
          <w:szCs w:val="20"/>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During the first quarter of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March 31, 2020 and December 31, 2019, substantially all of our trade accounts receivable were less than 30 days past their scheduled invoice date. Our expected credit losses are immaterial. Although we consider our credit procedures to be adequate to mitigate any significant credit losses, given the sharp decline in demand for crude oil and the drop in prices, the actual amount of current and future credit losses could vary significantly from estimated amounts.</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356"/>
              <w:spacing w:after="0"/>
              <w:rPr>
                <w:sz w:val="20"/>
                <w:szCs w:val="20"/>
                <w:color w:val="auto"/>
              </w:rPr>
            </w:pPr>
            <w:r>
              <w:rPr>
                <w:rFonts w:ascii="Arial" w:cs="Arial" w:eastAsia="Arial" w:hAnsi="Arial"/>
                <w:sz w:val="18"/>
                <w:szCs w:val="18"/>
                <w:color w:val="auto"/>
                <w:w w:val="93"/>
              </w:rPr>
              <w:t>1,796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3"/>
              </w:rPr>
              <w:t>3,381</w:t>
            </w:r>
          </w:p>
        </w:tc>
        <w:tc>
          <w:tcPr>
            <w:tcW w:w="0" w:type="dxa"/>
            <w:vAlign w:val="bottom"/>
          </w:tcPr>
          <w:p>
            <w:pPr>
              <w:spacing w:after="0"/>
              <w:rPr>
                <w:sz w:val="1"/>
                <w:szCs w:val="1"/>
                <w:color w:val="auto"/>
              </w:rPr>
            </w:pPr>
          </w:p>
        </w:tc>
      </w:tr>
      <w:tr>
        <w:trPr>
          <w:trHeight w:val="270"/>
        </w:trPr>
        <w:tc>
          <w:tcPr>
            <w:tcW w:w="8200" w:type="dxa"/>
            <w:vAlign w:val="bottom"/>
          </w:tcPr>
          <w:p>
            <w:pPr>
              <w:ind w:left="20"/>
              <w:spacing w:after="0"/>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1180" w:type="dxa"/>
            <w:vAlign w:val="bottom"/>
          </w:tcPr>
          <w:p>
            <w:pPr>
              <w:jc w:val="center"/>
              <w:ind w:left="356"/>
              <w:spacing w:after="0"/>
              <w:rPr>
                <w:sz w:val="20"/>
                <w:szCs w:val="20"/>
                <w:color w:val="auto"/>
              </w:rPr>
            </w:pPr>
            <w:r>
              <w:rPr>
                <w:rFonts w:ascii="Arial" w:cs="Arial" w:eastAsia="Arial" w:hAnsi="Arial"/>
                <w:sz w:val="18"/>
                <w:szCs w:val="18"/>
                <w:color w:val="auto"/>
                <w:w w:val="93"/>
              </w:rPr>
              <w:t>2,668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center"/>
              <w:ind w:left="494"/>
              <w:spacing w:after="0"/>
              <w:rPr>
                <w:sz w:val="20"/>
                <w:szCs w:val="20"/>
                <w:color w:val="auto"/>
              </w:rPr>
            </w:pPr>
            <w:r>
              <w:rPr>
                <w:rFonts w:ascii="Arial" w:cs="Arial" w:eastAsia="Arial" w:hAnsi="Arial"/>
                <w:sz w:val="18"/>
                <w:szCs w:val="18"/>
                <w:color w:val="auto"/>
                <w:w w:val="93"/>
              </w:rPr>
              <w:t>3,576</w:t>
            </w:r>
          </w:p>
        </w:tc>
        <w:tc>
          <w:tcPr>
            <w:tcW w:w="0" w:type="dxa"/>
            <w:vAlign w:val="bottom"/>
          </w:tcPr>
          <w:p>
            <w:pPr>
              <w:spacing w:after="0"/>
              <w:rPr>
                <w:sz w:val="1"/>
                <w:szCs w:val="1"/>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(2,264)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91"/>
              </w:rPr>
              <w:t>(3,343)</w:t>
            </w:r>
          </w:p>
        </w:tc>
        <w:tc>
          <w:tcPr>
            <w:tcW w:w="0" w:type="dxa"/>
            <w:vAlign w:val="bottom"/>
          </w:tcPr>
          <w:p>
            <w:pPr>
              <w:spacing w:after="0"/>
              <w:rPr>
                <w:sz w:val="1"/>
                <w:szCs w:val="1"/>
                <w:color w:val="auto"/>
              </w:rPr>
            </w:pPr>
          </w:p>
        </w:tc>
      </w:tr>
      <w:tr>
        <w:trPr>
          <w:trHeight w:val="263"/>
        </w:trPr>
        <w:tc>
          <w:tcPr>
            <w:tcW w:w="8200" w:type="dxa"/>
            <w:vAlign w:val="bottom"/>
          </w:tcPr>
          <w:p>
            <w:pPr>
              <w:ind w:left="120"/>
              <w:spacing w:after="0"/>
              <w:rPr>
                <w:sz w:val="20"/>
                <w:szCs w:val="20"/>
                <w:color w:val="auto"/>
              </w:rPr>
            </w:pPr>
            <w:r>
              <w:rPr>
                <w:rFonts w:ascii="Arial" w:cs="Arial" w:eastAsia="Arial" w:hAnsi="Arial"/>
                <w:sz w:val="18"/>
                <w:szCs w:val="18"/>
                <w:color w:val="auto"/>
              </w:rPr>
              <w:t>Trade accounts receivable and other receivables,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center"/>
              <w:ind w:left="356"/>
              <w:spacing w:after="0"/>
              <w:rPr>
                <w:sz w:val="20"/>
                <w:szCs w:val="20"/>
                <w:color w:val="auto"/>
              </w:rPr>
            </w:pPr>
            <w:r>
              <w:rPr>
                <w:rFonts w:ascii="Arial" w:cs="Arial" w:eastAsia="Arial" w:hAnsi="Arial"/>
                <w:sz w:val="18"/>
                <w:szCs w:val="18"/>
                <w:color w:val="auto"/>
                <w:w w:val="93"/>
              </w:rPr>
              <w:t>2,200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center"/>
              <w:ind w:left="494"/>
              <w:spacing w:after="0"/>
              <w:rPr>
                <w:sz w:val="20"/>
                <w:szCs w:val="20"/>
                <w:color w:val="auto"/>
              </w:rPr>
            </w:pPr>
            <w:r>
              <w:rPr>
                <w:rFonts w:ascii="Arial" w:cs="Arial" w:eastAsia="Arial" w:hAnsi="Arial"/>
                <w:sz w:val="18"/>
                <w:szCs w:val="18"/>
                <w:color w:val="auto"/>
                <w:w w:val="93"/>
              </w:rPr>
              <w:t>3,614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Class A Share</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Diluted net income/(loss) per Class A share is determined by dividing net income/(loss) attributable to PAGP by the diluted weighted average number of Class A shares outstanding during the period. For purposes of calculating diluted net income per Class A share, both the net income/(loss)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2019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2019 Annual Report on Form 10-K for information regarding PAGP LTIP awards.</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three months ended March 31, 2020 and 2019, the possible exchange of 63 million and 120 million AAP units, respectively, and 1 million and 2 million AAP Management Units, respectively, would not have had a dilutive effect on basic net income/(loss) per Class A share. For the three months ended March 31, 2020, our PAGP LTIP awards were antidilutive. For the three months ended March 31, 2019, our PAGP LTIP awards were dilutive; however, there were less than 0.1 million dilutive LTIP awards for the period, which did not change the presentation of weighted average Class A shares outstanding or net income/(loss) per Class A share.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the computation of basic and diluted net income/(loss) per Class A share (in millions, except per share data):</w:t>
      </w:r>
    </w:p>
    <w:p>
      <w:pPr>
        <w:spacing w:after="0" w:line="298"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3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600" w:type="dxa"/>
            <w:vAlign w:val="bottom"/>
          </w:tcPr>
          <w:p>
            <w:pPr>
              <w:ind w:left="80"/>
              <w:spacing w:after="0"/>
              <w:rPr>
                <w:sz w:val="20"/>
                <w:szCs w:val="20"/>
                <w:color w:val="auto"/>
              </w:rPr>
            </w:pPr>
            <w:r>
              <w:rPr>
                <w:rFonts w:ascii="Arial" w:cs="Arial" w:eastAsia="Arial" w:hAnsi="Arial"/>
                <w:sz w:val="18"/>
                <w:szCs w:val="18"/>
                <w:color w:val="auto"/>
              </w:rPr>
              <w:t>Net income/(loss) attributable to PAGP</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147</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and diluted weighted average Class A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159</w:t>
            </w:r>
          </w:p>
        </w:tc>
      </w:tr>
      <w:tr>
        <w:trPr>
          <w:trHeight w:val="256"/>
        </w:trPr>
        <w:tc>
          <w:tcPr>
            <w:tcW w:w="8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95"/>
        </w:trPr>
        <w:tc>
          <w:tcPr>
            <w:tcW w:w="8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and diluted net income/(loss) per Class A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0.92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ectPr>
          <w:pgSz w:w="11900" w:h="16838" w:orient="portrait"/>
          <w:cols w:equalWidth="0" w:num="1">
            <w:col w:w="11240"/>
          </w:cols>
          <w:pgMar w:left="320" w:top="125" w:right="339" w:bottom="1440" w:gutter="0" w:footer="0" w:header="0"/>
        </w:sect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4"/>
                <w:szCs w:val="14"/>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6"/>
        </w:trPr>
        <w:tc>
          <w:tcPr>
            <w:tcW w:w="292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7,168</w:t>
            </w:r>
          </w:p>
        </w:tc>
        <w:tc>
          <w:tcPr>
            <w:tcW w:w="12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NGL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3"/>
                <w:szCs w:val="23"/>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100"/>
              <w:spacing w:after="0"/>
              <w:rPr>
                <w:sz w:val="20"/>
                <w:szCs w:val="20"/>
                <w:color w:val="auto"/>
              </w:rPr>
            </w:pPr>
            <w:r>
              <w:rPr>
                <w:rFonts w:ascii="Arial" w:cs="Arial" w:eastAsia="Arial" w:hAnsi="Arial"/>
                <w:sz w:val="18"/>
                <w:szCs w:val="18"/>
                <w:color w:val="auto"/>
              </w:rPr>
              <w:t>Inventory subtotal</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Linefill and base gas</w:t>
            </w: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2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14,251</w:t>
            </w:r>
          </w:p>
        </w:tc>
        <w:tc>
          <w:tcPr>
            <w:tcW w:w="12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3"/>
                <w:szCs w:val="23"/>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804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NGL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3"/>
                <w:szCs w:val="23"/>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Natural gas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25,576</w:t>
            </w:r>
          </w:p>
        </w:tc>
        <w:tc>
          <w:tcPr>
            <w:tcW w:w="12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Pr>
          <w:p>
            <w:pPr>
              <w:spacing w:after="0"/>
              <w:rPr>
                <w:sz w:val="23"/>
                <w:szCs w:val="23"/>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100"/>
              <w:spacing w:after="0"/>
              <w:rPr>
                <w:sz w:val="20"/>
                <w:szCs w:val="20"/>
                <w:color w:val="auto"/>
              </w:rPr>
            </w:pPr>
            <w:r>
              <w:rPr>
                <w:rFonts w:ascii="Arial" w:cs="Arial" w:eastAsia="Arial" w:hAnsi="Arial"/>
                <w:sz w:val="18"/>
                <w:szCs w:val="18"/>
                <w:color w:val="auto"/>
              </w:rPr>
              <w:t>Linefill and base gas subtotal</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2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3"/>
                <w:szCs w:val="23"/>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NGL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3"/>
                <w:szCs w:val="23"/>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100"/>
              <w:spacing w:after="0"/>
              <w:rPr>
                <w:sz w:val="20"/>
                <w:szCs w:val="20"/>
                <w:color w:val="auto"/>
              </w:rPr>
            </w:pPr>
            <w:r>
              <w:rPr>
                <w:rFonts w:ascii="Arial" w:cs="Arial" w:eastAsia="Arial" w:hAnsi="Arial"/>
                <w:sz w:val="18"/>
                <w:szCs w:val="18"/>
                <w:color w:val="auto"/>
              </w:rPr>
              <w:t>Long-term inventory subtotal</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6"/>
        </w:trPr>
        <w:tc>
          <w:tcPr>
            <w:tcW w:w="2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-3119755</wp:posOffset>
            </wp:positionV>
            <wp:extent cx="7132320" cy="34029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02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Volumes</w:t>
            </w:r>
          </w:p>
        </w:tc>
        <w:tc>
          <w:tcPr>
            <w:tcW w:w="100" w:type="dxa"/>
            <w:vAlign w:val="bottom"/>
            <w:vMerge w:val="restart"/>
          </w:tcPr>
          <w:p>
            <w:pPr>
              <w:spacing w:after="0"/>
              <w:rPr>
                <w:sz w:val="14"/>
                <w:szCs w:val="14"/>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4"/>
                <w:szCs w:val="14"/>
                <w:color w:val="auto"/>
              </w:rPr>
            </w:pPr>
          </w:p>
        </w:tc>
        <w:tc>
          <w:tcPr>
            <w:tcW w:w="74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8"/>
        </w:trPr>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Measure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494"/>
        </w:trPr>
        <w:tc>
          <w:tcPr>
            <w:tcW w:w="980" w:type="dxa"/>
            <w:vAlign w:val="bottom"/>
          </w:tcPr>
          <w:p>
            <w:pPr>
              <w:jc w:val="right"/>
              <w:ind w:right="72"/>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70"/>
        </w:trPr>
        <w:tc>
          <w:tcPr>
            <w:tcW w:w="980" w:type="dxa"/>
            <w:vAlign w:val="bottom"/>
          </w:tcPr>
          <w:p>
            <w:pPr>
              <w:jc w:val="right"/>
              <w:ind w:right="72"/>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23"/>
                <w:szCs w:val="23"/>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3"/>
                <w:szCs w:val="23"/>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70"/>
        </w:trPr>
        <w:tc>
          <w:tcPr>
            <w:tcW w:w="108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0"/>
        </w:trPr>
        <w:tc>
          <w:tcPr>
            <w:tcW w:w="980" w:type="dxa"/>
            <w:vAlign w:val="bottom"/>
          </w:tcPr>
          <w:p>
            <w:pPr>
              <w:jc w:val="right"/>
              <w:ind w:right="72"/>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4"/>
                <w:szCs w:val="24"/>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70"/>
        </w:trPr>
        <w:tc>
          <w:tcPr>
            <w:tcW w:w="980" w:type="dxa"/>
            <w:vAlign w:val="bottom"/>
          </w:tcPr>
          <w:p>
            <w:pPr>
              <w:jc w:val="right"/>
              <w:ind w:right="72"/>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3"/>
                <w:szCs w:val="23"/>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3"/>
                <w:szCs w:val="23"/>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70"/>
        </w:trPr>
        <w:tc>
          <w:tcPr>
            <w:tcW w:w="980" w:type="dxa"/>
            <w:vAlign w:val="bottom"/>
          </w:tcPr>
          <w:p>
            <w:pPr>
              <w:jc w:val="right"/>
              <w:ind w:right="72"/>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3"/>
                <w:szCs w:val="23"/>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3"/>
                <w:szCs w:val="23"/>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0"/>
        </w:trPr>
        <w:tc>
          <w:tcPr>
            <w:tcW w:w="980" w:type="dxa"/>
            <w:vAlign w:val="bottom"/>
          </w:tcPr>
          <w:p>
            <w:pPr>
              <w:jc w:val="right"/>
              <w:ind w:right="72"/>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4"/>
                <w:szCs w:val="24"/>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152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70"/>
        </w:trPr>
        <w:tc>
          <w:tcPr>
            <w:tcW w:w="980" w:type="dxa"/>
            <w:vAlign w:val="bottom"/>
          </w:tcPr>
          <w:p>
            <w:pPr>
              <w:jc w:val="right"/>
              <w:ind w:right="72"/>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3"/>
                <w:szCs w:val="23"/>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3"/>
                <w:szCs w:val="23"/>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980" w:space="220"/>
            <w:col w:w="4040"/>
          </w:cols>
          <w:pgMar w:left="320" w:top="125" w:right="339" w:bottom="1440" w:gutter="0" w:footer="0" w:header="0"/>
          <w:type w:val="continuous"/>
        </w:sectPr>
      </w:pPr>
    </w:p>
    <w:p>
      <w:pPr>
        <w:spacing w:after="0" w:line="339" w:lineRule="exact"/>
        <w:rPr>
          <w:sz w:val="20"/>
          <w:szCs w:val="20"/>
          <w:color w:val="auto"/>
        </w:rPr>
      </w:pPr>
    </w:p>
    <w:p>
      <w:pPr>
        <w:ind w:left="660" w:right="360" w:hanging="652"/>
        <w:spacing w:after="0" w:line="227"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$232 million during the three months ended March 31, 2020 related to the write-down of our crude oil and NGL inventory, of which $40 million is associated with our long-term inventory, due to declines in prices during the first quarter of 2020. A portion of this inventory valuation adjustment was offset by the recognition of gains on derivative instruments being utilized to hedge future sales of our crude oil and NGL inventory. Such gains were recorded to “Supply and Logistics segment revenues” in our accompanying Consolidated Statement of Operations. See Note 10 for discussion of our derivative and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the first quarter of 2020, we recorded impairment losses related to goodwill. Our market capitalization declined significantly during the first quarter driven by current macroeconomic and geopolitical conditions including the collapse of oil prices driven by both the decrease in demand caused by the COVID-19 pandemic and excess supply as well as changing market conditions and expected lower crude oil production in certain regions, resulting in expected decreases in future cash flows for certain of our assets. In addition, the uncertainty related to oil demand continues to have a significant impact on the investment and operating plans of our primary customers. Based on these events, we concluded that a triggering event occurred which required us to perform a quantitative impairment test as of March 31, 2020, utilizing a discounted cash flow approach. We applied a discount rate of approximately 14% in the determination of the fair value of each of our reporting units, which represents our estimate of the cost of capital of a theoretical market participant. The fair values of the reporting units are Level 3 measurements in the fair value hierarchy and were based on various inputs, as discussed below. The discounted cash flows for each reporting unit were based on six years of projected cash flows and terminal values that we believe would be applied by a theoretical market participant in similar market transactions. The discounted cash flows for the respective reporting units utilized various other assumptions, including, but not limited to (i) volumes (based on historical information and estimates of future drilling and completion activity, as well as expectations of future demand recovery), (ii) tariff and storage rates, (iii) future commodity prices (based on relevant indices and applicable quality and location differentials), and (iv) estimated fixed and variable costs. We used a range of cash flows for the discounted cash flow calculations, based on differing potential market scenarios but for each of the reporting units, the ultimate outcome of the impairment test was unchanged by the various points within the range of cash flows. Based upon the results of the impairment test, we concluded that the carrying value of each of our reporting units exceeded their respective fair values, resulting in a goodwill impairment charge for the entire goodwill balance for each reporting unit.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9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2,540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Goodwill, gross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2,511</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(2,515)</w:t>
            </w:r>
          </w:p>
        </w:tc>
      </w:tr>
      <w:tr>
        <w:trPr>
          <w:trHeight w:val="243"/>
        </w:trPr>
        <w:tc>
          <w:tcPr>
            <w:tcW w:w="50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(2,511)</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Ownership Interest</w:t>
            </w: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4"/>
              </w:rPr>
              <w:t>Investment Balance</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9"/>
                <w:szCs w:val="9"/>
                <w:b w:val="1"/>
                <w:bCs w:val="1"/>
                <w:color w:val="auto"/>
              </w:rPr>
              <w:t>(1)</w:t>
            </w:r>
          </w:p>
        </w:tc>
        <w:tc>
          <w:tcPr>
            <w:tcW w:w="120" w:type="dxa"/>
            <w:vAlign w:val="bottom"/>
            <w:vMerge w:val="restart"/>
          </w:tcPr>
          <w:p>
            <w:pPr>
              <w:spacing w:after="0"/>
              <w:rPr>
                <w:sz w:val="13"/>
                <w:szCs w:val="13"/>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00" w:type="dxa"/>
            <w:vAlign w:val="bottom"/>
          </w:tcPr>
          <w:p>
            <w:pPr>
              <w:spacing w:after="0"/>
              <w:rPr>
                <w:sz w:val="13"/>
                <w:szCs w:val="13"/>
                <w:color w:val="auto"/>
              </w:rPr>
            </w:pP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at March 31,</w:t>
            </w:r>
          </w:p>
        </w:tc>
        <w:tc>
          <w:tcPr>
            <w:tcW w:w="180" w:type="dxa"/>
            <w:vAlign w:val="bottom"/>
          </w:tcPr>
          <w:p>
            <w:pPr>
              <w:spacing w:after="0"/>
              <w:rPr>
                <w:sz w:val="13"/>
                <w:szCs w:val="13"/>
                <w:color w:val="auto"/>
              </w:rPr>
            </w:pPr>
          </w:p>
        </w:tc>
        <w:tc>
          <w:tcPr>
            <w:tcW w:w="11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BridgeTex Pipeline Company,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0"/>
        </w:trPr>
        <w:tc>
          <w:tcPr>
            <w:tcW w:w="4700" w:type="dxa"/>
            <w:vAlign w:val="bottom"/>
            <w:gridSpan w:val="2"/>
          </w:tcPr>
          <w:p>
            <w:pPr>
              <w:spacing w:after="0"/>
              <w:rPr>
                <w:sz w:val="20"/>
                <w:szCs w:val="20"/>
                <w:color w:val="auto"/>
              </w:rPr>
            </w:pPr>
            <w:r>
              <w:rPr>
                <w:rFonts w:ascii="Arial" w:cs="Arial" w:eastAsia="Arial" w:hAnsi="Arial"/>
                <w:sz w:val="18"/>
                <w:szCs w:val="18"/>
                <w:color w:val="auto"/>
              </w:rPr>
              <w:t>Cactus II Pipeline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Capline Pipeline Company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(2)</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0"/>
        </w:trPr>
        <w:tc>
          <w:tcPr>
            <w:tcW w:w="4700" w:type="dxa"/>
            <w:vAlign w:val="bottom"/>
            <w:gridSpan w:val="2"/>
          </w:tcPr>
          <w:p>
            <w:pPr>
              <w:spacing w:after="0"/>
              <w:rPr>
                <w:sz w:val="20"/>
                <w:szCs w:val="20"/>
                <w:color w:val="auto"/>
              </w:rPr>
            </w:pPr>
            <w:r>
              <w:rPr>
                <w:rFonts w:ascii="Arial" w:cs="Arial" w:eastAsia="Arial" w:hAnsi="Arial"/>
                <w:sz w:val="18"/>
                <w:szCs w:val="18"/>
                <w:color w:val="auto"/>
              </w:rPr>
              <w:t>Diamond Pipeline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Pipeline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76"/>
        </w:trPr>
        <w:tc>
          <w:tcPr>
            <w:tcW w:w="4700" w:type="dxa"/>
            <w:vAlign w:val="bottom"/>
            <w:gridSpan w:val="2"/>
          </w:tcPr>
          <w:p>
            <w:pPr>
              <w:spacing w:after="0" w:line="176" w:lineRule="exact"/>
              <w:rPr>
                <w:sz w:val="20"/>
                <w:szCs w:val="20"/>
                <w:color w:val="auto"/>
              </w:rPr>
            </w:pPr>
            <w:r>
              <w:rPr>
                <w:rFonts w:ascii="Arial" w:cs="Arial" w:eastAsia="Arial" w:hAnsi="Arial"/>
                <w:sz w:val="18"/>
                <w:szCs w:val="18"/>
                <w:color w:val="auto"/>
              </w:rPr>
              <w:t>Eagle Ford Terminals Corpus Christi LLC (“Eagle</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2"/>
              </w:rPr>
              <w:t>Crude Oil Terminal and Dock</w:t>
            </w:r>
          </w:p>
        </w:tc>
        <w:tc>
          <w:tcPr>
            <w:tcW w:w="146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ind w:right="7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4700" w:type="dxa"/>
            <w:vAlign w:val="bottom"/>
            <w:gridSpan w:val="2"/>
          </w:tcPr>
          <w:p>
            <w:pPr>
              <w:spacing w:after="0"/>
              <w:rPr>
                <w:sz w:val="20"/>
                <w:szCs w:val="20"/>
                <w:color w:val="auto"/>
              </w:rPr>
            </w:pPr>
            <w:r>
              <w:rPr>
                <w:rFonts w:ascii="Arial" w:cs="Arial" w:eastAsia="Arial" w:hAnsi="Arial"/>
                <w:sz w:val="18"/>
                <w:szCs w:val="18"/>
                <w:color w:val="auto"/>
              </w:rPr>
              <w:t>Ford Terminals”)</w:t>
            </w:r>
          </w:p>
        </w:tc>
        <w:tc>
          <w:tcPr>
            <w:tcW w:w="2400" w:type="dxa"/>
            <w:vAlign w:val="bottom"/>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 Oak Pipeline LLC (“Red Oak”)</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xml:space="preserve">Crude Oil Pipeline </w:t>
            </w:r>
            <w:r>
              <w:rPr>
                <w:rFonts w:ascii="Arial" w:cs="Arial" w:eastAsia="Arial" w:hAnsi="Arial"/>
                <w:sz w:val="23"/>
                <w:szCs w:val="23"/>
                <w:color w:val="auto"/>
                <w:w w:val="88"/>
                <w:vertAlign w:val="superscript"/>
              </w:rPr>
              <w:t>(3) (4)</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4700" w:type="dxa"/>
            <w:vAlign w:val="bottom"/>
            <w:gridSpan w:val="2"/>
          </w:tcPr>
          <w:p>
            <w:pPr>
              <w:spacing w:after="0"/>
              <w:rPr>
                <w:sz w:val="20"/>
                <w:szCs w:val="20"/>
                <w:color w:val="auto"/>
              </w:rPr>
            </w:pPr>
            <w:r>
              <w:rPr>
                <w:rFonts w:ascii="Arial" w:cs="Arial" w:eastAsia="Arial" w:hAnsi="Arial"/>
                <w:sz w:val="18"/>
                <w:szCs w:val="18"/>
                <w:color w:val="auto"/>
              </w:rPr>
              <w:t>Saddlehorn Pipeline Company, LLC (“Saddlehorn”)</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STACK Pipeline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0"/>
        </w:trPr>
        <w:tc>
          <w:tcPr>
            <w:tcW w:w="4700" w:type="dxa"/>
            <w:vAlign w:val="bottom"/>
            <w:gridSpan w:val="2"/>
          </w:tcPr>
          <w:p>
            <w:pPr>
              <w:spacing w:after="0"/>
              <w:rPr>
                <w:sz w:val="20"/>
                <w:szCs w:val="20"/>
                <w:color w:val="auto"/>
              </w:rPr>
            </w:pPr>
            <w:r>
              <w:rPr>
                <w:rFonts w:ascii="Arial" w:cs="Arial" w:eastAsia="Arial" w:hAnsi="Arial"/>
                <w:sz w:val="18"/>
                <w:szCs w:val="18"/>
                <w:color w:val="auto"/>
              </w:rPr>
              <w:t>White Cliffs Pipeline,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Wink to Webster Pipeline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(3)</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investments</w:t>
            </w: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investments in unconsolidated entities</w:t>
            </w:r>
          </w:p>
        </w:tc>
        <w:tc>
          <w:tcPr>
            <w:tcW w:w="2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3,683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96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Asset is currently under construction and has not yet been placed in service.</w:t>
      </w:r>
    </w:p>
    <w:p>
      <w:pPr>
        <w:spacing w:after="0" w:line="63" w:lineRule="exact"/>
        <w:rPr>
          <w:sz w:val="20"/>
          <w:szCs w:val="20"/>
          <w:color w:val="auto"/>
        </w:rPr>
      </w:pPr>
    </w:p>
    <w:p>
      <w:pPr>
        <w:ind w:left="20" w:right="340" w:hanging="11"/>
        <w:spacing w:after="0" w:line="342" w:lineRule="auto"/>
        <w:rPr>
          <w:sz w:val="20"/>
          <w:szCs w:val="20"/>
          <w:color w:val="auto"/>
        </w:rPr>
      </w:pPr>
      <w:r>
        <w:rPr>
          <w:rFonts w:ascii="Arial" w:cs="Arial" w:eastAsia="Arial" w:hAnsi="Arial"/>
          <w:sz w:val="16"/>
          <w:szCs w:val="16"/>
          <w:color w:val="auto"/>
        </w:rPr>
        <w:t>In March 2020, the partners announced they were deferring the Red Oak pipeline project and suspending actions that would require additional capital spending on the project, and that they would re-evaluate demand for the project in light of recent market developments.</w:t>
      </w:r>
    </w:p>
    <w:p>
      <w:pPr>
        <w:spacing w:after="0" w:line="151"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252" w:lineRule="exact"/>
        <w:rPr>
          <w:sz w:val="20"/>
          <w:szCs w:val="20"/>
          <w:color w:val="auto"/>
        </w:rPr>
      </w:pPr>
    </w:p>
    <w:p>
      <w:pPr>
        <w:jc w:val="both"/>
        <w:ind w:right="520" w:firstLine="648"/>
        <w:spacing w:after="0" w:line="311" w:lineRule="auto"/>
        <w:rPr>
          <w:sz w:val="20"/>
          <w:szCs w:val="20"/>
          <w:color w:val="auto"/>
        </w:rPr>
      </w:pPr>
      <w:r>
        <w:rPr>
          <w:rFonts w:ascii="Arial" w:cs="Arial" w:eastAsia="Arial" w:hAnsi="Arial"/>
          <w:sz w:val="16"/>
          <w:szCs w:val="16"/>
          <w:color w:val="auto"/>
        </w:rPr>
        <w:t>During the three months ended March 31, 2020, we recognized a loss of $43 million related to the write-down of certain of our investments included in “Other investments” in the table above due to an other-than-temporary impairment related to a decline in market conditions. This loss is reflected in “Gain on/(impairment of) investments in unconsolidated entities, net” on our Condensed Consolidated Statement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i w:val="1"/>
          <w:iCs w:val="1"/>
          <w:color w:val="auto"/>
        </w:rPr>
        <w:t xml:space="preserve">Saddlehorn. </w:t>
      </w:r>
      <w:r>
        <w:rPr>
          <w:rFonts w:ascii="Arial" w:cs="Arial" w:eastAsia="Arial" w:hAnsi="Arial"/>
          <w:sz w:val="18"/>
          <w:szCs w:val="18"/>
          <w:color w:val="auto"/>
        </w:rPr>
        <w:t>In February 2020, we sold a 10% ownership interest in Saddlehorn for proceeds of approximately $78 million, including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have retained a 30% interest. We recorded a gain of approximately $21 million related to this sale, which is included in “Gain on/(impairment of) investments in unconsolidated entities” on our Condensed Consolidated Statement of Operations. We continue to account for our remaining interest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440" w:type="dxa"/>
            <w:vAlign w:val="bottom"/>
          </w:tcPr>
          <w:p>
            <w:pPr>
              <w:ind w:left="20"/>
              <w:spacing w:after="0"/>
              <w:rPr>
                <w:sz w:val="20"/>
                <w:szCs w:val="20"/>
                <w:color w:val="auto"/>
              </w:rPr>
            </w:pPr>
            <w:r>
              <w:rPr>
                <w:rFonts w:ascii="Arial" w:cs="Arial" w:eastAsia="Arial" w:hAnsi="Arial"/>
                <w:sz w:val="18"/>
                <w:szCs w:val="18"/>
                <w:color w:val="auto"/>
              </w:rPr>
              <w:t xml:space="preserve">PAA commercial paper notes, bearing a weighted-average interest rate of 2.2% </w:t>
            </w:r>
            <w:r>
              <w:rPr>
                <w:rFonts w:ascii="Arial" w:cs="Arial" w:eastAsia="Arial" w:hAnsi="Arial"/>
                <w:sz w:val="23"/>
                <w:szCs w:val="23"/>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PAA senior secured hedged inventory facility, bearing a weighted-average interest rate of 1.8% and 2.7%,</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jc w:val="center"/>
              <w:ind w:right="6390"/>
              <w:spacing w:after="0"/>
              <w:rPr>
                <w:sz w:val="20"/>
                <w:szCs w:val="20"/>
                <w:color w:val="auto"/>
              </w:rPr>
            </w:pPr>
            <w:r>
              <w:rPr>
                <w:rFonts w:ascii="Arial" w:cs="Arial" w:eastAsia="Arial" w:hAnsi="Arial"/>
                <w:sz w:val="18"/>
                <w:szCs w:val="18"/>
                <w:color w:val="auto"/>
                <w:w w:val="90"/>
              </w:rPr>
              <w:t>Total short-term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57"/>
        </w:trPr>
        <w:tc>
          <w:tcPr>
            <w:tcW w:w="8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Arial" w:cs="Arial" w:eastAsia="Arial" w:hAnsi="Arial"/>
                <w:sz w:val="18"/>
                <w:szCs w:val="18"/>
                <w:color w:val="auto"/>
              </w:rPr>
              <w:t xml:space="preserve">PAA senior notes, net of unamortized discounts and debt issuance costs of $59 and $61, respectively </w:t>
            </w:r>
            <w:r>
              <w:rPr>
                <w:rFonts w:ascii="Arial" w:cs="Arial" w:eastAsia="Arial" w:hAnsi="Arial"/>
                <w:sz w:val="23"/>
                <w:szCs w:val="23"/>
                <w:color w:val="auto"/>
                <w:vertAlign w:val="superscript"/>
              </w:rPr>
              <w:t>(2)</w:t>
            </w:r>
          </w:p>
        </w:tc>
        <w:tc>
          <w:tcPr>
            <w:tcW w:w="240" w:type="dxa"/>
            <w:vAlign w:val="bottom"/>
          </w:tcPr>
          <w:p>
            <w:pPr>
              <w:spacing w:after="0"/>
              <w:rPr>
                <w:sz w:val="23"/>
                <w:szCs w:val="23"/>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8,941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PAA senior secured hedged inventory facility, bearing a weighted-average interest rate of 1.8%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440" w:type="dxa"/>
            <w:vAlign w:val="bottom"/>
          </w:tcPr>
          <w:p>
            <w:pPr>
              <w:ind w:left="20"/>
              <w:spacing w:after="0" w:line="176" w:lineRule="exact"/>
              <w:rPr>
                <w:sz w:val="20"/>
                <w:szCs w:val="20"/>
                <w:color w:val="auto"/>
              </w:rPr>
            </w:pPr>
            <w:r>
              <w:rPr>
                <w:rFonts w:ascii="Arial" w:cs="Arial" w:eastAsia="Arial" w:hAnsi="Arial"/>
                <w:sz w:val="18"/>
                <w:szCs w:val="18"/>
                <w:color w:val="auto"/>
                <w:w w:val="90"/>
              </w:rPr>
              <w:t>PAA GO Zone term loans, net of debt issuance costs of $1 and $1, respectively, bearing a weighted-average interest</w:t>
            </w:r>
          </w:p>
        </w:tc>
        <w:tc>
          <w:tcPr>
            <w:tcW w:w="24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ind w:right="7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rate of 2.5% and 2.6%, respectively</w:t>
            </w: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8440" w:type="dxa"/>
            <w:vAlign w:val="bottom"/>
          </w:tcPr>
          <w:p>
            <w:pPr>
              <w:jc w:val="center"/>
              <w:ind w:right="6430"/>
              <w:spacing w:after="0"/>
              <w:rPr>
                <w:sz w:val="20"/>
                <w:szCs w:val="20"/>
                <w:color w:val="auto"/>
              </w:rPr>
            </w:pPr>
            <w:r>
              <w:rPr>
                <w:rFonts w:ascii="Arial" w:cs="Arial" w:eastAsia="Arial" w:hAnsi="Arial"/>
                <w:sz w:val="18"/>
                <w:szCs w:val="18"/>
                <w:color w:val="auto"/>
                <w:w w:val="91"/>
              </w:rPr>
              <w:t>Total long-term debt</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9,418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40" w:type="dxa"/>
            <w:vAlign w:val="bottom"/>
            <w:tcBorders>
              <w:bottom w:val="single" w:sz="8" w:color="CCEEFF"/>
            </w:tcBorders>
            <w:shd w:val="clear" w:color="auto" w:fill="CCEEFF"/>
          </w:tcPr>
          <w:p>
            <w:pPr>
              <w:jc w:val="center"/>
              <w:ind w:right="6330"/>
              <w:spacing w:after="0"/>
              <w:rPr>
                <w:sz w:val="20"/>
                <w:szCs w:val="20"/>
                <w:color w:val="auto"/>
              </w:rPr>
            </w:pPr>
            <w:r>
              <w:rPr>
                <w:rFonts w:ascii="Arial" w:cs="Arial" w:eastAsia="Arial" w:hAnsi="Arial"/>
                <w:sz w:val="18"/>
                <w:szCs w:val="18"/>
                <w:color w:val="auto"/>
                <w:w w:val="86"/>
              </w:rPr>
              <w:t xml:space="preserve">Total debt </w:t>
            </w:r>
            <w:r>
              <w:rPr>
                <w:rFonts w:ascii="Arial" w:cs="Arial" w:eastAsia="Arial" w:hAnsi="Arial"/>
                <w:sz w:val="23"/>
                <w:szCs w:val="23"/>
                <w:color w:val="auto"/>
                <w:w w:val="86"/>
                <w:vertAlign w:val="superscript"/>
              </w:rPr>
              <w:t>(3)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9,781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280" w:hanging="11"/>
        <w:spacing w:after="0" w:line="263" w:lineRule="auto"/>
        <w:rPr>
          <w:sz w:val="20"/>
          <w:szCs w:val="20"/>
          <w:color w:val="auto"/>
        </w:rPr>
      </w:pPr>
      <w:r>
        <w:rPr>
          <w:rFonts w:ascii="Arial" w:cs="Arial" w:eastAsia="Arial" w:hAnsi="Arial"/>
          <w:sz w:val="18"/>
          <w:szCs w:val="18"/>
          <w:color w:val="auto"/>
        </w:rPr>
        <w:t>We classified these PAA commercial paper notes and credit facility borrowings as short-term as of March 31, 2020 and December 31, 2019, as these notes and borrowings were primarily designated as working capital borrowings, were required to be repaid within one year and were primarily for hedged NGL and crude oil inventory and NYMEX and ICE margin deposits.</w:t>
      </w:r>
    </w:p>
    <w:p>
      <w:pPr>
        <w:spacing w:after="0" w:line="76" w:lineRule="exact"/>
        <w:rPr>
          <w:sz w:val="20"/>
          <w:szCs w:val="20"/>
          <w:color w:val="auto"/>
        </w:rPr>
      </w:pPr>
    </w:p>
    <w:p>
      <w:pPr>
        <w:ind w:right="300" w:hanging="11"/>
        <w:spacing w:after="0" w:line="308" w:lineRule="auto"/>
        <w:rPr>
          <w:sz w:val="20"/>
          <w:szCs w:val="20"/>
          <w:color w:val="auto"/>
        </w:rPr>
      </w:pPr>
      <w:r>
        <w:rPr>
          <w:rFonts w:ascii="Arial" w:cs="Arial" w:eastAsia="Arial" w:hAnsi="Arial"/>
          <w:sz w:val="17"/>
          <w:szCs w:val="17"/>
          <w:color w:val="auto"/>
        </w:rPr>
        <w:t>As of March 31, 2020, we classified PAA’s $600 million, 5.00% senior notes due February 2021 and a portion of PAA’s senior secured hedged inventory facility borrowings as long-term based on PAA’s ability and intent to refinance such amounts on a long-term basis.</w:t>
      </w:r>
    </w:p>
    <w:p>
      <w:pPr>
        <w:spacing w:after="0" w:line="173" w:lineRule="exact"/>
        <w:rPr>
          <w:sz w:val="20"/>
          <w:szCs w:val="20"/>
          <w:color w:val="auto"/>
        </w:rPr>
      </w:pPr>
    </w:p>
    <w:p>
      <w:pPr>
        <w:ind w:right="60" w:hanging="11"/>
        <w:spacing w:after="0" w:line="272" w:lineRule="auto"/>
        <w:rPr>
          <w:sz w:val="20"/>
          <w:szCs w:val="20"/>
          <w:color w:val="auto"/>
        </w:rPr>
      </w:pPr>
      <w:r>
        <w:rPr>
          <w:rFonts w:ascii="Arial" w:cs="Arial" w:eastAsia="Arial" w:hAnsi="Arial"/>
          <w:sz w:val="17"/>
          <w:szCs w:val="17"/>
          <w:color w:val="auto"/>
        </w:rPr>
        <w:t>PAA’s fixed-rate senior notes had a face value of approximately $9.0 billion at both March 31, 2020 and December 31, 2019. We estimated the aggregate fair value of these notes as of March 31, 2020 and December 31, 2019 to be approximately $7.2 billion and $9.3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credit facilities, commercial paper program and GO Zone term loans approximates fair value as interest rates reflect current market rates. The fair value estimates for PAA’s senior notes, credit facilities, commercial paper program and GO Zone term loans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40"/>
          </w:cols>
          <w:pgMar w:left="320" w:top="125" w:right="3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three months ended March 31, 2020 and 2019 were approximately $9.6 billion and $0.5 billion, respectively. Total repayments under the PAA credit facilities and commercial paper program were approximately $9.6 billion and $0.5 billion for the three months ended March 31, 2020 and 2019, respectively. The variance in total gross borrowings and repayments is impacted by various business and financial factors including, but not limited to, the timing, average term and method of general partnership borrowing activities.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March 31, 2020 and December 31, 2019, we had outstanding letters of credit of $106 million and $157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3"/>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6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182,138,592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65,785,702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549,538,139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559,768</w:t>
            </w:r>
          </w:p>
        </w:tc>
        <w:tc>
          <w:tcPr>
            <w:tcW w:w="12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2,101,487</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(2,101,487)</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40"/>
              <w:spacing w:after="0"/>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(1,206,599)</w:t>
            </w:r>
          </w:p>
        </w:tc>
        <w:tc>
          <w:tcPr>
            <w:tcW w:w="120" w:type="dxa"/>
            <w:vAlign w:val="bottom"/>
          </w:tcPr>
          <w:p>
            <w:pPr>
              <w:spacing w:after="0"/>
              <w:rPr>
                <w:sz w:val="23"/>
                <w:szCs w:val="23"/>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1,206,599</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24,431</w:t>
            </w:r>
          </w:p>
        </w:tc>
        <w:tc>
          <w:tcPr>
            <w:tcW w:w="0" w:type="dxa"/>
            <w:vAlign w:val="bottom"/>
          </w:tcPr>
          <w:p>
            <w:pPr>
              <w:spacing w:after="0"/>
              <w:rPr>
                <w:sz w:val="1"/>
                <w:szCs w:val="1"/>
                <w:color w:val="auto"/>
              </w:rPr>
            </w:pPr>
          </w:p>
        </w:tc>
      </w:tr>
      <w:tr>
        <w:trPr>
          <w:trHeight w:val="263"/>
        </w:trPr>
        <w:tc>
          <w:tcPr>
            <w:tcW w:w="674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14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184,240,079</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63,037,384</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550,769,169</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674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3"/>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6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4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159,485,588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119,604,338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516,938,280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(91,672)</w:t>
            </w:r>
          </w:p>
        </w:tc>
        <w:tc>
          <w:tcPr>
            <w:tcW w:w="12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91,672</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226,814</w:t>
            </w:r>
          </w:p>
        </w:tc>
        <w:tc>
          <w:tcPr>
            <w:tcW w:w="0" w:type="dxa"/>
            <w:vAlign w:val="bottom"/>
          </w:tcPr>
          <w:p>
            <w:pPr>
              <w:spacing w:after="0"/>
              <w:rPr>
                <w:sz w:val="1"/>
                <w:szCs w:val="1"/>
                <w:color w:val="auto"/>
              </w:rPr>
            </w:pPr>
          </w:p>
        </w:tc>
      </w:tr>
      <w:tr>
        <w:trPr>
          <w:trHeight w:val="263"/>
        </w:trPr>
        <w:tc>
          <w:tcPr>
            <w:tcW w:w="6740" w:type="dxa"/>
            <w:vAlign w:val="bottom"/>
          </w:tcPr>
          <w:p>
            <w:pPr>
              <w:ind w:left="20"/>
              <w:spacing w:after="0"/>
              <w:rPr>
                <w:sz w:val="20"/>
                <w:szCs w:val="20"/>
                <w:color w:val="auto"/>
              </w:rPr>
            </w:pPr>
            <w:r>
              <w:rPr>
                <w:rFonts w:ascii="Arial" w:cs="Arial" w:eastAsia="Arial" w:hAnsi="Arial"/>
                <w:sz w:val="18"/>
                <w:szCs w:val="18"/>
                <w:color w:val="auto"/>
              </w:rPr>
              <w:t>Outstanding at March 31, 2019</w:t>
            </w:r>
          </w:p>
        </w:tc>
        <w:tc>
          <w:tcPr>
            <w:tcW w:w="14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159,485,588</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119,512,666</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517,256,766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60" w:right="320" w:hanging="652"/>
        <w:spacing w:after="0" w:line="227"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See Note 12 to our Consolidated Financial Statements included in Part IV of our 2019 Annual Report on Form 10-K for information regarding conversions of AAP Management Units, Exchange Rights and Redemption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three months of 2020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2020" w:type="dxa"/>
            <w:vAlign w:val="bottom"/>
          </w:tcPr>
          <w:p>
            <w:pPr>
              <w:jc w:val="right"/>
              <w:ind w:right="219"/>
              <w:spacing w:after="0"/>
              <w:rPr>
                <w:sz w:val="20"/>
                <w:szCs w:val="20"/>
                <w:color w:val="auto"/>
              </w:rPr>
            </w:pPr>
            <w:r>
              <w:rPr>
                <w:rFonts w:ascii="Arial" w:cs="Arial" w:eastAsia="Arial" w:hAnsi="Arial"/>
                <w:sz w:val="14"/>
                <w:szCs w:val="14"/>
                <w:b w:val="1"/>
                <w:bCs w:val="1"/>
                <w:color w:val="auto"/>
              </w:rPr>
              <w:t>Distributions to</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jc w:val="right"/>
              <w:ind w:right="639"/>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5960" w:type="dxa"/>
            <w:vAlign w:val="bottom"/>
            <w:gridSpan w:val="2"/>
            <w:vMerge w:val="continue"/>
          </w:tcPr>
          <w:p>
            <w:pPr>
              <w:spacing w:after="0"/>
              <w:rPr>
                <w:sz w:val="16"/>
                <w:szCs w:val="16"/>
                <w:color w:val="auto"/>
              </w:rPr>
            </w:pPr>
          </w:p>
        </w:tc>
        <w:tc>
          <w:tcPr>
            <w:tcW w:w="2020" w:type="dxa"/>
            <w:vAlign w:val="bottom"/>
          </w:tcPr>
          <w:p>
            <w:pPr>
              <w:jc w:val="right"/>
              <w:ind w:right="39"/>
              <w:spacing w:after="0"/>
              <w:rPr>
                <w:sz w:val="20"/>
                <w:szCs w:val="20"/>
                <w:color w:val="auto"/>
              </w:rPr>
            </w:pPr>
            <w:r>
              <w:rPr>
                <w:rFonts w:ascii="Arial" w:cs="Arial" w:eastAsia="Arial" w:hAnsi="Arial"/>
                <w:sz w:val="14"/>
                <w:szCs w:val="14"/>
                <w:b w:val="1"/>
                <w:bCs w:val="1"/>
                <w:color w:val="auto"/>
              </w:rPr>
              <w:t>Class A Shareholders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739"/>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69"/>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May 15, 2020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23"/>
                <w:szCs w:val="23"/>
                <w:color w:val="auto"/>
              </w:rPr>
            </w:pPr>
          </w:p>
        </w:tc>
        <w:tc>
          <w:tcPr>
            <w:tcW w:w="2020" w:type="dxa"/>
            <w:vAlign w:val="bottom"/>
            <w:tcBorders>
              <w:top w:val="single" w:sz="8" w:color="auto"/>
            </w:tcBorders>
            <w:shd w:val="clear" w:color="auto" w:fill="CCEEFF"/>
          </w:tcPr>
          <w:p>
            <w:pPr>
              <w:jc w:val="right"/>
              <w:ind w:right="18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February 14, 2020</w:t>
            </w:r>
          </w:p>
        </w:tc>
        <w:tc>
          <w:tcPr>
            <w:tcW w:w="2020" w:type="dxa"/>
            <w:vAlign w:val="bottom"/>
          </w:tcPr>
          <w:p>
            <w:pPr>
              <w:jc w:val="right"/>
              <w:ind w:right="183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59"/>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Payable to shareholders of record at the close of business on May 1, 2020 for the period from January 1, 2020 through March 31, 2020.</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2"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As of March 31, 2020, noncontrolling interests in our subsidiaries consisted of (i) limited partner interests in PAA including a 69% interest in PAA’s common units and PAA’s Series A preferred units combined and 100% of PAA’s Series B preferred units, (ii) an approximate 25% limited partner interest in AAP and (iii) a 33% interest in Red River Pipeline Company LLC (“Red River LLC”).</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three months ended March 31, 2020, we received $8 million of contributions from noncontrolling interests in Red River LLC related to the Red River pipeline capacity expansion.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first three months of 2020 (in millions, except per unit data):</w:t>
      </w:r>
    </w:p>
    <w:p>
      <w:pPr>
        <w:spacing w:after="0" w:line="24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A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040" w:val="left"/>
          <w:tab w:leader="none" w:pos="9740" w:val="left"/>
        </w:tabs>
        <w:rPr>
          <w:sz w:val="20"/>
          <w:szCs w:val="20"/>
          <w:color w:val="auto"/>
        </w:rPr>
      </w:pPr>
      <w:r>
        <w:rPr>
          <w:rFonts w:ascii="Arial" w:cs="Arial" w:eastAsia="Arial" w:hAnsi="Arial"/>
          <w:sz w:val="14"/>
          <w:szCs w:val="14"/>
          <w:b w:val="1"/>
          <w:bCs w:val="1"/>
          <w:color w:val="auto"/>
        </w:rPr>
        <w:t>Distribution Payment Date</w:t>
      </w:r>
      <w:r>
        <w:rPr>
          <w:sz w:val="20"/>
          <w:szCs w:val="20"/>
          <w:color w:val="auto"/>
        </w:rPr>
        <w:tab/>
      </w:r>
      <w:r>
        <w:rPr>
          <w:rFonts w:ascii="Arial" w:cs="Arial" w:eastAsia="Arial" w:hAnsi="Arial"/>
          <w:sz w:val="14"/>
          <w:szCs w:val="14"/>
          <w:b w:val="1"/>
          <w:bCs w:val="1"/>
          <w:color w:val="auto"/>
        </w:rPr>
        <w:t>Cash Distribution</w:t>
      </w:r>
      <w:r>
        <w:rPr>
          <w:sz w:val="20"/>
          <w:szCs w:val="20"/>
          <w:color w:val="auto"/>
        </w:rPr>
        <w:tab/>
      </w:r>
      <w:r>
        <w:rPr>
          <w:rFonts w:ascii="Arial" w:cs="Arial" w:eastAsia="Arial" w:hAnsi="Arial"/>
          <w:sz w:val="13"/>
          <w:szCs w:val="13"/>
          <w:b w:val="1"/>
          <w:bCs w:val="1"/>
          <w:color w:val="auto"/>
        </w:rPr>
        <w:t>Distribution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351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3511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 xml:space="preserve">May 15, 2020 </w:t>
            </w:r>
            <w:r>
              <w:rPr>
                <w:rFonts w:ascii="Arial" w:cs="Arial" w:eastAsia="Arial" w:hAnsi="Arial"/>
                <w:sz w:val="23"/>
                <w:szCs w:val="23"/>
                <w:color w:val="auto"/>
                <w:vertAlign w:val="superscript"/>
              </w:rPr>
              <w:t>(1)</w:t>
            </w:r>
          </w:p>
        </w:tc>
        <w:tc>
          <w:tcPr>
            <w:tcW w:w="39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February 14, 2020</w:t>
            </w:r>
          </w:p>
        </w:tc>
        <w:tc>
          <w:tcPr>
            <w:tcW w:w="39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002" w:hanging="1002"/>
        <w:spacing w:after="0"/>
        <w:tabs>
          <w:tab w:leader="none" w:pos="1002" w:val="left"/>
        </w:tabs>
        <w:numPr>
          <w:ilvl w:val="0"/>
          <w:numId w:val="14"/>
        </w:numPr>
        <w:rPr>
          <w:rFonts w:ascii="Arial" w:cs="Arial" w:eastAsia="Arial" w:hAnsi="Arial"/>
          <w:sz w:val="15"/>
          <w:szCs w:val="15"/>
          <w:color w:val="auto"/>
        </w:rPr>
      </w:pPr>
      <w:r>
        <w:rPr>
          <w:rFonts w:ascii="Arial" w:cs="Arial" w:eastAsia="Arial" w:hAnsi="Arial"/>
          <w:sz w:val="15"/>
          <w:szCs w:val="15"/>
          <w:color w:val="auto"/>
        </w:rPr>
        <w:t>0.525</w:t>
      </w:r>
    </w:p>
    <w:p>
      <w:pPr>
        <w:spacing w:after="0" w:line="97" w:lineRule="exact"/>
        <w:rPr>
          <w:rFonts w:ascii="Arial" w:cs="Arial" w:eastAsia="Arial" w:hAnsi="Arial"/>
          <w:sz w:val="15"/>
          <w:szCs w:val="15"/>
          <w:color w:val="auto"/>
        </w:rPr>
      </w:pPr>
    </w:p>
    <w:p>
      <w:pPr>
        <w:ind w:left="1002" w:hanging="1002"/>
        <w:spacing w:after="0"/>
        <w:tabs>
          <w:tab w:leader="none" w:pos="1002" w:val="left"/>
        </w:tabs>
        <w:numPr>
          <w:ilvl w:val="0"/>
          <w:numId w:val="14"/>
        </w:numPr>
        <w:rPr>
          <w:rFonts w:ascii="Arial" w:cs="Arial" w:eastAsia="Arial" w:hAnsi="Arial"/>
          <w:sz w:val="15"/>
          <w:szCs w:val="15"/>
          <w:color w:val="auto"/>
        </w:rPr>
      </w:pPr>
      <w:r>
        <w:rPr>
          <w:rFonts w:ascii="Arial" w:cs="Arial" w:eastAsia="Arial" w:hAnsi="Arial"/>
          <w:sz w:val="15"/>
          <w:szCs w:val="15"/>
          <w:color w:val="auto"/>
        </w:rPr>
        <w:t>0.525</w:t>
      </w:r>
    </w:p>
    <w:p>
      <w:pPr>
        <w:spacing w:after="0" w:line="257" w:lineRule="exact"/>
        <w:rPr>
          <w:sz w:val="20"/>
          <w:szCs w:val="20"/>
          <w:color w:val="auto"/>
        </w:rPr>
      </w:pPr>
    </w:p>
    <w:p>
      <w:pPr>
        <w:sectPr>
          <w:pgSz w:w="11900" w:h="16838" w:orient="portrait"/>
          <w:cols w:equalWidth="0" w:num="2">
            <w:col w:w="9260" w:space="378"/>
            <w:col w:w="1582"/>
          </w:cols>
          <w:pgMar w:left="320" w:top="125" w:right="359" w:bottom="1440" w:gutter="0" w:footer="0" w:header="0"/>
          <w:type w:val="continuous"/>
        </w:sectPr>
      </w:pPr>
    </w:p>
    <w:p>
      <w:pPr>
        <w:spacing w:after="0" w:line="366" w:lineRule="exact"/>
        <w:rPr>
          <w:sz w:val="20"/>
          <w:szCs w:val="20"/>
          <w:color w:val="auto"/>
        </w:rPr>
      </w:pPr>
    </w:p>
    <w:p>
      <w:pPr>
        <w:ind w:left="660" w:right="220" w:hanging="652"/>
        <w:spacing w:after="0" w:line="267" w:lineRule="auto"/>
        <w:tabs>
          <w:tab w:leader="none" w:pos="64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May 1, 2020 for the period from January 1, 2020 through March 31, 2020. At March 31, 2020, such amount was accrued as distributions payable in “Other current liabilities” on our Condensed Consolidated Balance Sheet.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PAA Series B Preferred Unit Distributions</w:t>
      </w:r>
      <w:r>
        <w:rPr>
          <w:rFonts w:ascii="Arial" w:cs="Arial" w:eastAsia="Arial" w:hAnsi="Arial"/>
          <w:sz w:val="16"/>
          <w:szCs w:val="16"/>
          <w:color w:val="auto"/>
        </w:rPr>
        <w:t>. Distributions on PAA’s Series B preferred units are payable semi-annually in arrears on the 15th day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and November. The following table details distributions to be paid to PAA’s Series B preferred unitholders (in millions, except per unit data):</w:t>
      </w:r>
    </w:p>
    <w:p>
      <w:pPr>
        <w:spacing w:after="0" w:line="295"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040" w:val="left"/>
          <w:tab w:leader="none" w:pos="9740" w:val="left"/>
        </w:tabs>
        <w:rPr>
          <w:sz w:val="20"/>
          <w:szCs w:val="20"/>
          <w:color w:val="auto"/>
        </w:rPr>
      </w:pPr>
      <w:r>
        <w:rPr>
          <w:rFonts w:ascii="Arial" w:cs="Arial" w:eastAsia="Arial" w:hAnsi="Arial"/>
          <w:sz w:val="14"/>
          <w:szCs w:val="14"/>
          <w:b w:val="1"/>
          <w:bCs w:val="1"/>
          <w:color w:val="auto"/>
        </w:rPr>
        <w:t>Distribution Payment Date</w:t>
      </w:r>
      <w:r>
        <w:rPr>
          <w:sz w:val="20"/>
          <w:szCs w:val="20"/>
          <w:color w:val="auto"/>
        </w:rPr>
        <w:tab/>
      </w:r>
      <w:r>
        <w:rPr>
          <w:rFonts w:ascii="Arial" w:cs="Arial" w:eastAsia="Arial" w:hAnsi="Arial"/>
          <w:sz w:val="14"/>
          <w:szCs w:val="14"/>
          <w:b w:val="1"/>
          <w:bCs w:val="1"/>
          <w:color w:val="auto"/>
        </w:rPr>
        <w:t>Cash Distribution</w:t>
      </w:r>
      <w:r>
        <w:rPr>
          <w:sz w:val="20"/>
          <w:szCs w:val="20"/>
          <w:color w:val="auto"/>
        </w:rPr>
        <w:tab/>
      </w:r>
      <w:r>
        <w:rPr>
          <w:rFonts w:ascii="Arial" w:cs="Arial" w:eastAsia="Arial" w:hAnsi="Arial"/>
          <w:sz w:val="13"/>
          <w:szCs w:val="13"/>
          <w:b w:val="1"/>
          <w:bCs w:val="1"/>
          <w:color w:val="auto"/>
        </w:rPr>
        <w:t>Distribution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p>
      <w:pPr>
        <w:spacing w:after="0" w:line="63" w:lineRule="exact"/>
        <w:rPr>
          <w:sz w:val="20"/>
          <w:szCs w:val="20"/>
          <w:color w:val="auto"/>
        </w:rPr>
      </w:pPr>
    </w:p>
    <w:p>
      <w:pPr>
        <w:ind w:left="20"/>
        <w:spacing w:after="0"/>
        <w:tabs>
          <w:tab w:leader="none" w:pos="7820" w:val="left"/>
          <w:tab w:leader="none" w:pos="8920" w:val="left"/>
        </w:tabs>
        <w:rPr>
          <w:sz w:val="20"/>
          <w:szCs w:val="20"/>
          <w:color w:val="auto"/>
        </w:rPr>
      </w:pPr>
      <w:r>
        <w:rPr>
          <w:rFonts w:ascii="Arial" w:cs="Arial" w:eastAsia="Arial" w:hAnsi="Arial"/>
          <w:sz w:val="18"/>
          <w:szCs w:val="18"/>
          <w:color w:val="auto"/>
        </w:rPr>
        <w:t xml:space="preserve">May 15, 2020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24599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922" w:hanging="922"/>
        <w:spacing w:after="0"/>
        <w:tabs>
          <w:tab w:leader="none" w:pos="922" w:val="left"/>
        </w:tabs>
        <w:numPr>
          <w:ilvl w:val="0"/>
          <w:numId w:val="16"/>
        </w:numPr>
        <w:rPr>
          <w:rFonts w:ascii="Arial" w:cs="Arial" w:eastAsia="Arial" w:hAnsi="Arial"/>
          <w:sz w:val="15"/>
          <w:szCs w:val="15"/>
          <w:color w:val="auto"/>
        </w:rPr>
      </w:pPr>
      <w:r>
        <w:rPr>
          <w:rFonts w:ascii="Arial" w:cs="Arial" w:eastAsia="Arial" w:hAnsi="Arial"/>
          <w:sz w:val="15"/>
          <w:szCs w:val="15"/>
          <w:color w:val="auto"/>
        </w:rPr>
        <w:t>30.625</w:t>
      </w:r>
    </w:p>
    <w:p>
      <w:pPr>
        <w:spacing w:after="0" w:line="291" w:lineRule="exact"/>
        <w:rPr>
          <w:sz w:val="20"/>
          <w:szCs w:val="20"/>
          <w:color w:val="auto"/>
        </w:rPr>
      </w:pPr>
    </w:p>
    <w:p>
      <w:pPr>
        <w:sectPr>
          <w:pgSz w:w="11900" w:h="16838" w:orient="portrait"/>
          <w:cols w:equalWidth="0" w:num="2">
            <w:col w:w="9260" w:space="378"/>
            <w:col w:w="1582"/>
          </w:cols>
          <w:pgMar w:left="320" w:top="125" w:right="359" w:bottom="1440" w:gutter="0" w:footer="0" w:header="0"/>
          <w:type w:val="continuous"/>
        </w:sectPr>
      </w:pPr>
    </w:p>
    <w:p>
      <w:pPr>
        <w:spacing w:after="0" w:line="309"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1, 2020 for the period from November 15, 2019 through May 14, 2020.</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At March 31, 2020, approximately $18 million of accrued distributions payable to PAA’s Series B preferred unitholders was included in “Other current liabilities” on our Condensed Consolidated Balance Sheet.</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2020 (in millions, except per unit data):</w:t>
      </w:r>
    </w:p>
    <w:p>
      <w:pPr>
        <w:sectPr>
          <w:pgSz w:w="11900" w:h="16838" w:orient="portrait"/>
          <w:cols w:equalWidth="0" w:num="1">
            <w:col w:w="11220"/>
          </w:cols>
          <w:pgMar w:left="320" w:top="125" w:right="359" w:bottom="1440" w:gutter="0" w:footer="0" w:header="0"/>
          <w:type w:val="continuous"/>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5"/>
        </w:trPr>
        <w:tc>
          <w:tcPr>
            <w:tcW w:w="3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Common Unitholders</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448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Public</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99"/>
              <w:spacing w:after="0"/>
              <w:rPr>
                <w:sz w:val="20"/>
                <w:szCs w:val="20"/>
                <w:color w:val="auto"/>
              </w:rPr>
            </w:pPr>
            <w:r>
              <w:rPr>
                <w:rFonts w:ascii="Arial" w:cs="Arial" w:eastAsia="Arial" w:hAnsi="Arial"/>
                <w:sz w:val="14"/>
                <w:szCs w:val="14"/>
                <w:b w:val="1"/>
                <w:bCs w:val="1"/>
                <w:color w:val="auto"/>
              </w:rPr>
              <w:t>AAP</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r>
      <w:tr>
        <w:trPr>
          <w:trHeight w:val="282"/>
        </w:trPr>
        <w:tc>
          <w:tcPr>
            <w:tcW w:w="4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 xml:space="preserve">May 15, 2020 </w:t>
            </w:r>
            <w:r>
              <w:rPr>
                <w:rFonts w:ascii="Arial" w:cs="Arial" w:eastAsia="Arial" w:hAnsi="Arial"/>
                <w:sz w:val="23"/>
                <w:szCs w:val="23"/>
                <w:color w:val="auto"/>
                <w:vertAlign w:val="superscript"/>
              </w:rPr>
              <w:t>(1)</w:t>
            </w:r>
          </w:p>
        </w:tc>
        <w:tc>
          <w:tcPr>
            <w:tcW w:w="120" w:type="dxa"/>
            <w:vAlign w:val="bottom"/>
          </w:tcPr>
          <w:p>
            <w:pPr>
              <w:spacing w:after="0"/>
              <w:rPr>
                <w:sz w:val="24"/>
                <w:szCs w:val="24"/>
                <w:color w:val="auto"/>
              </w:rPr>
            </w:pP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120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4"/>
                <w:szCs w:val="24"/>
                <w:color w:val="auto"/>
              </w:rPr>
            </w:pPr>
          </w:p>
        </w:tc>
        <w:tc>
          <w:tcPr>
            <w:tcW w:w="640" w:type="dxa"/>
            <w:vAlign w:val="bottom"/>
            <w:tcBorders>
              <w:top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131</w:t>
            </w:r>
          </w:p>
        </w:tc>
      </w:tr>
      <w:tr>
        <w:trPr>
          <w:trHeight w:val="230"/>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February 14, 2020</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200" w:type="dxa"/>
            <w:vAlign w:val="bottom"/>
          </w:tcPr>
          <w:p>
            <w:pPr>
              <w:jc w:val="right"/>
              <w:ind w:right="101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90</w:t>
            </w:r>
          </w:p>
        </w:tc>
        <w:tc>
          <w:tcPr>
            <w:tcW w:w="100" w:type="dxa"/>
            <w:vAlign w:val="bottom"/>
          </w:tcPr>
          <w:p>
            <w:pPr>
              <w:spacing w:after="0"/>
              <w:rPr>
                <w:sz w:val="20"/>
                <w:szCs w:val="20"/>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262</w:t>
            </w:r>
          </w:p>
        </w:tc>
      </w:tr>
      <w:tr>
        <w:trPr>
          <w:trHeight w:val="459"/>
        </w:trPr>
        <w:tc>
          <w:tcPr>
            <w:tcW w:w="388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098030" cy="351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351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64"/>
        <w:spacing w:after="0"/>
        <w:rPr>
          <w:sz w:val="20"/>
          <w:szCs w:val="20"/>
          <w:color w:val="auto"/>
        </w:rPr>
      </w:pPr>
      <w:r>
        <w:rPr>
          <w:rFonts w:ascii="Arial" w:cs="Arial" w:eastAsia="Arial" w:hAnsi="Arial"/>
          <w:sz w:val="13"/>
          <w:szCs w:val="13"/>
          <w:b w:val="1"/>
          <w:bCs w:val="1"/>
          <w:color w:val="auto"/>
        </w:rPr>
        <w:t>Cash Distribution per</w:t>
      </w:r>
    </w:p>
    <w:p>
      <w:pPr>
        <w:spacing w:after="0" w:line="15" w:lineRule="exact"/>
        <w:rPr>
          <w:sz w:val="20"/>
          <w:szCs w:val="20"/>
          <w:color w:val="auto"/>
        </w:rPr>
      </w:pPr>
    </w:p>
    <w:p>
      <w:pPr>
        <w:jc w:val="center"/>
        <w:ind w:right="64"/>
        <w:spacing w:after="0"/>
        <w:rPr>
          <w:sz w:val="20"/>
          <w:szCs w:val="20"/>
          <w:color w:val="auto"/>
        </w:rPr>
      </w:pPr>
      <w:r>
        <w:rPr>
          <w:rFonts w:ascii="Arial" w:cs="Arial" w:eastAsia="Arial" w:hAnsi="Arial"/>
          <w:sz w:val="14"/>
          <w:szCs w:val="14"/>
          <w:b w:val="1"/>
          <w:bCs w:val="1"/>
          <w:color w:val="auto"/>
        </w:rPr>
        <w:t>Common Unit</w:t>
      </w:r>
    </w:p>
    <w:p>
      <w:pPr>
        <w:spacing w:after="0" w:line="47" w:lineRule="exact"/>
        <w:rPr>
          <w:sz w:val="20"/>
          <w:szCs w:val="20"/>
          <w:color w:val="auto"/>
        </w:rPr>
      </w:pPr>
    </w:p>
    <w:p>
      <w:pPr>
        <w:ind w:left="1096" w:hanging="1096"/>
        <w:spacing w:after="0"/>
        <w:tabs>
          <w:tab w:leader="none" w:pos="10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0.18</w:t>
      </w:r>
    </w:p>
    <w:p>
      <w:pPr>
        <w:spacing w:after="0" w:line="74" w:lineRule="exact"/>
        <w:rPr>
          <w:rFonts w:ascii="Arial" w:cs="Arial" w:eastAsia="Arial" w:hAnsi="Arial"/>
          <w:sz w:val="17"/>
          <w:szCs w:val="17"/>
          <w:color w:val="auto"/>
        </w:rPr>
      </w:pPr>
    </w:p>
    <w:p>
      <w:pPr>
        <w:ind w:left="1096" w:hanging="1096"/>
        <w:spacing w:after="0"/>
        <w:tabs>
          <w:tab w:leader="none" w:pos="10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0.36</w:t>
      </w:r>
    </w:p>
    <w:p>
      <w:pPr>
        <w:spacing w:after="0" w:line="707" w:lineRule="exact"/>
        <w:rPr>
          <w:sz w:val="20"/>
          <w:szCs w:val="20"/>
          <w:color w:val="auto"/>
        </w:rPr>
      </w:pPr>
    </w:p>
    <w:p>
      <w:pPr>
        <w:sectPr>
          <w:pgSz w:w="11900" w:h="16838" w:orient="portrait"/>
          <w:cols w:equalWidth="0" w:num="2">
            <w:col w:w="9400" w:space="224"/>
            <w:col w:w="1596"/>
          </w:cols>
          <w:pgMar w:left="320" w:top="125" w:right="35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31"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1, 2020 for the period from January 1, 2020 through March 31, 2020.</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three months of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Distribution to AAP</w:t>
            </w:r>
            <w:r>
              <w:rPr>
                <w:rFonts w:ascii="Arial" w:cs="Arial" w:eastAsia="Arial" w:hAnsi="Arial"/>
                <w:sz w:val="17"/>
                <w:szCs w:val="17"/>
                <w:color w:val="auto"/>
                <w:w w:val="98"/>
              </w:rPr>
              <w:t>’</w:t>
            </w:r>
            <w:r>
              <w:rPr>
                <w:rFonts w:ascii="Arial" w:cs="Arial" w:eastAsia="Arial" w:hAnsi="Arial"/>
                <w:sz w:val="14"/>
                <w:szCs w:val="14"/>
                <w:b w:val="1"/>
                <w:bCs w:val="1"/>
                <w:color w:val="auto"/>
                <w:w w:val="98"/>
              </w:rPr>
              <w:t>s Partners</w:t>
            </w: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19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PAGP</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Total Cash Distributions</w:t>
            </w:r>
          </w:p>
        </w:tc>
      </w:tr>
      <w:tr>
        <w:trPr>
          <w:trHeight w:val="26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May 15, 2020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45</w:t>
            </w:r>
          </w:p>
        </w:tc>
      </w:tr>
      <w:tr>
        <w:trPr>
          <w:trHeight w:val="243"/>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February 14,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6"/>
              <w:spacing w:after="0"/>
              <w:rPr>
                <w:sz w:val="20"/>
                <w:szCs w:val="20"/>
                <w:color w:val="auto"/>
              </w:rPr>
            </w:pPr>
            <w:r>
              <w:rPr>
                <w:rFonts w:ascii="Arial" w:cs="Arial" w:eastAsia="Arial" w:hAnsi="Arial"/>
                <w:sz w:val="18"/>
                <w:szCs w:val="18"/>
                <w:color w:val="auto"/>
              </w:rPr>
              <w:t>24</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6"/>
              <w:spacing w:after="0"/>
              <w:rPr>
                <w:sz w:val="20"/>
                <w:szCs w:val="20"/>
                <w:color w:val="auto"/>
              </w:rPr>
            </w:pPr>
            <w:r>
              <w:rPr>
                <w:rFonts w:ascii="Arial" w:cs="Arial" w:eastAsia="Arial" w:hAnsi="Arial"/>
                <w:sz w:val="18"/>
                <w:szCs w:val="18"/>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1, 2020 for the period from January 1, 2020 through March 31,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1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jc w:val="both"/>
        <w:ind w:right="120" w:firstLine="607"/>
        <w:spacing w:after="0" w:line="311" w:lineRule="auto"/>
        <w:rPr>
          <w:sz w:val="20"/>
          <w:szCs w:val="20"/>
          <w:color w:val="auto"/>
        </w:rPr>
      </w:pPr>
      <w:r>
        <w:rPr>
          <w:rFonts w:ascii="Arial" w:cs="Arial" w:eastAsia="Arial" w:hAnsi="Arial"/>
          <w:sz w:val="16"/>
          <w:szCs w:val="16"/>
          <w:color w:val="auto"/>
        </w:rPr>
        <w:t>At March 31, 2020 and December 31, 2019,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2020, net derivative positions related to these activities included:</w:t>
      </w:r>
    </w:p>
    <w:p>
      <w:pPr>
        <w:spacing w:after="0" w:line="146" w:lineRule="exact"/>
        <w:rPr>
          <w:sz w:val="20"/>
          <w:szCs w:val="20"/>
          <w:color w:val="auto"/>
        </w:rPr>
      </w:pPr>
    </w:p>
    <w:p>
      <w:pPr>
        <w:ind w:left="980" w:right="32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net long position of 9.9 million barrels associated with our crude oil purchases, which was unwound ratably during April 2020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net short time spread position of 6.0 million barrels, which hedges a portion of our anticipated crude oil lease gathering purchases through May 2021.</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net crude oil basis spread position of 6.3 million barrels at multiple locations through December 2021. These derivatives allow us to lock in grade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net short position of 15.7 million barrels through December 2022 related to anticipated net sales of crude oil and NGL inventory.</w:t>
      </w:r>
    </w:p>
    <w:p>
      <w:pPr>
        <w:spacing w:after="0" w:line="264"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i w:val="1"/>
          <w:iCs w:val="1"/>
          <w:color w:val="auto"/>
        </w:rPr>
        <w:t xml:space="preserve">Storage Capacity Utilization </w:t>
      </w:r>
      <w:r>
        <w:rPr>
          <w:rFonts w:ascii="Arial" w:cs="Arial" w:eastAsia="Arial" w:hAnsi="Arial"/>
          <w:sz w:val="16"/>
          <w:szCs w:val="16"/>
          <w:color w:val="auto"/>
        </w:rPr>
        <w:t>— For capacity allocated to our supply and logistics operations, we have utilization risk in a backwardated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As of March 31, 2020, we used derivatives to manage the risk that a portion of our storage capacity will not be utilized (an average of approximately 2.0 million barrels per month of storage capacity through December 2021). These positions involve no outright price exposure.</w:t>
      </w:r>
    </w:p>
    <w:p>
      <w:pPr>
        <w:spacing w:after="0" w:line="14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2020: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Notional Volume</w:t>
            </w:r>
          </w:p>
        </w:tc>
        <w:tc>
          <w:tcPr>
            <w:tcW w:w="2180" w:type="dxa"/>
            <w:vAlign w:val="bottom"/>
          </w:tcPr>
          <w:p>
            <w:pPr>
              <w:spacing w:after="0"/>
              <w:rPr>
                <w:sz w:val="16"/>
                <w:szCs w:val="16"/>
                <w:color w:val="auto"/>
              </w:rPr>
            </w:pPr>
          </w:p>
        </w:tc>
      </w:tr>
      <w:tr>
        <w:trPr>
          <w:trHeight w:val="208"/>
        </w:trPr>
        <w:tc>
          <w:tcPr>
            <w:tcW w:w="680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(Short)/Long</w:t>
            </w:r>
          </w:p>
        </w:tc>
        <w:tc>
          <w:tcPr>
            <w:tcW w:w="8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7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41.8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270"/>
        </w:trPr>
        <w:tc>
          <w:tcPr>
            <w:tcW w:w="680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(3.0)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(1.8)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80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(0.9)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0.9 TWh</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Power position to hedge a portion of our power supply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as a hedging relationship, as such, changes in the fair value are reported in earnings. A summary of the impact of our commodity derivatives recognized in earnings as follows (in millions):</w:t>
      </w:r>
    </w:p>
    <w:p>
      <w:pPr>
        <w:spacing w:after="0" w:line="243"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4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213</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80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7</w:t>
            </w:r>
          </w:p>
        </w:tc>
      </w:tr>
      <w:tr>
        <w:trPr>
          <w:trHeight w:val="27"/>
        </w:trPr>
        <w:tc>
          <w:tcPr>
            <w:tcW w:w="8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150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220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516"/>
              <w:spacing w:after="0"/>
              <w:rPr>
                <w:sz w:val="20"/>
                <w:szCs w:val="20"/>
                <w:color w:val="auto"/>
              </w:rPr>
            </w:pPr>
            <w:r>
              <w:rPr>
                <w:rFonts w:ascii="Arial" w:cs="Arial" w:eastAsia="Arial" w:hAnsi="Arial"/>
                <w:sz w:val="18"/>
                <w:szCs w:val="18"/>
                <w:color w:val="auto"/>
                <w:w w:val="89"/>
              </w:rPr>
              <w:t>73</w:t>
            </w:r>
          </w:p>
        </w:tc>
      </w:tr>
      <w:tr>
        <w:trPr>
          <w:trHeight w:val="257"/>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2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left="516"/>
              <w:spacing w:after="0"/>
              <w:rPr>
                <w:sz w:val="20"/>
                <w:szCs w:val="20"/>
                <w:color w:val="auto"/>
              </w:rPr>
            </w:pPr>
            <w:r>
              <w:rPr>
                <w:rFonts w:ascii="Arial" w:cs="Arial" w:eastAsia="Arial" w:hAnsi="Arial"/>
                <w:sz w:val="18"/>
                <w:szCs w:val="18"/>
                <w:color w:val="auto"/>
                <w:w w:val="93"/>
              </w:rPr>
              <w:t>(45)</w:t>
            </w: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93"/>
              </w:rPr>
              <w:t>(73)</w:t>
            </w:r>
          </w:p>
        </w:tc>
      </w:tr>
      <w:tr>
        <w:trPr>
          <w:trHeight w:val="263"/>
        </w:trPr>
        <w:tc>
          <w:tcPr>
            <w:tcW w:w="8600" w:type="dxa"/>
            <w:vAlign w:val="bottom"/>
          </w:tcPr>
          <w:p>
            <w:pPr>
              <w:ind w:left="20"/>
              <w:spacing w:after="0"/>
              <w:rPr>
                <w:sz w:val="20"/>
                <w:szCs w:val="20"/>
                <w:color w:val="auto"/>
              </w:rPr>
            </w:pPr>
            <w:r>
              <w:rPr>
                <w:rFonts w:ascii="Arial" w:cs="Arial" w:eastAsia="Arial" w:hAnsi="Arial"/>
                <w:sz w:val="18"/>
                <w:szCs w:val="18"/>
                <w:color w:val="auto"/>
              </w:rPr>
              <w:t>Net broker payable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516"/>
              <w:spacing w:after="0"/>
              <w:rPr>
                <w:sz w:val="20"/>
                <w:szCs w:val="20"/>
                <w:color w:val="auto"/>
              </w:rPr>
            </w:pPr>
            <w:r>
              <w:rPr>
                <w:rFonts w:ascii="Arial" w:cs="Arial" w:eastAsia="Arial" w:hAnsi="Arial"/>
                <w:sz w:val="18"/>
                <w:szCs w:val="18"/>
                <w:color w:val="auto"/>
                <w:w w:val="93"/>
              </w:rPr>
              <w:t>(45)</w:t>
            </w:r>
          </w:p>
        </w:tc>
      </w:tr>
      <w:tr>
        <w:trPr>
          <w:trHeight w:val="21"/>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ectPr>
          <w:pgSz w:w="11900" w:h="16838" w:orient="portrait"/>
          <w:cols w:equalWidth="0" w:num="1">
            <w:col w:w="11240"/>
          </w:cols>
          <w:pgMar w:left="320" w:top="125" w:right="339" w:bottom="1440" w:gutter="0" w:footer="0" w:header="0"/>
        </w:sect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Commodity Derivatives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0"/>
                <w:szCs w:val="10"/>
                <w:color w:val="auto"/>
              </w:rPr>
            </w:pPr>
          </w:p>
        </w:tc>
        <w:tc>
          <w:tcPr>
            <w:tcW w:w="880" w:type="dxa"/>
            <w:vAlign w:val="bottom"/>
          </w:tcPr>
          <w:p>
            <w:pPr>
              <w:jc w:val="center"/>
              <w:ind w:right="37"/>
              <w:spacing w:after="0" w:line="125" w:lineRule="exact"/>
              <w:rPr>
                <w:sz w:val="20"/>
                <w:szCs w:val="20"/>
                <w:color w:val="auto"/>
              </w:rPr>
            </w:pPr>
            <w:r>
              <w:rPr>
                <w:rFonts w:ascii="Arial" w:cs="Arial" w:eastAsia="Arial" w:hAnsi="Arial"/>
                <w:sz w:val="14"/>
                <w:szCs w:val="14"/>
                <w:b w:val="1"/>
                <w:bCs w:val="1"/>
                <w:color w:val="auto"/>
                <w:w w:val="91"/>
              </w:rPr>
              <w:t>the Balance</w:t>
            </w: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3"/>
                <w:szCs w:val="23"/>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3"/>
                <w:szCs w:val="23"/>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6"/>
        </w:trPr>
        <w:tc>
          <w:tcPr>
            <w:tcW w:w="2520" w:type="dxa"/>
            <w:vAlign w:val="bottom"/>
          </w:tcPr>
          <w:p>
            <w:pPr>
              <w:spacing w:after="0"/>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13627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6271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7000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Presented on</w:t>
            </w:r>
          </w:p>
        </w:tc>
        <w:tc>
          <w:tcPr>
            <w:tcW w:w="0" w:type="dxa"/>
            <w:vAlign w:val="bottom"/>
          </w:tcPr>
          <w:p>
            <w:pPr>
              <w:spacing w:after="0"/>
              <w:rPr>
                <w:sz w:val="1"/>
                <w:szCs w:val="1"/>
                <w:color w:val="auto"/>
              </w:rPr>
            </w:pPr>
          </w:p>
        </w:tc>
      </w:tr>
      <w:tr>
        <w:trPr>
          <w:trHeight w:val="125"/>
        </w:trPr>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0"/>
                <w:szCs w:val="10"/>
                <w:color w:val="auto"/>
              </w:rPr>
            </w:pPr>
          </w:p>
        </w:tc>
        <w:tc>
          <w:tcPr>
            <w:tcW w:w="860" w:type="dxa"/>
            <w:vAlign w:val="bottom"/>
          </w:tcPr>
          <w:p>
            <w:pPr>
              <w:jc w:val="center"/>
              <w:ind w:right="57"/>
              <w:spacing w:after="0" w:line="125" w:lineRule="exact"/>
              <w:rPr>
                <w:sz w:val="20"/>
                <w:szCs w:val="20"/>
                <w:color w:val="auto"/>
              </w:rPr>
            </w:pPr>
            <w:r>
              <w:rPr>
                <w:rFonts w:ascii="Arial" w:cs="Arial" w:eastAsia="Arial" w:hAnsi="Arial"/>
                <w:sz w:val="14"/>
                <w:szCs w:val="14"/>
                <w:b w:val="1"/>
                <w:bCs w:val="1"/>
                <w:color w:val="auto"/>
                <w:w w:val="91"/>
              </w:rPr>
              <w:t>the Balance</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499"/>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center"/>
              <w:ind w:left="257"/>
              <w:spacing w:after="0"/>
              <w:rPr>
                <w:sz w:val="20"/>
                <w:szCs w:val="20"/>
                <w:color w:val="auto"/>
              </w:rPr>
            </w:pPr>
            <w:r>
              <w:rPr>
                <w:rFonts w:ascii="Arial" w:cs="Arial" w:eastAsia="Arial" w:hAnsi="Arial"/>
                <w:sz w:val="18"/>
                <w:szCs w:val="18"/>
                <w:color w:val="auto"/>
                <w:w w:val="93"/>
              </w:rPr>
              <w:t>(45)</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center"/>
              <w:ind w:left="277"/>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gridSpan w:val="2"/>
          </w:tcPr>
          <w:p>
            <w:pPr>
              <w:jc w:val="center"/>
              <w:ind w:left="17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860" w:type="dxa"/>
            <w:vAlign w:val="bottom"/>
          </w:tcPr>
          <w:p>
            <w:pPr>
              <w:jc w:val="center"/>
              <w:ind w:left="277"/>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540"/>
        </w:trPr>
        <w:tc>
          <w:tcPr>
            <w:tcW w:w="200" w:type="dxa"/>
            <w:vAlign w:val="bottom"/>
          </w:tcPr>
          <w:p>
            <w:pPr>
              <w:spacing w:after="0"/>
              <w:rPr>
                <w:sz w:val="24"/>
                <w:szCs w:val="24"/>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left="17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60" w:type="dxa"/>
            <w:vAlign w:val="bottom"/>
          </w:tcPr>
          <w:p>
            <w:pPr>
              <w:jc w:val="center"/>
              <w:ind w:left="277"/>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486"/>
        </w:trPr>
        <w:tc>
          <w:tcPr>
            <w:tcW w:w="2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left="17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60" w:type="dxa"/>
            <w:vAlign w:val="bottom"/>
          </w:tcPr>
          <w:p>
            <w:pPr>
              <w:jc w:val="center"/>
              <w:ind w:left="277"/>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257"/>
              <w:spacing w:after="0"/>
              <w:rPr>
                <w:sz w:val="20"/>
                <w:szCs w:val="20"/>
                <w:color w:val="auto"/>
              </w:rPr>
            </w:pPr>
            <w:r>
              <w:rPr>
                <w:rFonts w:ascii="Arial" w:cs="Arial" w:eastAsia="Arial" w:hAnsi="Arial"/>
                <w:sz w:val="18"/>
                <w:szCs w:val="18"/>
                <w:color w:val="auto"/>
                <w:w w:val="93"/>
              </w:rPr>
              <w:t>(45)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277"/>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6" w:lineRule="exact"/>
        <w:rPr>
          <w:sz w:val="20"/>
          <w:szCs w:val="20"/>
          <w:color w:val="auto"/>
        </w:rPr>
      </w:pPr>
    </w:p>
    <w:p>
      <w:pPr>
        <w:sectPr>
          <w:pgSz w:w="11900" w:h="16838" w:orient="portrait"/>
          <w:cols w:equalWidth="0" w:num="2">
            <w:col w:w="6780" w:space="200"/>
            <w:col w:w="4260"/>
          </w:cols>
          <w:pgMar w:left="320" w:top="125" w:right="339" w:bottom="1440" w:gutter="0" w:footer="0" w:header="0"/>
          <w:type w:val="continuous"/>
        </w:sectPr>
      </w:pPr>
    </w:p>
    <w:p>
      <w:pPr>
        <w:spacing w:after="0" w:line="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summarizes the terms of our outstanding interest rate derivatives as of March 31, 2020 (notional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Expected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Average Rate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Derivatives Employed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Locked</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88"/>
        </w:trPr>
        <w:tc>
          <w:tcPr>
            <w:tcW w:w="29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Anticipated interest payments</w:t>
            </w:r>
          </w:p>
        </w:tc>
        <w:tc>
          <w:tcPr>
            <w:tcW w:w="24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8 forward starting swaps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7"/>
              <w:spacing w:after="0" w:line="189"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6/15/2020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Anticipated interest payments</w:t>
            </w:r>
          </w:p>
        </w:tc>
        <w:tc>
          <w:tcPr>
            <w:tcW w:w="25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1"/>
              </w:rPr>
              <w:t>8 forward starting swaps</w:t>
            </w: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77"/>
              <w:spacing w:after="0" w:line="189"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Arial" w:cs="Arial" w:eastAsia="Arial" w:hAnsi="Arial"/>
                <w:sz w:val="18"/>
                <w:szCs w:val="18"/>
                <w:color w:val="auto"/>
                <w:w w:val="92"/>
              </w:rPr>
              <w:t>6/15/2023</w:t>
            </w:r>
          </w:p>
        </w:tc>
        <w:tc>
          <w:tcPr>
            <w:tcW w:w="1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1.38</w:t>
            </w: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Anticipated interest payments</w:t>
            </w:r>
          </w:p>
        </w:tc>
        <w:tc>
          <w:tcPr>
            <w:tcW w:w="254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1"/>
              </w:rPr>
              <w:t>8 forward starting swaps</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7"/>
              <w:spacing w:after="0" w:line="189"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6/14/2024</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March 31, 2020, there was a net loss of $336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reclassified a net loss of $2 million and $2 million during the three months ended March 31, 2020 and 2019, respectively. Of the total net loss deferred in AOCI at March 31, 2020, we expect to reclassify a net loss of $12 million to earnings in the next twelve months. We estimate that substantially all of the remaining deferred loss will be reclassified to earnings through 2054 as the underlying hedged transactions impact earnings. A portion of these amounts is based on market prices as of March 31, 2020; thus, actual amounts to be reclassified will differ and could vary materially as a result of changes in market conditions.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98"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p>
      <w:pPr>
        <w:ind w:left="9080"/>
        <w:spacing w:after="0"/>
        <w:tabs>
          <w:tab w:leader="none" w:pos="104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600" w:val="left"/>
          <w:tab w:leader="none" w:pos="9440" w:val="left"/>
          <w:tab w:leader="none" w:pos="9960" w:val="left"/>
          <w:tab w:leader="none" w:pos="1082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w:t>
        <w:tab/>
        <w:t>$</w:t>
      </w:r>
      <w:r>
        <w:rPr>
          <w:sz w:val="20"/>
          <w:szCs w:val="20"/>
          <w:color w:val="auto"/>
        </w:rPr>
        <w:tab/>
      </w:r>
      <w:r>
        <w:rPr>
          <w:rFonts w:ascii="Arial" w:cs="Arial" w:eastAsia="Arial" w:hAnsi="Arial"/>
          <w:sz w:val="16"/>
          <w:szCs w:val="16"/>
          <w:color w:val="auto"/>
        </w:rPr>
        <w:t>(23)</w:t>
      </w:r>
    </w:p>
    <w:p>
      <w:pPr>
        <w:spacing w:after="0" w:line="200" w:lineRule="exact"/>
        <w:rPr>
          <w:sz w:val="20"/>
          <w:szCs w:val="20"/>
          <w:color w:val="auto"/>
        </w:rPr>
      </w:pP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At March 31, 2020, the net fair value of our interest rate hedges, which were included in “Other current liabilities” and “Other long-term liabilities and deferred credits” on our Condensed Consolidated Balance Sheet, totaled $115 million and $9 million, respectively. At December 31, 2019, the fair value of these hedges was $44 million and included in “Other current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2020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CAD</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6"/>
              </w:rPr>
              <w:t>USD to CAD</w:t>
            </w:r>
          </w:p>
        </w:tc>
        <w:tc>
          <w:tcPr>
            <w:tcW w:w="0" w:type="dxa"/>
            <w:vAlign w:val="bottom"/>
          </w:tcPr>
          <w:p>
            <w:pPr>
              <w:spacing w:after="0"/>
              <w:rPr>
                <w:sz w:val="1"/>
                <w:szCs w:val="1"/>
                <w:color w:val="auto"/>
              </w:rPr>
            </w:pPr>
          </w:p>
        </w:tc>
      </w:tr>
      <w:tr>
        <w:trPr>
          <w:trHeight w:val="236"/>
        </w:trPr>
        <w:tc>
          <w:tcPr>
            <w:tcW w:w="6800" w:type="dxa"/>
            <w:vAlign w:val="bottom"/>
            <w:tcBorders>
              <w:top w:val="single" w:sz="8" w:color="CCEEFF"/>
              <w:bottom w:val="single" w:sz="8" w:color="CCEEFF"/>
            </w:tcBorders>
            <w:shd w:val="clear" w:color="auto" w:fill="CCEEFF"/>
          </w:tcPr>
          <w:p>
            <w:pPr>
              <w:jc w:val="right"/>
              <w:ind w:right="221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$1.00 - $1.32</w:t>
            </w:r>
          </w:p>
        </w:tc>
        <w:tc>
          <w:tcPr>
            <w:tcW w:w="0" w:type="dxa"/>
            <w:vAlign w:val="bottom"/>
          </w:tcPr>
          <w:p>
            <w:pPr>
              <w:spacing w:after="0"/>
              <w:rPr>
                <w:sz w:val="1"/>
                <w:szCs w:val="1"/>
                <w:color w:val="auto"/>
              </w:rPr>
            </w:pPr>
          </w:p>
        </w:tc>
      </w:tr>
      <w:tr>
        <w:trPr>
          <w:trHeight w:val="257"/>
        </w:trPr>
        <w:tc>
          <w:tcPr>
            <w:tcW w:w="6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00" w:type="dxa"/>
            <w:vAlign w:val="bottom"/>
          </w:tcPr>
          <w:p>
            <w:pPr>
              <w:jc w:val="right"/>
              <w:ind w:right="221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3"/>
                <w:szCs w:val="23"/>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derivatives are not designated as a hedging relationship. As such, changes in fair value are recognized in earnings as a component of Supply and Logistics segment revenues. For the three months ended March 31, 2020 and 2019, the amounts recognized in earnings for our currency exchange rate hedges were a loss of $6 million and a gain of $5 million, respectively.</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March 31, 2020, the net fair value of these currency exchange rate hedges, which was included in “Other current assets” and “Other current liabilities” on our Condensed Consolidated Balance Sheet, totaled $1 million and $6 million, respectively. At December 31, 2019, the net fair value of these currency exchange rate hedges, which was included in “Other current assets” and “Other current liabilities” on our Condensed Consolidated Balance Sheet, totaled $2 million and $1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This embedded derivative is not designated as a hedging relationship and corresponding changes in fair value are recognized in “Other income/(expense), net” in our Condensed Consolidated Statement of Operations. For the three months ended March 31, 2020 and 2019, we recognized gains of $26 million and $23 million, respectively. The fair value of the Preferred Distribution Rate Reset Option, which was included in “Other long-term liabilities and deferred credits” on our Condensed Consolidated Balance Sheets, totaled $8 million and $34 million at March 31, 2020 and December 31, 2019, respectively. See Note 13 to our Consolidated Financial Statements included in Part IV of our 2019 Annual Report on Form 10-K for additional information regarding the Series A preferred units and Preferred Distribution Rate Reset Option.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1"/>
          <w:szCs w:val="11"/>
          <w:b w:val="1"/>
          <w:bCs w:val="1"/>
          <w:color w:val="auto"/>
        </w:rPr>
        <w:t>(1)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derivatives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derivatives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derivatives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Preferred Distribution Rate Reset Option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net derivative asset/(liability)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24599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57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24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252</w:t>
            </w:r>
          </w:p>
        </w:tc>
      </w:tr>
      <w:tr>
        <w:trPr>
          <w:trHeight w:val="270"/>
        </w:trPr>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(124)</w:t>
            </w:r>
          </w:p>
        </w:tc>
      </w:tr>
      <w:tr>
        <w:trPr>
          <w:trHeight w:val="270"/>
        </w:trPr>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0"/>
        </w:trPr>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115</w:t>
            </w:r>
          </w:p>
        </w:tc>
      </w:tr>
      <w:tr>
        <w:trPr>
          <w:trHeight w:val="27"/>
        </w:trPr>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-908050</wp:posOffset>
            </wp:positionV>
            <wp:extent cx="7054850" cy="891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54850" cy="891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Fair Value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091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Total</w:t>
            </w:r>
          </w:p>
        </w:tc>
      </w:tr>
      <w:tr>
        <w:trPr>
          <w:trHeight w:val="24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center"/>
              <w:ind w:left="13"/>
              <w:spacing w:after="0"/>
              <w:rPr>
                <w:sz w:val="20"/>
                <w:szCs w:val="20"/>
                <w:color w:val="auto"/>
              </w:rPr>
            </w:pPr>
            <w:r>
              <w:rPr>
                <w:rFonts w:ascii="Arial" w:cs="Arial" w:eastAsia="Arial" w:hAnsi="Arial"/>
                <w:sz w:val="18"/>
                <w:szCs w:val="18"/>
                <w:color w:val="auto"/>
                <w:w w:val="93"/>
              </w:rPr>
              <w:t>(17)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130</w:t>
            </w:r>
          </w:p>
        </w:tc>
      </w:tr>
      <w:tr>
        <w:trPr>
          <w:trHeight w:val="270"/>
        </w:trPr>
        <w:tc>
          <w:tcPr>
            <w:tcW w:w="14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0"/>
        </w:trPr>
        <w:tc>
          <w:tcPr>
            <w:tcW w:w="14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1</w:t>
            </w:r>
          </w:p>
        </w:tc>
      </w:tr>
      <w:tr>
        <w:trPr>
          <w:trHeight w:val="270"/>
        </w:trPr>
        <w:tc>
          <w:tcPr>
            <w:tcW w:w="14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00" w:type="dxa"/>
            <w:vAlign w:val="bottom"/>
          </w:tcPr>
          <w:p>
            <w:pPr>
              <w:jc w:val="center"/>
              <w:ind w:left="13"/>
              <w:spacing w:after="0"/>
              <w:rPr>
                <w:sz w:val="20"/>
                <w:szCs w:val="20"/>
                <w:color w:val="auto"/>
              </w:rPr>
            </w:pPr>
            <w:r>
              <w:rPr>
                <w:rFonts w:ascii="Arial" w:cs="Arial" w:eastAsia="Arial" w:hAnsi="Arial"/>
                <w:sz w:val="18"/>
                <w:szCs w:val="18"/>
                <w:color w:val="auto"/>
                <w:w w:val="93"/>
              </w:rPr>
              <w:t>(34)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7"/>
        </w:trPr>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ind w:left="13"/>
              <w:spacing w:after="0"/>
              <w:rPr>
                <w:sz w:val="20"/>
                <w:szCs w:val="20"/>
                <w:color w:val="auto"/>
              </w:rPr>
            </w:pPr>
            <w:r>
              <w:rPr>
                <w:rFonts w:ascii="Arial" w:cs="Arial" w:eastAsia="Arial" w:hAnsi="Arial"/>
                <w:sz w:val="18"/>
                <w:szCs w:val="18"/>
                <w:color w:val="auto"/>
                <w:w w:val="93"/>
              </w:rPr>
              <w:t>(51)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53</w:t>
            </w:r>
          </w:p>
        </w:tc>
      </w:tr>
      <w:tr>
        <w:trPr>
          <w:trHeight w:val="27"/>
        </w:trPr>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640" w:space="720"/>
            <w:col w:w="3240" w:space="220"/>
            <w:col w:w="3400"/>
          </w:cols>
          <w:pgMar w:left="320" w:top="125" w:right="35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880"/>
        <w:spacing w:after="0" w:line="342" w:lineRule="auto"/>
        <w:rPr>
          <w:sz w:val="20"/>
          <w:szCs w:val="20"/>
          <w:color w:val="auto"/>
        </w:rPr>
      </w:pPr>
      <w:r>
        <w:rPr>
          <w:rFonts w:ascii="Arial" w:cs="Arial" w:eastAsia="Arial" w:hAnsi="Arial"/>
          <w:sz w:val="16"/>
          <w:szCs w:val="16"/>
          <w:color w:val="auto"/>
        </w:rPr>
        <w:t>Level 3 of the fair value hierarchy includes certain physical commodity and other contracts, over-the-counter options and the Preferred Distribution Rate Reset Option contained in PAA’s partnership agreement which is classified as an embedded derivative.</w:t>
      </w:r>
    </w:p>
    <w:p>
      <w:pPr>
        <w:spacing w:after="0" w:line="124"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43"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Derivatives entered into during the period</w:t>
            </w:r>
          </w:p>
        </w:tc>
        <w:tc>
          <w:tcPr>
            <w:tcW w:w="820" w:type="dxa"/>
            <w:vAlign w:val="bottom"/>
          </w:tcPr>
          <w:p>
            <w:pPr>
              <w:spacing w:after="0"/>
              <w:rPr>
                <w:sz w:val="21"/>
                <w:szCs w:val="21"/>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Change in unrealized gains/(losses) included in earnings relating to Level 3 derivatives still held at the end of the</w:t>
            </w:r>
          </w:p>
        </w:tc>
        <w:tc>
          <w:tcPr>
            <w:tcW w:w="820" w:type="dxa"/>
            <w:vAlign w:val="bottom"/>
            <w:vMerge w:val="restart"/>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(10)</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82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2019 Annual Report on Form 10-K for a complete discussion of our related party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 Ownership of our Class C Shares</w:t>
      </w:r>
    </w:p>
    <w:p>
      <w:pPr>
        <w:spacing w:after="0" w:line="256" w:lineRule="exact"/>
        <w:rPr>
          <w:sz w:val="20"/>
          <w:szCs w:val="20"/>
          <w:color w:val="auto"/>
        </w:rPr>
      </w:pPr>
    </w:p>
    <w:p>
      <w:pPr>
        <w:ind w:firstLine="350"/>
        <w:spacing w:after="0" w:line="259" w:lineRule="auto"/>
        <w:rPr>
          <w:sz w:val="20"/>
          <w:szCs w:val="20"/>
          <w:color w:val="auto"/>
        </w:rPr>
      </w:pPr>
      <w:r>
        <w:rPr>
          <w:rFonts w:ascii="Arial" w:cs="Arial" w:eastAsia="Arial" w:hAnsi="Arial"/>
          <w:sz w:val="18"/>
          <w:szCs w:val="18"/>
          <w:color w:val="auto"/>
        </w:rPr>
        <w:t>As of March 31, 2020 and December 31, 2019, PAA owned 550,769,169 and 549,538,139, respectively, Class C shares. The Class C shares represent a non-economic limited partner interest in us that provides PAA, as the sole holder, a “pass-through” voting right through which PAA’s common unitholders and Series A preferred unitholders have the effective right to vote, pro rata with the holders of our Class A and Class B shares, for the election of eligible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Our other related parties include (i) principal owners and their affiliated entities and (ii) entities in which we hold investments and account for under the equity method of accounting (see Note 7 for information regarding such entities). We recognize as our principal owners entities that have a designated representative on the board of directors of our general partner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 As of March 31, 2020, Kayne Anderson Capital Advisors, L.P. was a principal owner.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During the three months ended March 31, 2020 and 2019,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w:t>
      </w:r>
    </w:p>
    <w:p>
      <w:pPr>
        <w:spacing w:after="0" w:line="260"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13335</wp:posOffset>
            </wp:positionV>
            <wp:extent cx="18345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7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 (2) (3)</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225</w:t>
            </w:r>
          </w:p>
        </w:tc>
      </w:tr>
      <w:tr>
        <w:trPr>
          <w:trHeight w:val="257"/>
        </w:trPr>
        <w:tc>
          <w:tcPr>
            <w:tcW w:w="8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(2) (3)</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129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A majority of these revenues are included in “Supply and Logistics segment revenues” on our Condensed Consolidated Statements of Operations.</w:t>
      </w:r>
    </w:p>
    <w:p>
      <w:pPr>
        <w:spacing w:after="0" w:line="86"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8"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140" w:hanging="652"/>
        <w:spacing w:after="0" w:line="254" w:lineRule="auto"/>
        <w:tabs>
          <w:tab w:leader="none" w:pos="64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Revenues and purchases and related costs from related parties for 2019 include transactions with The Energy &amp; Minerals Group (“EMG”) and its subsidiaries through May 2019 and Occidental Petroleum Corporation (“Oxy”) and its subsidiaries through September 2019. Following transactions reducing EMG and Oxy’s ownership interest in AAP in May and September 2019, respectively, EMG and Oxy are no longer recognized as principal owners. See Note 17 to our 2019 Annual Report on Form 10-K for additional information.</w:t>
      </w:r>
    </w:p>
    <w:p>
      <w:pPr>
        <w:spacing w:after="0" w:line="27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134</w:t>
            </w:r>
          </w:p>
        </w:tc>
      </w:tr>
      <w:tr>
        <w:trPr>
          <w:trHeight w:val="257"/>
        </w:trPr>
        <w:tc>
          <w:tcPr>
            <w:tcW w:w="8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80" w:hanging="11"/>
        <w:spacing w:after="0" w:line="277" w:lineRule="auto"/>
        <w:rPr>
          <w:sz w:val="20"/>
          <w:szCs w:val="20"/>
          <w:color w:val="auto"/>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62" w:lineRule="exact"/>
        <w:rPr>
          <w:sz w:val="20"/>
          <w:szCs w:val="20"/>
          <w:color w:val="auto"/>
        </w:rPr>
      </w:pPr>
    </w:p>
    <w:p>
      <w:pPr>
        <w:ind w:right="100" w:hanging="11"/>
        <w:spacing w:after="0" w:line="263" w:lineRule="auto"/>
        <w:rPr>
          <w:sz w:val="20"/>
          <w:szCs w:val="20"/>
          <w:color w:val="auto"/>
        </w:rPr>
      </w:pPr>
      <w:r>
        <w:rPr>
          <w:rFonts w:ascii="Arial" w:cs="Arial" w:eastAsia="Arial" w:hAnsi="Arial"/>
          <w:sz w:val="18"/>
          <w:szCs w:val="18"/>
          <w:color w:val="auto"/>
        </w:rPr>
        <w:t>We have agreements to store and transport crude oil at posted tariff rates on pipelines or at facilities that are owned by equity method investees, in which we own a 50% interest. A portion of our commitment to transport is supported by crude oil buy/sell or other agreements with third parties with commensurate quantities.</w:t>
      </w:r>
    </w:p>
    <w:p>
      <w:pPr>
        <w:spacing w:after="0" w:line="18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At March 31, 2020, our estimated undiscounted reserve for environmental liabilities (including liabilities related to the Line 901 incident, as discussed further below) totaled $142 million, of which $89 million was classified as short-term and $53 million was classified as long-term. At December 31, 2019, our estimated undiscounted reserve for environmental liabilities (including liabilities related to the Line 901 incident) totaled $140 million, of which $60 million was classified as short-term and $80 million was classified as long-term. Such short- and long-term environmental liabilities are reflected in “Other current liabilities” and “Other long-term liabilities and deferred credits,” respectively, on our Condensed Consolidated Balance Sheets. At March 31, 2020, we had recorded receivables totaling $81 million for amounts probable of recovery under insurance and from third parties under indemnification agreements, of which $69 million was classified as short-term and $12 million was classified as long-term. At December 31, 2019, we had recorded $72 million of such receivables, of which $35 million was classified as short-term and $37 million was classified as long-term. Such short- and long-term receivables are reflected in “Trade accounts receivable and other receivables, net” and “Other long-term assets, net,” respectively,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12,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which was subsequently lifted,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No timeline has been established for the restart of Line 901 or Line</w:t>
      </w:r>
    </w:p>
    <w:p>
      <w:pPr>
        <w:spacing w:after="0" w:line="4" w:lineRule="exact"/>
        <w:rPr>
          <w:sz w:val="20"/>
          <w:szCs w:val="20"/>
          <w:color w:val="auto"/>
        </w:rPr>
      </w:pPr>
    </w:p>
    <w:p>
      <w:pPr>
        <w:jc w:val="both"/>
        <w:ind w:right="260" w:firstLine="8"/>
        <w:spacing w:after="0" w:line="323" w:lineRule="auto"/>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remaining uncompleted portions of the CAO, which primarily relate to returning Lines 901 and 903 to service, have been incorporated into the Consent Decree (defined and discussed below). Upon entry of the Consent Decree by the Court, we expect that the CAO will be closed out by PHMSA.</w:t>
      </w:r>
    </w:p>
    <w:p>
      <w:pPr>
        <w:spacing w:after="0" w:line="16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All potential claims by PHMSA against PAA arising out of the Line 901 failure would be settled pursuant to the Consent Decree discussed below.</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In April of 2019, the Prosecutors announced their intent to re-try the two felony discharge counts for which no jury verdict was returned. The strict liability animal taking count for which no jury verdict was returned has been dismissed. On October 7, 2019, upon motion from Plains, the court dismissed the two remaining felony counts and vacated a second trial on these counts.</w:t>
      </w:r>
    </w:p>
    <w:p>
      <w:pPr>
        <w:spacing w:after="0" w:line="191" w:lineRule="exact"/>
        <w:rPr>
          <w:sz w:val="20"/>
          <w:szCs w:val="20"/>
          <w:color w:val="auto"/>
        </w:rPr>
      </w:pPr>
    </w:p>
    <w:p>
      <w:pPr>
        <w:ind w:right="360" w:firstLine="648"/>
        <w:spacing w:after="0" w:line="293" w:lineRule="auto"/>
        <w:rPr>
          <w:sz w:val="20"/>
          <w:szCs w:val="20"/>
          <w:color w:val="auto"/>
        </w:rPr>
      </w:pPr>
      <w:r>
        <w:rPr>
          <w:rFonts w:ascii="Arial" w:cs="Arial" w:eastAsia="Arial" w:hAnsi="Arial"/>
          <w:sz w:val="16"/>
          <w:szCs w:val="16"/>
          <w:color w:val="auto"/>
        </w:rPr>
        <w:t>Also in late May of 2015,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Except in connection with the May 2016 Indictment and the 2019 Sentence, to date no criminal charges with respect to the Line 901 release have been brought against PAA or any of its affiliates, officers or employees.</w:t>
      </w:r>
    </w:p>
    <w:p>
      <w:pPr>
        <w:spacing w:after="0" w:line="16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The court originally certified three sub-classes of claimants and denied certification of the other proposed sub-class. On appeal, the Ninth Circuit Court of Appeals overturned the certification of one of the three sub-classes, the oil-industry sub-class, and the District Court subsequently dismissed the oil-industry sub-class representatives’ claims. The two remaining sub-classes include (i) commercial fishermen who landed fish in certain specified fishing blocks in the waters adjacent to Santa Barbara County or persons or businesses who resold commercial seafood landed in such areas; and (ii) residential beachfront properties on a beach and residential properties with a private easement to a beach where oil from the spill washed up. The court has tentatively set a trial date of September 1, 2020 for those two sub-classes.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9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four unitholder derivative lawsuits have been filed by certain purported investors in PAA against PAGP and certain of PAA’s affiliates,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Following the order dismissing the Texas Federal Court suits, a new derivative suit brought by different plaintiffs was filed in Delaware Chancery Court and subsequently dismissed without prejudice. Plaintiffs amended and refiled their complaint on June 3, 2019. All claims against the officers and directors of PAA and all affiliates of PAA, except PAGP, were dismissed with prejudice in January 2020. Consistent with and subject to the terms of our governing organizational documents (and to the extent applicable, insurance policies), we have indemnified and funded the defense costs of our officers and directors in connection with these lawsuits. We will vigorously defend the remaining derivative claim against PAGP.</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the foregoing, 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following federal and state agencies designated or authorized by law to act as trustees for the natural resources of the United States and the State of California (collectively, the “Trustees”): the United States Department of Interior, the National Oceanic and Atmospheric Administration, CDFW, the California Department of Parks and Recreation, the California State Lands Commission, and the Regents of the University of California. As part of the NRDA process, PAA and the Trustees jointly and independently planned and conducted a number of natural resource assessment activities related to the Line 901 incident. On March 13, 2020, the United States and the People of the State of California filed a civil complaint against Plains All American Pipeline, L.P. and Plains Pipeline L.P. along with a pre-negotiated settlement agreement in the form of a Consent Decree (the “Consent Decree”). The Consent Decree, which was pre-negotiated and signed by DOJ, PHMSA, EPA, CDFW, California Department of Parks and Recreation, California State Lands Commission, Office of the State Fire Marshal, Central Coast Regional Water Quality Control Board, and Regents of the University of California, will, if entered by the court, settle all of the claims asserted in the lawsuit. The Consent Decree would require Plains to pay $24 million in civil penalties and implement certain agreed-upon injunctive relief, and pay $22.325 million as compensation for injuries to, destruction of, loss of, or loss of use of natural resources resulting from the Line 901 incident. The Consent Decree is subject to a public notice and comment period that is set to expire on May 20, 2020, and review and approval by the Federal District Court for the Central District of California. We have included the costs associated with the Consent Decree settlement in the loss accrual described below.</w:t>
      </w:r>
    </w:p>
    <w:p>
      <w:pPr>
        <w:spacing w:after="0" w:line="16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Taking the foregoing into account, as of March 31, 2020, we estimate that the aggregate total costs we have incurred or will incur with respect to the Line 901 incident will be approximately $400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March 31, 2020, we had a remaining undiscounted gross liability of $90 million related to this event, of which approximately $80 million is presented in “Other current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March 31, 2020, we had collected, subject to customary reservations, $203 million out of the approximate $275 million of release costs that we believe are probable of recovery from insurance carriers, net of deductibles. Therefore, as of March 31, 2020, we have recognized a receivable of approximately $72 million for the portion of the release costs that we believe is probable of recovery from insurance, net of deductibles and amounts already collected. Of this amount, approximately $63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2019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1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9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8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2"/>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2"/>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83"/>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83"/>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8,022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March 31, 2020</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14,461</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15,549</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6,827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60" w:hanging="11"/>
        <w:spacing w:after="0" w:line="273" w:lineRule="auto"/>
        <w:rPr>
          <w:sz w:val="20"/>
          <w:szCs w:val="20"/>
          <w:color w:val="auto"/>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to our Consolidated Financial Statements included in Part IV of our 2019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70" w:lineRule="exact"/>
        <w:rPr>
          <w:sz w:val="20"/>
          <w:szCs w:val="20"/>
          <w:color w:val="auto"/>
        </w:rPr>
      </w:pPr>
    </w:p>
    <w:p>
      <w:pPr>
        <w:ind w:right="100" w:hanging="11"/>
        <w:spacing w:after="0" w:line="311" w:lineRule="auto"/>
        <w:rPr>
          <w:sz w:val="20"/>
          <w:szCs w:val="20"/>
          <w:color w:val="auto"/>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ectPr>
          <w:pgSz w:w="11900" w:h="16838" w:orient="portrait"/>
          <w:cols w:equalWidth="0" w:num="2">
            <w:col w:w="140" w:space="520"/>
            <w:col w:w="10520"/>
          </w:cols>
          <w:pgMar w:left="32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PAGP (in millions):</w:t>
      </w:r>
    </w:p>
    <w:p>
      <w:pPr>
        <w:spacing w:after="0" w:line="271"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13335</wp:posOffset>
            </wp:positionV>
            <wp:extent cx="13798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9" w:lineRule="exact"/>
        <w:rPr>
          <w:sz w:val="20"/>
          <w:szCs w:val="20"/>
          <w:color w:val="auto"/>
        </w:rPr>
      </w:pPr>
    </w:p>
    <w:p>
      <w:pPr>
        <w:ind w:left="9440"/>
        <w:spacing w:after="0"/>
        <w:tabs>
          <w:tab w:leader="none" w:pos="105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9060" w:val="left"/>
          <w:tab w:leader="none" w:pos="9640" w:val="left"/>
          <w:tab w:leader="none" w:pos="10200" w:val="left"/>
          <w:tab w:leader="none" w:pos="10800" w:val="left"/>
        </w:tabs>
        <w:rPr>
          <w:sz w:val="20"/>
          <w:szCs w:val="20"/>
          <w:color w:val="auto"/>
        </w:rPr>
      </w:pPr>
      <w:r>
        <w:rPr>
          <w:rFonts w:ascii="Arial" w:cs="Arial" w:eastAsia="Arial" w:hAnsi="Arial"/>
          <w:sz w:val="18"/>
          <w:szCs w:val="18"/>
          <w:color w:val="auto"/>
        </w:rPr>
        <w:t>Segment Adjusted EBITDA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793</w:t>
        <w:tab/>
        <w:t>$</w:t>
      </w:r>
      <w:r>
        <w:rPr>
          <w:sz w:val="20"/>
          <w:szCs w:val="20"/>
          <w:color w:val="auto"/>
        </w:rPr>
        <w:tab/>
      </w:r>
      <w:r>
        <w:rPr>
          <w:rFonts w:ascii="Arial" w:cs="Arial" w:eastAsia="Arial" w:hAnsi="Arial"/>
          <w:sz w:val="15"/>
          <w:szCs w:val="15"/>
          <w:color w:val="auto"/>
        </w:rPr>
        <w:t>861</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Gains/(losses) from derivative activities, net of inventory valuation adjustments </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line="213" w:lineRule="auto"/>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p>
      <w:pPr>
        <w:ind w:left="20"/>
        <w:spacing w:after="0"/>
        <w:rPr>
          <w:sz w:val="20"/>
          <w:szCs w:val="20"/>
          <w:color w:val="auto"/>
        </w:rPr>
      </w:pPr>
      <w:r>
        <w:rPr>
          <w:rFonts w:ascii="Arial" w:cs="Arial" w:eastAsia="Arial" w:hAnsi="Arial"/>
          <w:sz w:val="18"/>
          <w:szCs w:val="18"/>
          <w:color w:val="auto"/>
        </w:rPr>
        <w:t>Unallocated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Gains/(losses) on asset sales and asset impairments,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impairment losses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 on/(impairment of) investments in unconsolidated entities,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Income/(loss) before tax</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(expense)/benefit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(income)/loss attributable to noncontrolling interests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 attributable to PAGP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24599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60" w:hanging="1155"/>
        <w:spacing w:after="0"/>
        <w:tabs>
          <w:tab w:leader="none" w:pos="1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(12)</w:t>
      </w:r>
    </w:p>
    <w:p>
      <w:pPr>
        <w:spacing w:after="0" w:line="70" w:lineRule="exact"/>
        <w:rPr>
          <w:sz w:val="20"/>
          <w:szCs w:val="20"/>
          <w:color w:val="auto"/>
        </w:rPr>
      </w:pPr>
    </w:p>
    <w:p>
      <w:pPr>
        <w:ind w:left="1820" w:hanging="1215"/>
        <w:spacing w:after="0"/>
        <w:tabs>
          <w:tab w:leader="none" w:pos="1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74</w:t>
      </w:r>
    </w:p>
    <w:p>
      <w:pPr>
        <w:spacing w:after="0" w:line="63" w:lineRule="exact"/>
        <w:rPr>
          <w:sz w:val="20"/>
          <w:szCs w:val="20"/>
          <w:color w:val="auto"/>
        </w:rPr>
      </w:pPr>
    </w:p>
    <w:p>
      <w:pPr>
        <w:ind w:left="1820" w:hanging="1298"/>
        <w:spacing w:after="0"/>
        <w:tabs>
          <w:tab w:leader="none" w:pos="1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21</w:t>
      </w:r>
    </w:p>
    <w:p>
      <w:pPr>
        <w:spacing w:after="0" w:line="63" w:lineRule="exact"/>
        <w:rPr>
          <w:sz w:val="20"/>
          <w:szCs w:val="20"/>
          <w:color w:val="auto"/>
        </w:rPr>
      </w:pPr>
    </w:p>
    <w:p>
      <w:pPr>
        <w:ind w:left="1920" w:hanging="1150"/>
        <w:spacing w:after="0"/>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w:t>
      </w:r>
    </w:p>
    <w:p>
      <w:pPr>
        <w:spacing w:after="0" w:line="63" w:lineRule="exact"/>
        <w:rPr>
          <w:sz w:val="20"/>
          <w:szCs w:val="20"/>
          <w:color w:val="auto"/>
        </w:rPr>
      </w:pPr>
    </w:p>
    <w:p>
      <w:pPr>
        <w:ind w:left="1840" w:hanging="1145"/>
        <w:spacing w:after="0"/>
        <w:tabs>
          <w:tab w:leader="none" w:pos="1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w:t>
      </w:r>
    </w:p>
    <w:p>
      <w:pPr>
        <w:spacing w:after="0" w:line="63" w:lineRule="exact"/>
        <w:rPr>
          <w:sz w:val="20"/>
          <w:szCs w:val="20"/>
          <w:color w:val="auto"/>
        </w:rPr>
      </w:pPr>
    </w:p>
    <w:p>
      <w:pPr>
        <w:ind w:left="1840" w:hanging="1160"/>
        <w:spacing w:after="0"/>
        <w:tabs>
          <w:tab w:leader="none" w:pos="1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w:t>
      </w:r>
    </w:p>
    <w:p>
      <w:pPr>
        <w:spacing w:after="0" w:line="63" w:lineRule="exact"/>
        <w:rPr>
          <w:rFonts w:ascii="Arial" w:cs="Arial" w:eastAsia="Arial" w:hAnsi="Arial"/>
          <w:sz w:val="18"/>
          <w:szCs w:val="18"/>
          <w:color w:val="auto"/>
        </w:rPr>
      </w:pPr>
    </w:p>
    <w:p>
      <w:pPr>
        <w:ind w:left="1820" w:hanging="1125"/>
        <w:spacing w:after="0"/>
        <w:tabs>
          <w:tab w:leader="none" w:pos="1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ind w:left="1840" w:hanging="1145"/>
        <w:spacing w:after="0"/>
        <w:tabs>
          <w:tab w:leader="none" w:pos="1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w:t>
      </w:r>
    </w:p>
    <w:p>
      <w:pPr>
        <w:spacing w:after="0" w:line="63" w:lineRule="exact"/>
        <w:rPr>
          <w:sz w:val="20"/>
          <w:szCs w:val="20"/>
          <w:color w:val="auto"/>
        </w:rPr>
      </w:pPr>
    </w:p>
    <w:p>
      <w:pPr>
        <w:ind w:left="1660" w:hanging="1145"/>
        <w:spacing w:after="0"/>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(136)</w:t>
      </w:r>
    </w:p>
    <w:p>
      <w:pPr>
        <w:spacing w:after="0" w:line="75" w:lineRule="exact"/>
        <w:rPr>
          <w:sz w:val="20"/>
          <w:szCs w:val="20"/>
          <w:color w:val="auto"/>
        </w:rPr>
      </w:pPr>
    </w:p>
    <w:p>
      <w:pPr>
        <w:ind w:left="1840" w:hanging="1325"/>
        <w:spacing w:after="0"/>
        <w:tabs>
          <w:tab w:leader="none" w:pos="1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w:t>
      </w:r>
    </w:p>
    <w:p>
      <w:pPr>
        <w:spacing w:after="0" w:line="6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(2,515)—</w:t>
      </w:r>
    </w:p>
    <w:p>
      <w:pPr>
        <w:spacing w:after="0" w:line="63" w:lineRule="exact"/>
        <w:rPr>
          <w:sz w:val="20"/>
          <w:szCs w:val="20"/>
          <w:color w:val="auto"/>
        </w:rPr>
      </w:pPr>
    </w:p>
    <w:p>
      <w:pPr>
        <w:ind w:left="1740" w:hanging="1135"/>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267</w:t>
      </w:r>
    </w:p>
    <w:p>
      <w:pPr>
        <w:spacing w:after="0" w:line="63" w:lineRule="exact"/>
        <w:rPr>
          <w:sz w:val="20"/>
          <w:szCs w:val="20"/>
          <w:color w:val="auto"/>
        </w:rPr>
      </w:pPr>
    </w:p>
    <w:p>
      <w:pPr>
        <w:ind w:left="1660" w:hanging="1145"/>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(101)</w:t>
      </w:r>
    </w:p>
    <w:p>
      <w:pPr>
        <w:spacing w:after="0" w:line="75" w:lineRule="exact"/>
        <w:rPr>
          <w:sz w:val="20"/>
          <w:szCs w:val="20"/>
          <w:color w:val="auto"/>
        </w:rPr>
      </w:pPr>
    </w:p>
    <w:p>
      <w:pPr>
        <w:ind w:left="1820" w:hanging="1215"/>
        <w:spacing w:after="0"/>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25</w:t>
      </w:r>
    </w:p>
    <w:p>
      <w:pPr>
        <w:spacing w:after="0" w:line="77"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8"/>
          <w:szCs w:val="18"/>
          <w:color w:val="auto"/>
        </w:rPr>
        <w:t>(2,826)</w:t>
      </w:r>
      <w:r>
        <w:rPr>
          <w:sz w:val="20"/>
          <w:szCs w:val="20"/>
          <w:color w:val="auto"/>
        </w:rPr>
        <w:tab/>
      </w:r>
      <w:r>
        <w:rPr>
          <w:rFonts w:ascii="Arial" w:cs="Arial" w:eastAsia="Arial" w:hAnsi="Arial"/>
          <w:sz w:val="18"/>
          <w:szCs w:val="18"/>
          <w:color w:val="auto"/>
        </w:rPr>
        <w:t>993</w:t>
      </w:r>
    </w:p>
    <w:p>
      <w:pPr>
        <w:spacing w:after="0" w:line="63" w:lineRule="exact"/>
        <w:rPr>
          <w:sz w:val="20"/>
          <w:szCs w:val="20"/>
          <w:color w:val="auto"/>
        </w:rPr>
      </w:pPr>
    </w:p>
    <w:p>
      <w:pPr>
        <w:ind w:left="1760" w:hanging="1170"/>
        <w:spacing w:after="0"/>
        <w:tabs>
          <w:tab w:leader="none" w:pos="1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(79)</w:t>
      </w:r>
    </w:p>
    <w:p>
      <w:pPr>
        <w:spacing w:after="0" w:line="99"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(2,692)</w:t>
      </w:r>
      <w:r>
        <w:rPr>
          <w:rFonts w:ascii="Arial" w:cs="Arial" w:eastAsia="Arial" w:hAnsi="Arial"/>
          <w:sz w:val="15"/>
          <w:szCs w:val="15"/>
          <w:color w:val="auto"/>
        </w:rPr>
        <w:t>914</w:t>
      </w:r>
    </w:p>
    <w:p>
      <w:pPr>
        <w:spacing w:after="0" w:line="6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2,111</w:t>
      </w:r>
      <w:r>
        <w:rPr>
          <w:rFonts w:ascii="Arial" w:cs="Arial" w:eastAsia="Arial" w:hAnsi="Arial"/>
          <w:sz w:val="17"/>
          <w:szCs w:val="17"/>
          <w:color w:val="auto"/>
        </w:rPr>
        <w:t>(767)</w:t>
      </w:r>
    </w:p>
    <w:p>
      <w:pPr>
        <w:spacing w:after="0" w:line="77" w:lineRule="exact"/>
        <w:rPr>
          <w:sz w:val="20"/>
          <w:szCs w:val="20"/>
          <w:color w:val="auto"/>
        </w:rPr>
      </w:pPr>
    </w:p>
    <w:p>
      <w:pPr>
        <w:spacing w:after="0"/>
        <w:tabs>
          <w:tab w:leader="none" w:pos="500" w:val="left"/>
          <w:tab w:leader="none" w:pos="1120" w:val="left"/>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(581)</w:t>
        <w:tab/>
        <w:t>$</w:t>
      </w:r>
      <w:r>
        <w:rPr>
          <w:sz w:val="20"/>
          <w:szCs w:val="20"/>
          <w:color w:val="auto"/>
        </w:rPr>
        <w:tab/>
      </w: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13798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140"/>
          </w:cols>
          <w:pgMar w:left="320" w:top="125" w:right="35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Represents adjustments utilized by our CODM in the evaluation of segment results.</w:t>
      </w:r>
    </w:p>
    <w:p>
      <w:pPr>
        <w:sectPr>
          <w:pgSz w:w="11900" w:h="16838" w:orient="portrait"/>
          <w:cols w:equalWidth="0" w:num="1">
            <w:col w:w="11220"/>
          </w:cols>
          <w:pgMar w:left="320" w:top="125" w:right="3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Includes our proportionate share of the depreciation and amortization of unconsolidated entities.</w:t>
      </w:r>
    </w:p>
    <w:p>
      <w:pPr>
        <w:spacing w:after="0" w:line="117" w:lineRule="exact"/>
        <w:rPr>
          <w:sz w:val="20"/>
          <w:szCs w:val="20"/>
          <w:color w:val="auto"/>
        </w:rPr>
      </w:pPr>
    </w:p>
    <w:p>
      <w:pPr>
        <w:ind w:lef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87"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left="660" w:right="20" w:hanging="652"/>
        <w:spacing w:after="0" w:line="275" w:lineRule="auto"/>
        <w:tabs>
          <w:tab w:leader="none" w:pos="648"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Includes equity-indexed compensation expense associated with awards that will or may be settled in PAA common units.</w:t>
      </w:r>
    </w:p>
    <w:p>
      <w:pPr>
        <w:spacing w:after="0" w:line="117"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62" w:lineRule="exact"/>
        <w:rPr>
          <w:sz w:val="20"/>
          <w:szCs w:val="20"/>
          <w:color w:val="auto"/>
        </w:rPr>
      </w:pPr>
    </w:p>
    <w:p>
      <w:pPr>
        <w:ind w:left="20" w:right="60" w:hanging="11"/>
        <w:spacing w:after="0" w:line="286" w:lineRule="auto"/>
        <w:rPr>
          <w:sz w:val="20"/>
          <w:szCs w:val="20"/>
          <w:color w:val="auto"/>
        </w:rPr>
      </w:pPr>
      <w:r>
        <w:rPr>
          <w:rFonts w:ascii="Arial" w:cs="Arial" w:eastAsia="Arial" w:hAnsi="Arial"/>
          <w:sz w:val="17"/>
          <w:szCs w:val="17"/>
          <w:color w:val="auto"/>
        </w:rPr>
        <w:t>Includes acquisition-related expenses associated with the Felix Midstream LLC acquisition. See Note 14 for additional discussion. An adjustment for these non-recurring expenses is included in the calculation of Segment Adjusted EBITDA for the three months ended March 31, 2020 as our CODM does not view such expenses as integral to understanding our core segment operating performance.</w:t>
      </w:r>
    </w:p>
    <w:p>
      <w:pPr>
        <w:spacing w:after="0" w:line="200"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14—Acquisitions, Divestitures and Asset Impairments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i w:val="1"/>
          <w:iCs w:val="1"/>
          <w:color w:val="auto"/>
        </w:rPr>
        <w:t xml:space="preserve">Felix Midstream LLC. </w:t>
      </w:r>
      <w:r>
        <w:rPr>
          <w:rFonts w:ascii="Arial" w:cs="Arial" w:eastAsia="Arial" w:hAnsi="Arial"/>
          <w:sz w:val="16"/>
          <w:szCs w:val="16"/>
          <w:color w:val="auto"/>
        </w:rPr>
        <w:t>In February 2020, we acquired Felix Midstream LLC, now known as FM Gathering LLC (“FM Gathering”) from Felix</w:t>
      </w:r>
      <w:r>
        <w:rPr>
          <w:rFonts w:ascii="Arial" w:cs="Arial" w:eastAsia="Arial" w:hAnsi="Arial"/>
          <w:sz w:val="16"/>
          <w:szCs w:val="16"/>
          <w:i w:val="1"/>
          <w:iCs w:val="1"/>
          <w:color w:val="auto"/>
        </w:rPr>
        <w:t xml:space="preserve"> </w:t>
      </w:r>
      <w:r>
        <w:rPr>
          <w:rFonts w:ascii="Arial" w:cs="Arial" w:eastAsia="Arial" w:hAnsi="Arial"/>
          <w:sz w:val="16"/>
          <w:szCs w:val="16"/>
          <w:color w:val="auto"/>
        </w:rPr>
        <w:t>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primarily included in our Transportation and Supply and Logistics segments. This acquisition was accounted for using the acquisition method of accounting and the determination of the fair value of the assets acquired and liabilities assumed has been estimated in accordance with the applicable accounting guidance. The determination of these values is preliminary and we expect to finalize our fair value determination in 2020. The assets acquired primarily consisted of property and equipment of $115 million and intangible assets of $187 million. The preliminary fair value of the tangible assets is a Level 3 measurement in the fair value hierarchy and was determined using a cost approach. The cost approach was based on costs incurred on similar recent construction projects. The preliminary fair value of the intangible assets is also a Level 3 measurement in the fair value hierarchy and was determined by applying a discounted cash flow approach. Such approach utilized discount rates varying from 15% to 16%, based on our estimate of the risk that a theoretical market participant would assign to the respective intangible assets.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i w:val="1"/>
          <w:iCs w:val="1"/>
          <w:color w:val="auto"/>
        </w:rPr>
        <w:t xml:space="preserve">Saddlehorn Pipeline Company, LLC. </w:t>
      </w:r>
      <w:r>
        <w:rPr>
          <w:rFonts w:ascii="Arial" w:cs="Arial" w:eastAsia="Arial" w:hAnsi="Arial"/>
          <w:sz w:val="17"/>
          <w:szCs w:val="17"/>
          <w:color w:val="auto"/>
        </w:rPr>
        <w:t>In February 2020, we sold a 10% ownership interest in Saddlehorn Pipeline Company, LLC for proceeds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$78 million, including working capital adjustments. We recorded a gain of approximately $21 million related to this sale, which is included in “Gain on/(impairment of) investments in unconsolidated entities, net” on our Condensed Consolidated Statement of Operations.</w:t>
      </w:r>
    </w:p>
    <w:p>
      <w:pPr>
        <w:spacing w:after="0" w:line="192" w:lineRule="exact"/>
        <w:rPr>
          <w:sz w:val="20"/>
          <w:szCs w:val="20"/>
          <w:color w:val="auto"/>
        </w:rPr>
      </w:pPr>
    </w:p>
    <w:p>
      <w:pPr>
        <w:jc w:val="both"/>
        <w:ind w:right="340" w:firstLine="648"/>
        <w:spacing w:after="0" w:line="248" w:lineRule="auto"/>
        <w:rPr>
          <w:sz w:val="20"/>
          <w:szCs w:val="20"/>
          <w:color w:val="auto"/>
        </w:rPr>
      </w:pPr>
      <w:r>
        <w:rPr>
          <w:rFonts w:ascii="Arial" w:cs="Arial" w:eastAsia="Arial" w:hAnsi="Arial"/>
          <w:sz w:val="18"/>
          <w:szCs w:val="18"/>
          <w:i w:val="1"/>
          <w:iCs w:val="1"/>
          <w:color w:val="auto"/>
        </w:rPr>
        <w:t xml:space="preserve">Assets Held For Sale. </w:t>
      </w:r>
      <w:r>
        <w:rPr>
          <w:rFonts w:ascii="Arial" w:cs="Arial" w:eastAsia="Arial" w:hAnsi="Arial"/>
          <w:sz w:val="18"/>
          <w:szCs w:val="18"/>
          <w:color w:val="auto"/>
        </w:rPr>
        <w:t>As of March 31, 2020, we classified approximately $333 million as assets held for sale on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(in “Other current assets”). The assets held for sale, which were valued based on fair value less costs to sell, are primarily property and equipment, are included in our Facilities segment and are related to transactions to sell our interests in:</w:t>
      </w:r>
    </w:p>
    <w:p>
      <w:pPr>
        <w:spacing w:after="0" w:line="209"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7"/>
          <w:szCs w:val="17"/>
          <w:i w:val="1"/>
          <w:iCs w:val="1"/>
          <w:color w:val="auto"/>
        </w:rPr>
      </w:pPr>
      <w:r>
        <w:rPr>
          <w:rFonts w:ascii="Arial" w:cs="Arial" w:eastAsia="Arial" w:hAnsi="Arial"/>
          <w:sz w:val="17"/>
          <w:szCs w:val="17"/>
          <w:color w:val="auto"/>
        </w:rPr>
        <w:t>certain NGL terminals, which closed in April 2020 for proceeds of approximately $163 million, subject to certain adjustments; and</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1" w:lineRule="exact"/>
        <w:rPr>
          <w:rFonts w:ascii="Arial" w:cs="Arial" w:eastAsia="Arial" w:hAnsi="Arial"/>
          <w:sz w:val="17"/>
          <w:szCs w:val="17"/>
          <w:i w:val="1"/>
          <w:iCs w:val="1"/>
          <w:color w:val="auto"/>
        </w:rPr>
      </w:pPr>
    </w:p>
    <w:p>
      <w:pPr>
        <w:ind w:left="5540"/>
        <w:spacing w:after="0"/>
        <w:rPr>
          <w:rFonts w:ascii="Arial" w:cs="Arial" w:eastAsia="Arial" w:hAnsi="Arial"/>
          <w:sz w:val="17"/>
          <w:szCs w:val="17"/>
          <w:i w:val="1"/>
          <w:iCs w:val="1"/>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80" w:hanging="324"/>
        <w:spacing w:after="0" w:line="263" w:lineRule="auto"/>
        <w:tabs>
          <w:tab w:leader="none" w:pos="975"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certain Los Angeles Basin (“LA Basin”) terminals. In January 2020, we signed a definitive agreement to sell certain of our LA Basin crude oil terminals for $195 million, subject to certain adjustments. We expect the transaction to close in the second half of 2020, subject to customary closing conditions, including the receipt of regulatory approvals.</w:t>
      </w:r>
    </w:p>
    <w:p>
      <w:pPr>
        <w:spacing w:after="0" w:line="21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As a result of these reclassifications to assets held for sale, we recognized non-cash impairment losses of approximately $167 million. Such impairment losses are reflected in “(Gains)/losses on asset sales and asset impairments, net” on our Condensed Consolidated Statement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 (Held and Used)</w:t>
      </w:r>
    </w:p>
    <w:p>
      <w:pPr>
        <w:spacing w:after="0" w:line="25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During the first quarter of 2020, we recognized approximately $489 million of non-cash impairment losses related to certain pipeline and other long-lived assets included in our Transportation and Facilities segments, along with certain of our investments in unconsolidated entities. Of these losses, approximately $446 million is reflected in “(Gains)/losses on asset sales and asset impairments, net” with the remainder reflected in “Gain on/(impairment of) investments in unconsolidated entities, net” on our Condensed Consolidated Statement of Operations.</w:t>
      </w:r>
    </w:p>
    <w:p>
      <w:pPr>
        <w:spacing w:after="0" w:line="19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current macroeconomic and geopolitical conditions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volumes (based on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2019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are a Delaware limited partnership formed on July 17, 2013 that has elected to be taxed as a corporation for United States federal income tax purposes. As of March 31, 2020, our sole cash-generating assets consisted of (i) a 100% managing member interest in Plains All American GP LLC (“GP LLC”) that has also elected to be taxed as a corporation for United States federal income tax purposes and (ii) an approximate 75% limited partner interest in AAP through our direct ownership of approximately 183.2 million AAP units and indirect ownership of approximately 1.0 million AAP units through GP LLC. GP LLC is a Delaware limited liability company that also holds the non-economic general partner interest in AAP. AAP is a Delaware limited partnership that, as of March 31, 2020, directly owned a limited partner interest in PAA through its ownership of approximately 248.4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6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PAA’s operations are conducted directly and indirectly through its operating subsidiaries and are managed through three operating segments: Transportation, Facilities and Supply and Logistics. See “—Results of Operations— 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&amp; Outlook</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During the quarter, COVID-19 escalated into a global pandemic, which led to widespread shelter-in-place or similar requirements throughout North American and global markets. The resulting energy demand destruction constitutes a significant near-term challenge facing the energy industry, specifically the uncertainty around not only the magnitude and duration of the demand destruction but also the timing and extent of a recovery. Industry estimates indicate that global demand for crude oil in the second quarter of 2020 could be in the range of 20% to 25% less than the second quarter of 2019.</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North American markets, these developments have resulted in an immediate industry response, led by the U.S. refining sector quickly reducing crude runs and producers quickly reducing drilling and completion activities and production levels. In addition, the Organization of Petroleum Exporting Countries (“OPEC”) and other countries responded with plans to curtail production. However, all of these actions have not been sufficient to balance the market. Demand reductions have been faster and deeper than supply reductions and the resulting over-supply of crude oil is impacting the entire energy supply chain, causing remaining storage capacity to fill and producers to significantly reduce activity and/or shut in production in most, if not all, key basins. While we do not believe all of these actions will rebalance the market in the near term, they should help with the longer-term process of rebalancing the market, which will depend heavily on the speed with which energy demand recovers, the ultimate level of demand recovery and the size of the global supply surplus at the point in time when demand levels begin to exceed supply additions.</w:t>
      </w:r>
    </w:p>
    <w:p>
      <w:pPr>
        <w:spacing w:after="0" w:line="20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situation continues to evolve on a daily basis and it is difficult to gauge the level of shut-ins, but at this time we expect storage in key market hubs to fill by June. With inventories for both crude oil and gasoline in the U.S. at historically high levels, the inventory overhang combined with the potential for a slow recovery of demand could result in a crude oil price environment that makes it difficult to achieve increased levels of drilling activity and production in the U.S. for the balance of 2020 and potentially into 2021. These market dynamics will have a negative impact on our business relative to pre-pandemic levels, with the impacts in 2021 potentially being more pronounced than in 2020. On May 5, 2020, we issued revised 2020 guidance reflecting our expectations for business performance in the current market environment. Our guidance represents estimates that we believe are reasonable based on market conditions and expectations at the time, but we can provide no assurance that our estimates will be accurate and our actual results could be materially worse than such estimates.</w:t>
      </w: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response to these current dynamic and uncertain market conditions, on April 7, 2020, we issued a press release announcing a number of actions taken in order to further strengthen our balance sheet and further enhance our liquidity and long-term financial flexibility. These actions include significantly reducing and continuing to challenge our capital program, reducing the amount of our common distribution payable in May 2020, progressing asset sales, and reducing costs, while remaining focused on operating safely and responsibly.</w:t>
      </w:r>
    </w:p>
    <w:p>
      <w:pPr>
        <w:spacing w:after="0" w:line="21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Specifically, we announced the reduction of our 2020/2021 capital program by $750 million, or 33%, and we decreased PAA’s common unit distribution and our Class A share distribution payable in May 2020 by 50%, which reflects a reduction of $525 million on an annualized basis. We completed an additional approximately $165 million asset sale on April 1, 2020, which resulted in year-to-date assets sale proceeds through such date of approximately $245 million (which amount excludes a previously announced approximately $195 million asset sale that remains under a definitive agreement and is expected to close later in the year). While all of these actions should contribute towards a stronger balance sheet and should enhance our liquidity and long-term financial security, we can provide no assurance that we will be able to effect certain future actions (such as capital reductions, asset sales and expense reductions) and additional actions may be necessary to achieve our balance sheet, liquidity and financial security objectives (see Part II, Item 1A. “Risk Factors”).</w:t>
      </w:r>
    </w:p>
    <w:p>
      <w:pPr>
        <w:spacing w:after="0" w:line="219"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While some modifications in our operations have been necessary to deal with risks associated with the COVID-19 pandemic, we have not experienced any material constraints in our ability to continue our essential business functions and have not incurred any significant additional operating costs as a result of the pandemic, including costs associated with navigating the applicable shelter-in-place or similar restrictions and implementing our business continuity plans. We remain focused on the health and safety of our workforce, and have modified our operations in ways that we believe are prudent and appropriate in order to protect our employees while continuing to operate our assets in an effective and responsible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macroeconomic and industry specific challenges discussed above have resulted in a number of impairment charges recognized during the first quarter as discussed further below. See “—Liquidity and Capital Resources” and Part II, Item 1A. “Risk Factors” for additional discussion of the expected and potential impact of COVID-19 and related market conditions on our business.</w:t>
      </w:r>
    </w:p>
    <w:p>
      <w:pPr>
        <w:spacing w:after="0" w:line="211"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During the first three months of 2020, we recognized a net loss of $2.7 billion as compared to net income of $914 million recognized during the first three months of 2019. The net loss for the period was driven by goodwill impairment losses of $2.5 billion and was also impacted by non-cash impairment charges of approximately $655 million related to the write-down of certain pipeline and other long-lived assets, certain of our investments in unconsolidated entities, and assets upon classification as held for sale. In addition, we recognized approximately $232 million of inventory valuation adjustments due to declines in commodity prices during the first quarter of 2020.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for the comparative period were also impacted by:</w:t>
      </w:r>
    </w:p>
    <w:p>
      <w:pPr>
        <w:spacing w:after="0" w:line="239" w:lineRule="exact"/>
        <w:rPr>
          <w:sz w:val="20"/>
          <w:szCs w:val="20"/>
          <w:color w:val="auto"/>
        </w:rPr>
      </w:pPr>
    </w:p>
    <w:p>
      <w:pPr>
        <w:ind w:left="1300" w:hanging="320"/>
        <w:spacing w:after="0"/>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Less favorable results from our Supply and Logistics segment due to less favorable crude oil differentials and lower NGL margins;</w:t>
      </w:r>
    </w:p>
    <w:p>
      <w:pPr>
        <w:spacing w:after="0" w:line="263" w:lineRule="exact"/>
        <w:rPr>
          <w:rFonts w:ascii="Arial" w:cs="Arial" w:eastAsia="Arial" w:hAnsi="Arial"/>
          <w:sz w:val="17"/>
          <w:szCs w:val="17"/>
          <w:color w:val="auto"/>
        </w:rPr>
      </w:pPr>
    </w:p>
    <w:p>
      <w:pPr>
        <w:ind w:left="1300" w:right="280" w:hanging="320"/>
        <w:spacing w:after="0" w:line="308" w:lineRule="auto"/>
        <w:tabs>
          <w:tab w:leader="none" w:pos="12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Higher depreciation and amortization expense in the 2020 period primarily due to additional depreciation expense associated with the completion of various capital expansion projects and an adjustment to the useful lives of certain assets;</w:t>
      </w:r>
    </w:p>
    <w:p>
      <w:pPr>
        <w:spacing w:after="0" w:line="173" w:lineRule="exact"/>
        <w:rPr>
          <w:rFonts w:ascii="Arial" w:cs="Arial" w:eastAsia="Arial" w:hAnsi="Arial"/>
          <w:sz w:val="17"/>
          <w:szCs w:val="17"/>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Unfavorable foreign currency impacts of $59 million recognized in “Other income/(expense)” in the 2020 period;</w:t>
      </w:r>
    </w:p>
    <w:p>
      <w:pPr>
        <w:spacing w:after="0" w:line="252" w:lineRule="exact"/>
        <w:rPr>
          <w:rFonts w:ascii="Arial" w:cs="Arial" w:eastAsia="Arial" w:hAnsi="Arial"/>
          <w:sz w:val="18"/>
          <w:szCs w:val="18"/>
          <w:color w:val="auto"/>
        </w:rPr>
      </w:pPr>
    </w:p>
    <w:p>
      <w:pPr>
        <w:jc w:val="both"/>
        <w:ind w:left="1300" w:right="280" w:hanging="320"/>
        <w:spacing w:after="0" w:line="259"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gain of $21 million recognized in the current period related to the sale of a portion of our interest in Saddlehorn Pipeline Company, LLC, compared to a non-cash gain of $267 million recognized in the 2019 period related to a fair value adjustment resulting from the accounting for the contribution of our undivided joint interest in the Capline pipeline system for an equity interest in Capline Pipeline Company LLC; and</w:t>
      </w:r>
    </w:p>
    <w:p>
      <w:pPr>
        <w:spacing w:after="0" w:line="213" w:lineRule="exact"/>
        <w:rPr>
          <w:rFonts w:ascii="Arial" w:cs="Arial" w:eastAsia="Arial" w:hAnsi="Arial"/>
          <w:sz w:val="18"/>
          <w:szCs w:val="18"/>
          <w:color w:val="auto"/>
        </w:rPr>
      </w:pPr>
    </w:p>
    <w:p>
      <w:pPr>
        <w:ind w:left="1300" w:right="60" w:hanging="320"/>
        <w:spacing w:after="0" w:line="27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income tax benefit for the first quarter of 2020 due to the impact of lower earnings at PAA, including goodwill impairment losses, on income attributable to PAGP.</w:t>
      </w:r>
    </w:p>
    <w:p>
      <w:pPr>
        <w:spacing w:after="0" w:line="19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invested $352 million in midstream infrastructure projects during the three months ended March 31, 2020, which primarily related to projects under development in the Permian Basin. Additionally, during the first quarter of 2020, we acquired approximately $308 million of assets, which primarily included a crude oil gathering system located in the Delaware Basin. See the “—Acquisitions and Capital Projects” section below for additional information.</w:t>
      </w:r>
    </w:p>
    <w:p>
      <w:pPr>
        <w:spacing w:after="0" w:line="214"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We also paid approximately $299 million of cash distributions to our Class A shareholders and noncontrolling interests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298"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capital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20"/>
              <w:spacing w:after="0"/>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 (2)</w:t>
            </w:r>
          </w:p>
        </w:tc>
        <w:tc>
          <w:tcPr>
            <w:tcW w:w="940" w:type="dxa"/>
            <w:vAlign w:val="bottom"/>
          </w:tcPr>
          <w:p>
            <w:pPr>
              <w:spacing w:after="0"/>
              <w:rPr>
                <w:sz w:val="23"/>
                <w:szCs w:val="23"/>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351</w:t>
            </w: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(2)</w:t>
            </w:r>
          </w:p>
        </w:tc>
        <w:tc>
          <w:tcPr>
            <w:tcW w:w="9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46</w:t>
            </w:r>
          </w:p>
        </w:tc>
      </w:tr>
      <w:tr>
        <w:trPr>
          <w:trHeight w:val="237"/>
        </w:trPr>
        <w:tc>
          <w:tcPr>
            <w:tcW w:w="824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397</w:t>
            </w: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220" w:hanging="11"/>
        <w:spacing w:after="0" w:line="277" w:lineRule="auto"/>
        <w:rPr>
          <w:sz w:val="20"/>
          <w:szCs w:val="20"/>
          <w:color w:val="auto"/>
        </w:rPr>
      </w:pPr>
      <w:r>
        <w:rPr>
          <w:rFonts w:ascii="Arial" w:cs="Arial" w:eastAsia="Arial" w:hAnsi="Arial"/>
          <w:sz w:val="18"/>
          <w:szCs w:val="18"/>
          <w:color w:val="auto"/>
        </w:rPr>
        <w:t>Contributions to unconsolidated entities related to expansion projects of such entities are recognized in “Expansion capital.” We account for our investments in such entities under the equity method of accounting.</w:t>
      </w:r>
    </w:p>
    <w:p>
      <w:pPr>
        <w:spacing w:after="0" w:line="62" w:lineRule="exact"/>
        <w:rPr>
          <w:sz w:val="20"/>
          <w:szCs w:val="20"/>
          <w:color w:val="auto"/>
        </w:rPr>
      </w:pPr>
    </w:p>
    <w:p>
      <w:pPr>
        <w:jc w:val="both"/>
        <w:ind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On April 7, 2020, in response to the current dynamic and uncertain market conditions, we announced our plan to significantly reduce and continue to challenge our capital program. Total expansion capital for 2020/2021 is now targeted to be approximately $1.55 billion, or $750 million (33%) lower than the previously targeted $2.3 billion capital program, and $1.35 billion (47%) lower when eliminating $600 million of assumed joint venture project financing (net to our share) for the Red Oak project, which has been deferred. The balance of the capital reductions relate to cancellations, cost savings and scope adjustments to other capital projects. The following table summarizes our notable projects in progress during 2020 and the estimated cost for the year ending December 31, 2020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Long-haul Pipeline Projects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220</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355</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Complementary Permian Basin Projects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225</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Selected Facilities/Downstream Projects</w:t>
            </w: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160</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w:t>
            </w:r>
          </w:p>
        </w:tc>
      </w:tr>
      <w:tr>
        <w:trPr>
          <w:trHeight w:val="263"/>
        </w:trPr>
        <w:tc>
          <w:tcPr>
            <w:tcW w:w="9680" w:type="dxa"/>
            <w:vAlign w:val="bottom"/>
            <w:gridSpan w:val="2"/>
          </w:tcPr>
          <w:p>
            <w:pPr>
              <w:ind w:left="120"/>
              <w:spacing w:after="0"/>
              <w:rPr>
                <w:sz w:val="20"/>
                <w:szCs w:val="20"/>
                <w:color w:val="auto"/>
              </w:rPr>
            </w:pPr>
            <w:r>
              <w:rPr>
                <w:rFonts w:ascii="Arial" w:cs="Arial" w:eastAsia="Arial" w:hAnsi="Arial"/>
                <w:sz w:val="18"/>
                <w:szCs w:val="18"/>
                <w:color w:val="auto"/>
              </w:rPr>
              <w:t>Total Projected 2020 Expansion Capital Expenditures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1,100</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12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9"/>
              </w:rPr>
              <w:t>Variance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160" w:type="dxa"/>
            <w:vAlign w:val="bottom"/>
          </w:tcPr>
          <w:p>
            <w:pPr>
              <w:spacing w:after="0"/>
              <w:rPr>
                <w:sz w:val="23"/>
                <w:szCs w:val="23"/>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400" w:type="dxa"/>
            <w:vAlign w:val="bottom"/>
          </w:tcPr>
          <w:p>
            <w:pPr>
              <w:ind w:left="220"/>
              <w:spacing w:after="0"/>
              <w:rPr>
                <w:sz w:val="20"/>
                <w:szCs w:val="20"/>
                <w:color w:val="auto"/>
              </w:rPr>
            </w:pPr>
            <w:r>
              <w:rPr>
                <w:rFonts w:ascii="Arial" w:cs="Arial" w:eastAsia="Arial" w:hAnsi="Arial"/>
                <w:sz w:val="18"/>
                <w:szCs w:val="18"/>
                <w:color w:val="auto"/>
              </w:rPr>
              <w:t>Selected items impacting comparability - Segment Adjusted EBITDA</w:t>
            </w:r>
          </w:p>
        </w:tc>
        <w:tc>
          <w:tcPr>
            <w:tcW w:w="16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Goodwill impairment losses</w:t>
            </w:r>
          </w:p>
        </w:tc>
        <w:tc>
          <w:tcPr>
            <w:tcW w:w="16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w w:val="98"/>
              </w:rPr>
              <w:t>(2,515)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(expense)/benefit</w:t>
            </w: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8"/>
              </w:rPr>
              <w:t>(2,692)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(395)%</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Net (income)/loss attributable to noncontrolling interests</w:t>
            </w:r>
          </w:p>
        </w:tc>
        <w:tc>
          <w:tcPr>
            <w:tcW w:w="16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(495)%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income/(loss) per Class A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(446)%</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Basic and diluted weighted average Class A shares outstanding</w:t>
            </w:r>
          </w:p>
        </w:tc>
        <w:tc>
          <w:tcPr>
            <w:tcW w:w="16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40" w:hanging="132"/>
        <w:spacing w:after="0"/>
        <w:tabs>
          <w:tab w:leader="none" w:pos="14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94" w:lineRule="exact"/>
        <w:rPr>
          <w:sz w:val="20"/>
          <w:szCs w:val="20"/>
          <w:color w:val="auto"/>
        </w:rPr>
      </w:pPr>
    </w:p>
    <w:p>
      <w:pPr>
        <w:ind w:left="660" w:right="280" w:hanging="652"/>
        <w:spacing w:after="0" w:line="269" w:lineRule="auto"/>
        <w:tabs>
          <w:tab w:leader="none" w:pos="648"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Income/(Loss), the most directly comparable measure as reported in accordance with GAAP, and should be viewed in addition to, and not in lieu of, our Condensed Consolidated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reconciliation of this non-GAAP financial performance measure from Net Income/(Loss)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12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9"/>
              </w:rPr>
              <w:t>Variance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(2,692)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(395)%</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400" w:type="dxa"/>
            <w:vAlign w:val="bottom"/>
          </w:tcPr>
          <w:p>
            <w:pPr>
              <w:ind w:left="120"/>
              <w:spacing w:after="0"/>
              <w:rPr>
                <w:sz w:val="20"/>
                <w:szCs w:val="20"/>
                <w:color w:val="auto"/>
              </w:rPr>
            </w:pPr>
            <w:r>
              <w:rPr>
                <w:rFonts w:ascii="Arial" w:cs="Arial" w:eastAsia="Arial" w:hAnsi="Arial"/>
                <w:sz w:val="18"/>
                <w:szCs w:val="18"/>
                <w:color w:val="auto"/>
              </w:rPr>
              <w:t>Income tax expense/(benefit)</w:t>
            </w: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(270)%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400" w:type="dxa"/>
            <w:vAlign w:val="bottom"/>
          </w:tcPr>
          <w:p>
            <w:pPr>
              <w:ind w:left="120"/>
              <w:spacing w:after="0"/>
              <w:rPr>
                <w:sz w:val="20"/>
                <w:szCs w:val="20"/>
                <w:color w:val="auto"/>
              </w:rPr>
            </w:pPr>
            <w:r>
              <w:rPr>
                <w:rFonts w:ascii="Arial" w:cs="Arial" w:eastAsia="Arial" w:hAnsi="Arial"/>
                <w:sz w:val="18"/>
                <w:szCs w:val="18"/>
                <w:color w:val="auto"/>
              </w:rPr>
              <w:t>(Gains)/losses on asset sales and asset impairments, net</w:t>
            </w:r>
          </w:p>
        </w:tc>
        <w:tc>
          <w:tcPr>
            <w:tcW w:w="1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impairment losses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120"/>
              <w:spacing w:after="0"/>
              <w:rPr>
                <w:sz w:val="20"/>
                <w:szCs w:val="20"/>
                <w:color w:val="auto"/>
              </w:rPr>
            </w:pPr>
            <w:r>
              <w:rPr>
                <w:rFonts w:ascii="Arial" w:cs="Arial" w:eastAsia="Arial" w:hAnsi="Arial"/>
                <w:sz w:val="18"/>
                <w:szCs w:val="18"/>
                <w:color w:val="auto"/>
              </w:rPr>
              <w:t>(Gain on)/impairment of investments in unconsolidated entities, net</w:t>
            </w:r>
          </w:p>
        </w:tc>
        <w:tc>
          <w:tcPr>
            <w:tcW w:w="1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400" w:type="dxa"/>
            <w:vAlign w:val="bottom"/>
          </w:tcPr>
          <w:p>
            <w:pPr>
              <w:ind w:left="120"/>
              <w:spacing w:after="0"/>
              <w:rPr>
                <w:sz w:val="20"/>
                <w:szCs w:val="20"/>
                <w:color w:val="auto"/>
              </w:rPr>
            </w:pPr>
            <w:r>
              <w:rPr>
                <w:rFonts w:ascii="Arial" w:cs="Arial" w:eastAsia="Arial" w:hAnsi="Arial"/>
                <w:sz w:val="18"/>
                <w:szCs w:val="18"/>
                <w:color w:val="auto"/>
              </w:rPr>
              <w:t>Selected Items Impacting Comparability:</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4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(Gains)/losses from derivative activities, net of inventory valuation</w:t>
            </w: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6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6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(7)</w:t>
            </w:r>
          </w:p>
        </w:tc>
        <w:tc>
          <w:tcPr>
            <w:tcW w:w="16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Selected Items Impacting Comparability - Segment Adjusted EBITDA</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3"/>
                <w:szCs w:val="23"/>
                <w:color w:val="auto"/>
                <w:vertAlign w:val="superscript"/>
              </w:rPr>
              <w:t>(2)</w:t>
            </w:r>
          </w:p>
        </w:tc>
        <w:tc>
          <w:tcPr>
            <w:tcW w:w="1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(8)</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400" w:hanging="652"/>
        <w:spacing w:after="0" w:line="228" w:lineRule="auto"/>
        <w:tabs>
          <w:tab w:leader="none" w:pos="648"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such unconsolidated entities when reviewing Adjusted EBITDA, similar to our consolidated assets.</w:t>
      </w:r>
    </w:p>
    <w:p>
      <w:pPr>
        <w:spacing w:after="0" w:line="95" w:lineRule="exact"/>
        <w:rPr>
          <w:rFonts w:ascii="Arial" w:cs="Arial" w:eastAsia="Arial" w:hAnsi="Arial"/>
          <w:sz w:val="23"/>
          <w:szCs w:val="23"/>
          <w:color w:val="auto"/>
          <w:vertAlign w:val="superscript"/>
        </w:rPr>
      </w:pPr>
    </w:p>
    <w:p>
      <w:pPr>
        <w:ind w:left="660" w:hanging="652"/>
        <w:spacing w:after="0" w:line="260" w:lineRule="auto"/>
        <w:tabs>
          <w:tab w:leader="none" w:pos="648" w:val="left"/>
        </w:tabs>
        <w:numPr>
          <w:ilvl w:val="0"/>
          <w:numId w:val="48"/>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10 to our Condensed Consolidated Financial Statements for a comprehensive discussion regarding our derivatives and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hanging="11"/>
        <w:spacing w:after="0" w:line="254" w:lineRule="auto"/>
        <w:rPr>
          <w:sz w:val="20"/>
          <w:szCs w:val="20"/>
          <w:color w:val="auto"/>
        </w:rPr>
      </w:pPr>
      <w:r>
        <w:rPr>
          <w:rFonts w:ascii="Arial" w:cs="Arial" w:eastAsia="Arial" w:hAnsi="Arial"/>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2019 Annual Report on Form 10-K for additional inventory disclosures.</w:t>
      </w:r>
    </w:p>
    <w:p>
      <w:pPr>
        <w:spacing w:after="0" w:line="87" w:lineRule="exact"/>
        <w:rPr>
          <w:sz w:val="20"/>
          <w:szCs w:val="20"/>
          <w:color w:val="auto"/>
        </w:rPr>
      </w:pPr>
    </w:p>
    <w:p>
      <w:pPr>
        <w:ind w:left="2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74" w:lineRule="exact"/>
        <w:rPr>
          <w:sz w:val="20"/>
          <w:szCs w:val="20"/>
          <w:color w:val="auto"/>
        </w:rPr>
      </w:pPr>
    </w:p>
    <w:p>
      <w:pPr>
        <w:ind w:left="20" w:right="4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18 to our Consolidated Financial Statements included in Part IV of our 2019 Annual Report on Form 10-K for a comprehensive discussion regarding our equity-indexed compensation plans.</w:t>
      </w:r>
    </w:p>
    <w:p>
      <w:pPr>
        <w:spacing w:after="0" w:line="84" w:lineRule="exact"/>
        <w:rPr>
          <w:sz w:val="20"/>
          <w:szCs w:val="20"/>
          <w:color w:val="auto"/>
        </w:rPr>
      </w:pPr>
    </w:p>
    <w:p>
      <w:pPr>
        <w:ind w:left="20" w:right="140" w:hanging="11"/>
        <w:spacing w:after="0" w:line="286" w:lineRule="auto"/>
        <w:rPr>
          <w:sz w:val="20"/>
          <w:szCs w:val="20"/>
          <w:color w:val="auto"/>
        </w:rPr>
      </w:pPr>
      <w:r>
        <w:rPr>
          <w:rFonts w:ascii="Arial" w:cs="Arial" w:eastAsia="Arial" w:hAnsi="Arial"/>
          <w:sz w:val="17"/>
          <w:szCs w:val="17"/>
          <w:color w:val="auto"/>
        </w:rPr>
        <w:t>During the periods presented, there were fluctuations in the value of CAD to USD, resulting in non-cash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Includes acquisition-related expenses associated with the Felix Midstream acquisition in February 2020. See Note 14 for additional information.</w:t>
      </w:r>
    </w:p>
    <w:p>
      <w:pPr>
        <w:spacing w:after="0" w:line="140" w:lineRule="exact"/>
        <w:rPr>
          <w:sz w:val="20"/>
          <w:szCs w:val="20"/>
          <w:color w:val="auto"/>
        </w:rPr>
      </w:pPr>
    </w:p>
    <w:p>
      <w:pPr>
        <w:ind w:left="20" w:right="440" w:hanging="11"/>
        <w:spacing w:after="0" w:line="342" w:lineRule="auto"/>
        <w:rPr>
          <w:sz w:val="20"/>
          <w:szCs w:val="20"/>
          <w:color w:val="auto"/>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200"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357"/>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income/(loss) attributable to PAGP.</w:t>
      </w:r>
    </w:p>
    <w:p>
      <w:pPr>
        <w:spacing w:after="0" w:line="20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180" w:type="dxa"/>
            <w:vAlign w:val="bottom"/>
          </w:tcPr>
          <w:p>
            <w:pPr>
              <w:spacing w:after="0"/>
              <w:rPr>
                <w:sz w:val="14"/>
                <w:szCs w:val="14"/>
                <w:color w:val="auto"/>
              </w:rPr>
            </w:pPr>
          </w:p>
        </w:tc>
        <w:tc>
          <w:tcPr>
            <w:tcW w:w="17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18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of unconsolidated entities</w:t>
            </w:r>
          </w:p>
        </w:tc>
        <w:tc>
          <w:tcPr>
            <w:tcW w:w="180" w:type="dxa"/>
            <w:vAlign w:val="bottom"/>
          </w:tcPr>
          <w:p>
            <w:pPr>
              <w:spacing w:after="0"/>
              <w:rPr>
                <w:sz w:val="21"/>
                <w:szCs w:val="21"/>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Inventory valuation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120"/>
              <w:spacing w:after="0"/>
              <w:rPr>
                <w:sz w:val="20"/>
                <w:szCs w:val="20"/>
                <w:color w:val="auto"/>
              </w:rPr>
            </w:pPr>
            <w:r>
              <w:rPr>
                <w:rFonts w:ascii="Arial" w:cs="Arial" w:eastAsia="Arial" w:hAnsi="Arial"/>
                <w:sz w:val="18"/>
                <w:szCs w:val="18"/>
                <w:color w:val="auto"/>
              </w:rPr>
              <w:t>Deficiencies under minimum volume commitments, net</w:t>
            </w:r>
          </w:p>
        </w:tc>
        <w:tc>
          <w:tcPr>
            <w:tcW w:w="18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120"/>
              <w:spacing w:after="0"/>
              <w:rPr>
                <w:sz w:val="20"/>
                <w:szCs w:val="20"/>
                <w:color w:val="auto"/>
              </w:rPr>
            </w:pPr>
            <w:r>
              <w:rPr>
                <w:rFonts w:ascii="Arial" w:cs="Arial" w:eastAsia="Arial" w:hAnsi="Arial"/>
                <w:sz w:val="18"/>
                <w:szCs w:val="18"/>
                <w:color w:val="auto"/>
              </w:rPr>
              <w:t>Significant acquisition-related expenses</w:t>
            </w:r>
          </w:p>
        </w:tc>
        <w:tc>
          <w:tcPr>
            <w:tcW w:w="180" w:type="dxa"/>
            <w:vAlign w:val="bottom"/>
          </w:tcPr>
          <w:p>
            <w:pPr>
              <w:spacing w:after="0"/>
              <w:rPr>
                <w:sz w:val="21"/>
                <w:szCs w:val="21"/>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0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1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3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40" w:type="dxa"/>
            <w:vAlign w:val="bottom"/>
            <w:gridSpan w:val="2"/>
            <w:vMerge w:val="continue"/>
          </w:tcPr>
          <w:p>
            <w:pPr>
              <w:spacing w:after="0"/>
              <w:rPr>
                <w:sz w:val="16"/>
                <w:szCs w:val="16"/>
                <w:color w:val="auto"/>
              </w:rPr>
            </w:pPr>
          </w:p>
        </w:tc>
        <w:tc>
          <w:tcPr>
            <w:tcW w:w="122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9"/>
                <w:szCs w:val="9"/>
                <w:b w:val="1"/>
                <w:bCs w:val="1"/>
                <w:color w:val="auto"/>
              </w:rPr>
              <w:t>(4)</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Crude oil pipelines (by region):</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5,165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8"/>
              </w:rPr>
              <w:t>4,268</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20"/>
              <w:spacing w:after="0"/>
              <w:rPr>
                <w:sz w:val="20"/>
                <w:szCs w:val="20"/>
                <w:color w:val="auto"/>
              </w:rPr>
            </w:pPr>
            <w:r>
              <w:rPr>
                <w:rFonts w:ascii="Arial" w:cs="Arial" w:eastAsia="Arial" w:hAnsi="Arial"/>
                <w:sz w:val="18"/>
                <w:szCs w:val="18"/>
                <w:color w:val="auto"/>
              </w:rPr>
              <w:t>Gulf Coast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20"/>
              <w:spacing w:after="0"/>
              <w:rPr>
                <w:sz w:val="20"/>
                <w:szCs w:val="20"/>
                <w:color w:val="auto"/>
              </w:rPr>
            </w:pPr>
            <w:r>
              <w:rPr>
                <w:rFonts w:ascii="Arial" w:cs="Arial" w:eastAsia="Arial" w:hAnsi="Arial"/>
                <w:sz w:val="18"/>
                <w:szCs w:val="18"/>
                <w:color w:val="auto"/>
              </w:rPr>
              <w:t>Western</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Canada</w:t>
            </w: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Crude oil pipelines</w:t>
            </w:r>
          </w:p>
        </w:tc>
        <w:tc>
          <w:tcPr>
            <w:tcW w:w="8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6,974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8"/>
              </w:rPr>
              <w:t>6,201</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NGL pipelines</w:t>
            </w: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Tariff activities total volumes</w:t>
            </w:r>
          </w:p>
        </w:tc>
        <w:tc>
          <w:tcPr>
            <w:tcW w:w="8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7,161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8"/>
              </w:rPr>
              <w:t>6,411</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Trucking volumes</w:t>
            </w: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Transportation segment total volumes</w:t>
            </w:r>
          </w:p>
        </w:tc>
        <w:tc>
          <w:tcPr>
            <w:tcW w:w="8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7,255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8"/>
              </w:rPr>
              <w:t>6,504</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hanging="152"/>
        <w:spacing w:after="0"/>
        <w:tabs>
          <w:tab w:leader="none" w:pos="160"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480" w:hanging="652"/>
        <w:spacing w:after="0" w:line="227" w:lineRule="auto"/>
        <w:tabs>
          <w:tab w:leader="none" w:pos="648"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ectPr>
          <w:pgSz w:w="11900" w:h="16838" w:orient="portrait"/>
          <w:cols w:equalWidth="0" w:num="1">
            <w:col w:w="11240"/>
          </w:cols>
          <w:pgMar w:left="320" w:top="125"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ind w:right="44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7"/>
          </w:tcPr>
          <w:p>
            <w:pPr>
              <w:jc w:val="center"/>
              <w:ind w:right="56"/>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gridSpan w:val="7"/>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2020-2019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vMerge w:val="restart"/>
          </w:tcPr>
          <w:p>
            <w:pPr>
              <w:spacing w:after="0"/>
              <w:rPr>
                <w:sz w:val="13"/>
                <w:szCs w:val="13"/>
                <w:color w:val="auto"/>
              </w:rPr>
            </w:pPr>
          </w:p>
        </w:tc>
        <w:tc>
          <w:tcPr>
            <w:tcW w:w="10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Purchases and</w:t>
            </w:r>
          </w:p>
        </w:tc>
        <w:tc>
          <w:tcPr>
            <w:tcW w:w="140" w:type="dxa"/>
            <w:vAlign w:val="bottom"/>
          </w:tcPr>
          <w:p>
            <w:pPr>
              <w:spacing w:after="0"/>
              <w:rPr>
                <w:sz w:val="13"/>
                <w:szCs w:val="13"/>
                <w:color w:val="auto"/>
              </w:rPr>
            </w:pPr>
          </w:p>
        </w:tc>
        <w:tc>
          <w:tcPr>
            <w:tcW w:w="80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center"/>
              <w:ind w:left="258"/>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tcPr>
          <w:p>
            <w:pPr>
              <w:spacing w:after="0"/>
              <w:rPr>
                <w:sz w:val="21"/>
                <w:szCs w:val="21"/>
                <w:color w:val="auto"/>
              </w:rPr>
            </w:pPr>
          </w:p>
        </w:tc>
        <w:tc>
          <w:tcPr>
            <w:tcW w:w="800" w:type="dxa"/>
            <w:vAlign w:val="bottom"/>
          </w:tcPr>
          <w:p>
            <w:pPr>
              <w:jc w:val="center"/>
              <w:ind w:left="258"/>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regions, trucking and pipeline loss allowance revenue</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ind w:left="258"/>
              <w:spacing w:after="0"/>
              <w:rPr>
                <w:sz w:val="20"/>
                <w:szCs w:val="20"/>
                <w:color w:val="auto"/>
              </w:rPr>
            </w:pPr>
            <w:r>
              <w:rPr>
                <w:rFonts w:ascii="Arial" w:cs="Arial" w:eastAsia="Arial" w:hAnsi="Arial"/>
                <w:sz w:val="18"/>
                <w:szCs w:val="18"/>
                <w:color w:val="auto"/>
                <w:w w:val="93"/>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Total variance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center"/>
              <w:ind w:left="258"/>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line="279" w:lineRule="auto"/>
        <w:tabs>
          <w:tab w:leader="none" w:pos="97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Permian Basin region. </w:t>
      </w:r>
      <w:r>
        <w:rPr>
          <w:rFonts w:ascii="Arial" w:cs="Arial" w:eastAsia="Arial" w:hAnsi="Arial"/>
          <w:sz w:val="17"/>
          <w:szCs w:val="17"/>
          <w:color w:val="auto"/>
        </w:rPr>
        <w:t>The increase in revenues, net of purchases and related costs, of $17 million was primarily due to higher volumes on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of our gathering systems, primarily due to increased crude oil production in the Delaware Basin and, to a lesser extent, from the gathering system we acquired from Felix Midstream in February 2020. In turn, the increased gathering volumes drove the increase in volumes on our intra-basin pipelines. These increases were partially offset by lower long-haul pipeline movements to Cushing.</w:t>
      </w:r>
    </w:p>
    <w:p>
      <w:pPr>
        <w:spacing w:after="0" w:line="198" w:lineRule="exact"/>
        <w:rPr>
          <w:rFonts w:ascii="Arial" w:cs="Arial" w:eastAsia="Arial" w:hAnsi="Arial"/>
          <w:sz w:val="17"/>
          <w:szCs w:val="17"/>
          <w:color w:val="auto"/>
        </w:rPr>
      </w:pPr>
    </w:p>
    <w:p>
      <w:pPr>
        <w:ind w:left="980" w:right="120"/>
        <w:spacing w:after="0" w:line="277" w:lineRule="auto"/>
        <w:rPr>
          <w:rFonts w:ascii="Arial" w:cs="Arial" w:eastAsia="Arial" w:hAnsi="Arial"/>
          <w:sz w:val="17"/>
          <w:szCs w:val="17"/>
          <w:color w:val="auto"/>
        </w:rPr>
      </w:pPr>
      <w:r>
        <w:rPr>
          <w:rFonts w:ascii="Arial" w:cs="Arial" w:eastAsia="Arial" w:hAnsi="Arial"/>
          <w:sz w:val="18"/>
          <w:szCs w:val="18"/>
          <w:color w:val="auto"/>
        </w:rPr>
        <w:t>The increase in equity earnings over the comparative period was primarily from our 65% interest in the Cactus II pipeline, which was placed in service in the third quarter of 2019.</w:t>
      </w:r>
    </w:p>
    <w:p>
      <w:pPr>
        <w:spacing w:after="0" w:line="197" w:lineRule="exact"/>
        <w:rPr>
          <w:rFonts w:ascii="Arial" w:cs="Arial" w:eastAsia="Arial" w:hAnsi="Arial"/>
          <w:sz w:val="17"/>
          <w:szCs w:val="17"/>
          <w:color w:val="auto"/>
        </w:rPr>
      </w:pPr>
    </w:p>
    <w:p>
      <w:pPr>
        <w:ind w:left="980" w:right="680" w:hanging="324"/>
        <w:spacing w:after="0" w:line="277" w:lineRule="auto"/>
        <w:tabs>
          <w:tab w:leader="none" w:pos="97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revenues, net of purchases and related costs, was primarily due to lower volumes as a result of lower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and competition in the region.</w:t>
      </w:r>
    </w:p>
    <w:p>
      <w:pPr>
        <w:spacing w:after="0" w:line="197" w:lineRule="exact"/>
        <w:rPr>
          <w:rFonts w:ascii="Arial" w:cs="Arial" w:eastAsia="Arial" w:hAnsi="Arial"/>
          <w:sz w:val="18"/>
          <w:szCs w:val="18"/>
          <w:i w:val="1"/>
          <w:iCs w:val="1"/>
          <w:color w:val="auto"/>
        </w:rPr>
      </w:pPr>
    </w:p>
    <w:p>
      <w:pPr>
        <w:ind w:left="980" w:right="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 decrease in equity earnings was primarily due to the impact of refinery downtime on certain of the demand pull pipelines out of Cushing, Oklahoma, in which we own a 50% interest.</w:t>
      </w:r>
    </w:p>
    <w:p>
      <w:pPr>
        <w:spacing w:after="0" w:line="197" w:lineRule="exact"/>
        <w:rPr>
          <w:rFonts w:ascii="Arial" w:cs="Arial" w:eastAsia="Arial" w:hAnsi="Arial"/>
          <w:sz w:val="18"/>
          <w:szCs w:val="18"/>
          <w:i w:val="1"/>
          <w:iCs w:val="1"/>
          <w:color w:val="auto"/>
        </w:rPr>
      </w:pPr>
    </w:p>
    <w:p>
      <w:pPr>
        <w:ind w:left="980" w:right="60" w:hanging="324"/>
        <w:spacing w:after="0" w:line="259" w:lineRule="auto"/>
        <w:tabs>
          <w:tab w:leader="none" w:pos="97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regions, trucking and pipeline loss allowance revenue. </w:t>
      </w:r>
      <w:r>
        <w:rPr>
          <w:rFonts w:ascii="Arial" w:cs="Arial" w:eastAsia="Arial" w:hAnsi="Arial"/>
          <w:sz w:val="18"/>
          <w:szCs w:val="18"/>
          <w:color w:val="auto"/>
        </w:rPr>
        <w:t>The decrease in other revenues for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2019 was primarily due to lower pipeline loss allowance revenue in 2020 due to lower prices, as well as the recognition of an inventory valuation adjustment (which impacts revenues but is excluded from Segment Adjusted EBITDA and thus is reflected as an “Adjustment” in the “Operating Results” table above).</w:t>
      </w:r>
    </w:p>
    <w:p>
      <w:pPr>
        <w:spacing w:after="0" w:line="214"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months ended March 31, 2020 compared to the same period in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decrease in the use of drag reducing agents in our pipelines and a decreased reliance on generators as additional pipeline capacity was in service during the first quarter of 2020. In addition, equity-based compensation costs on liability-classified awards (which are not included as an “Adjustment” in the table above) were lower due to a decrease in PAA’s common unit price.</w:t>
      </w:r>
    </w:p>
    <w:p>
      <w:pPr>
        <w:spacing w:after="0" w:line="21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2020 compared to the same period in 2019 was primarily due to acquisition-related expenses associated with the Felix Midstream acquisition (which impact segment general and administrative expenses but are excluded from Segment Adjusted EBITDA and thus are reflected as an “Adjustment” in the table above), partially offset by a lower equity-based compensation costs on liability-classified awards (which are not included as an “Adjustment” in the table above) due to a decrease in PAA’s common unit price.</w:t>
      </w:r>
    </w:p>
    <w:p>
      <w:pPr>
        <w:spacing w:after="0" w:line="215"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i w:val="1"/>
          <w:iCs w:val="1"/>
          <w:color w:val="auto"/>
        </w:rPr>
        <w:t>Maintenance Capital</w:t>
      </w:r>
      <w:r>
        <w:rPr>
          <w:rFonts w:ascii="Arial" w:cs="Arial" w:eastAsia="Arial" w:hAnsi="Arial"/>
          <w:sz w:val="16"/>
          <w:szCs w:val="16"/>
          <w:color w:val="auto"/>
        </w:rPr>
        <w:t>. Maintenance capital consists of capital expenditures for the replacement and/or refurbishment of partially or fully</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depreciated assets in order to maintain the operating and/or earnings capacity of our existing assets. The increase in maintenance capital for the three months ended March 31, 2020 compared to the same period in 2019 was primarily due to the timing of projects in our integrity management program.</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0" w:type="dxa"/>
            <w:vAlign w:val="bottom"/>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3"/>
              </w:rPr>
              <w:t>2019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4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120"/>
              <w:spacing w:after="0"/>
              <w:rPr>
                <w:sz w:val="20"/>
                <w:szCs w:val="20"/>
                <w:color w:val="auto"/>
              </w:rPr>
            </w:pPr>
            <w:r>
              <w:rPr>
                <w:rFonts w:ascii="Arial" w:cs="Arial" w:eastAsia="Arial" w:hAnsi="Arial"/>
                <w:sz w:val="18"/>
                <w:szCs w:val="18"/>
                <w:color w:val="auto"/>
              </w:rPr>
              <w:t>(Gains)/losses from derivative activities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Deficiencies under minimum volume commitments, net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120"/>
              <w:spacing w:after="0"/>
              <w:rPr>
                <w:sz w:val="20"/>
                <w:szCs w:val="20"/>
                <w:color w:val="auto"/>
              </w:rPr>
            </w:pPr>
            <w:r>
              <w:rPr>
                <w:rFonts w:ascii="Arial" w:cs="Arial" w:eastAsia="Arial" w:hAnsi="Arial"/>
                <w:sz w:val="18"/>
                <w:szCs w:val="18"/>
                <w:color w:val="auto"/>
              </w:rPr>
              <w:t>Equity-indexed compensation expense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210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0.55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0.49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8"/>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9"/>
                <w:szCs w:val="9"/>
                <w:b w:val="1"/>
                <w:bCs w:val="1"/>
                <w:color w:val="auto"/>
              </w:rPr>
              <w:t>(4)</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(5)</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4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7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4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(6)</w:t>
            </w: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480" w:hanging="652"/>
        <w:spacing w:after="0" w:line="227" w:lineRule="auto"/>
        <w:tabs>
          <w:tab w:leader="none" w:pos="648"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ectPr>
          <w:pgSz w:w="11900" w:h="16838" w:orient="portrait"/>
          <w:cols w:equalWidth="0" w:num="1">
            <w:col w:w="11240"/>
          </w:cols>
          <w:pgMar w:left="320" w:top="125"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ind w:left="20" w:right="200" w:hanging="11"/>
        <w:spacing w:after="0" w:line="291" w:lineRule="auto"/>
        <w:rPr>
          <w:sz w:val="20"/>
          <w:szCs w:val="20"/>
          <w:color w:val="auto"/>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w:t>
      </w:r>
    </w:p>
    <w:p>
      <w:pPr>
        <w:ind w:left="20" w:right="1140" w:hanging="4"/>
        <w:spacing w:after="0" w:line="542"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NGL fractionation volumes multiplied by the number of days in the period and divided by the number of months in the period. The following is a discussion of items impacting Facilities segment operating results.</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and average monthly volumes were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p>
      <w:pPr>
        <w:ind w:left="980" w:right="140" w:hanging="324"/>
        <w:spacing w:after="0" w:line="259" w:lineRule="auto"/>
        <w:tabs>
          <w:tab w:leader="none" w:pos="975"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from our NGL operations were favorably impacted for the three months ended March 31, 2020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by the receipt of a deficiency payment of approximately $20 million upon the expiration of a multi-year contract and from higher fees at certain of our NGL storage facilities. Such favorable impacts were partially offset by lower revenues from certain of our NGL fractionation facilities.</w:t>
      </w:r>
    </w:p>
    <w:p>
      <w:pPr>
        <w:spacing w:after="0" w:line="213" w:lineRule="exact"/>
        <w:rPr>
          <w:rFonts w:ascii="Arial" w:cs="Arial" w:eastAsia="Arial" w:hAnsi="Arial"/>
          <w:sz w:val="18"/>
          <w:szCs w:val="18"/>
          <w:i w:val="1"/>
          <w:iCs w:val="1"/>
          <w:color w:val="auto"/>
        </w:rPr>
      </w:pPr>
    </w:p>
    <w:p>
      <w:pPr>
        <w:ind w:left="980" w:right="100" w:hanging="324"/>
        <w:spacing w:after="0" w:line="286" w:lineRule="auto"/>
        <w:tabs>
          <w:tab w:leader="none" w:pos="975" w:val="left"/>
        </w:tabs>
        <w:numPr>
          <w:ilvl w:val="0"/>
          <w:numId w:val="5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Crude Oil Storage. </w:t>
      </w:r>
      <w:r>
        <w:rPr>
          <w:rFonts w:ascii="Arial" w:cs="Arial" w:eastAsia="Arial" w:hAnsi="Arial"/>
          <w:sz w:val="17"/>
          <w:szCs w:val="17"/>
          <w:color w:val="auto"/>
        </w:rPr>
        <w:t>Revenues from our crude oil storage operations increased by $6 million for the three months ended March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three months ended March 31, 2019 primarily due to (i) the addition of an aggregate of 1.8 million barrels of storage capacity at our Midland, Cushing and St. James terminals and (ii) increased activity at certain of our West Coast terminals.</w:t>
      </w:r>
    </w:p>
    <w:p>
      <w:pPr>
        <w:spacing w:after="0" w:line="192" w:lineRule="exact"/>
        <w:rPr>
          <w:rFonts w:ascii="Arial" w:cs="Arial" w:eastAsia="Arial" w:hAnsi="Arial"/>
          <w:sz w:val="17"/>
          <w:szCs w:val="17"/>
          <w:i w:val="1"/>
          <w:iCs w:val="1"/>
          <w:color w:val="auto"/>
        </w:rPr>
      </w:pPr>
    </w:p>
    <w:p>
      <w:pPr>
        <w:ind w:left="980" w:right="460" w:hanging="324"/>
        <w:spacing w:after="0" w:line="263" w:lineRule="auto"/>
        <w:tabs>
          <w:tab w:leader="none" w:pos="975"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from our rail terminals decreased by $5 million for the three months ended March 31, 2020 compared 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2019 primarily due to decreased activity at certain of our rail terminals as a result of less favorable market conditions.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For the three months ended March 31, 2020 compared to the same period in 2019, maintenance capital spending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impact of lower expenditures related to cavern maintenance at our gas storage facilities.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w w:val="98"/>
              </w:rPr>
              <w:t>(7,813)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98"/>
              </w:rPr>
              <w:t>(7,562)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160" w:type="dxa"/>
            <w:vAlign w:val="bottom"/>
          </w:tcPr>
          <w:p>
            <w:pPr>
              <w:spacing w:after="0"/>
              <w:rPr>
                <w:sz w:val="23"/>
                <w:szCs w:val="23"/>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(Gains)/losses from derivative activities, net of inventory valuation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120"/>
              <w:spacing w:after="0"/>
              <w:rPr>
                <w:sz w:val="20"/>
                <w:szCs w:val="20"/>
                <w:color w:val="auto"/>
              </w:rPr>
            </w:pPr>
            <w:r>
              <w:rPr>
                <w:rFonts w:ascii="Arial" w:cs="Arial" w:eastAsia="Arial" w:hAnsi="Arial"/>
                <w:sz w:val="18"/>
                <w:szCs w:val="18"/>
                <w:color w:val="auto"/>
              </w:rPr>
              <w:t>Long-term inventory costing adjustments</w:t>
            </w:r>
          </w:p>
        </w:tc>
        <w:tc>
          <w:tcPr>
            <w:tcW w:w="16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120"/>
              <w:spacing w:after="0"/>
              <w:rPr>
                <w:sz w:val="20"/>
                <w:szCs w:val="20"/>
                <w:color w:val="auto"/>
              </w:rPr>
            </w:pPr>
            <w:r>
              <w:rPr>
                <w:rFonts w:ascii="Arial" w:cs="Arial" w:eastAsia="Arial" w:hAnsi="Arial"/>
                <w:sz w:val="18"/>
                <w:szCs w:val="18"/>
                <w:color w:val="auto"/>
              </w:rPr>
              <w:t>Net (gain)/loss on foreign currency revaluation</w:t>
            </w:r>
          </w:p>
        </w:tc>
        <w:tc>
          <w:tcPr>
            <w:tcW w:w="16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9"/>
                <w:szCs w:val="9"/>
                <w:b w:val="1"/>
                <w:bCs w:val="1"/>
                <w:color w:val="auto"/>
              </w:rPr>
              <w:t>(4)</w:t>
            </w:r>
          </w:p>
        </w:tc>
        <w:tc>
          <w:tcPr>
            <w:tcW w:w="1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3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40" w:type="dxa"/>
            <w:vAlign w:val="bottom"/>
            <w:gridSpan w:val="2"/>
            <w:vMerge w:val="continue"/>
          </w:tcPr>
          <w:p>
            <w:pPr>
              <w:spacing w:after="0"/>
              <w:rPr>
                <w:sz w:val="16"/>
                <w:szCs w:val="16"/>
                <w:color w:val="auto"/>
              </w:rPr>
            </w:pPr>
          </w:p>
        </w:tc>
        <w:tc>
          <w:tcPr>
            <w:tcW w:w="122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88"/>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NGL sales</w:t>
            </w: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ind w:right="75"/>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Supply and Logistics segment total volumes</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88"/>
              </w:rPr>
              <w:t>1,456</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hanging="152"/>
        <w:spacing w:after="0"/>
        <w:tabs>
          <w:tab w:leader="none" w:pos="160"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72"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480" w:hanging="652"/>
        <w:spacing w:after="0" w:line="227" w:lineRule="auto"/>
        <w:tabs>
          <w:tab w:leader="none" w:pos="648"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40" w:lineRule="exact"/>
        <w:rPr>
          <w:rFonts w:ascii="Arial" w:cs="Arial" w:eastAsia="Arial" w:hAnsi="Arial"/>
          <w:sz w:val="23"/>
          <w:szCs w:val="23"/>
          <w:color w:val="auto"/>
          <w:vertAlign w:val="superscript"/>
        </w:rPr>
      </w:pPr>
    </w:p>
    <w:p>
      <w:pPr>
        <w:ind w:left="660" w:right="2160" w:hanging="652"/>
        <w:spacing w:after="0" w:line="543" w:lineRule="auto"/>
        <w:tabs>
          <w:tab w:leader="none" w:pos="648" w:val="left"/>
        </w:tabs>
        <w:numPr>
          <w:ilvl w:val="0"/>
          <w:numId w:val="56"/>
        </w:numPr>
        <w:rPr>
          <w:rFonts w:ascii="Arial" w:cs="Arial" w:eastAsia="Arial" w:hAnsi="Arial"/>
          <w:sz w:val="21"/>
          <w:szCs w:val="21"/>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spacing w:after="0" w:line="1"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High</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2020</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63</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March 31, 2019</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60</w:t>
            </w:r>
          </w:p>
        </w:tc>
      </w:tr>
    </w:tbl>
    <w:p>
      <w:pPr>
        <w:spacing w:after="0" w:line="36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pacing w:after="0" w:line="171"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right="280" w:hanging="324"/>
        <w:spacing w:after="0" w:line="263"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Revenues, net of purchases and related costs, (“net revenues”) from our crude oil operations decreased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compared to the three months ended March 31, 2019, primarily due to less favorable differentials in the Permian Basin, partially offset by more favorable arbitrage opportunities in Canada.</w:t>
      </w:r>
    </w:p>
    <w:p>
      <w:pPr>
        <w:spacing w:after="0" w:line="210" w:lineRule="exact"/>
        <w:rPr>
          <w:rFonts w:ascii="Arial" w:cs="Arial" w:eastAsia="Arial" w:hAnsi="Arial"/>
          <w:sz w:val="18"/>
          <w:szCs w:val="18"/>
          <w:color w:val="auto"/>
        </w:rPr>
      </w:pPr>
    </w:p>
    <w:p>
      <w:pPr>
        <w:ind w:left="980" w:right="40" w:hanging="324"/>
        <w:spacing w:after="0" w:line="308" w:lineRule="auto"/>
        <w:tabs>
          <w:tab w:leader="none" w:pos="975"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Net revenues from our NGL operations decreased for the three months ended March 31, 2020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2019, primarily due to weaker fractionation spreads, narrower sales differentials and lower sales volumes.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40" w:hanging="324"/>
        <w:spacing w:after="0" w:line="254" w:lineRule="auto"/>
        <w:tabs>
          <w:tab w:leader="none" w:pos="975"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Net of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21" w:lineRule="exact"/>
        <w:rPr>
          <w:rFonts w:ascii="Arial" w:cs="Arial" w:eastAsia="Arial" w:hAnsi="Arial"/>
          <w:sz w:val="18"/>
          <w:szCs w:val="18"/>
          <w:i w:val="1"/>
          <w:iCs w:val="1"/>
          <w:color w:val="auto"/>
        </w:rPr>
      </w:pPr>
    </w:p>
    <w:p>
      <w:pPr>
        <w:ind w:left="980" w:hanging="324"/>
        <w:spacing w:after="0" w:line="255"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19" w:lineRule="exact"/>
        <w:rPr>
          <w:rFonts w:ascii="Arial" w:cs="Arial" w:eastAsia="Arial" w:hAnsi="Arial"/>
          <w:sz w:val="18"/>
          <w:szCs w:val="18"/>
          <w:color w:val="auto"/>
        </w:rPr>
      </w:pPr>
    </w:p>
    <w:p>
      <w:pPr>
        <w:jc w:val="both"/>
        <w:ind w:left="980" w:right="160" w:hanging="324"/>
        <w:spacing w:after="0" w:line="286" w:lineRule="auto"/>
        <w:tabs>
          <w:tab w:leader="none" w:pos="975"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foreign exchange gains</w:t>
      </w:r>
      <w:r>
        <w:rPr>
          <w:rFonts w:ascii="Arial" w:cs="Arial" w:eastAsia="Arial" w:hAnsi="Arial"/>
          <w:sz w:val="17"/>
          <w:szCs w:val="17"/>
          <w:i w:val="1"/>
          <w:iCs w:val="1"/>
          <w:color w:val="auto"/>
        </w:rPr>
        <w:t xml:space="preserve"> </w:t>
      </w:r>
      <w:r>
        <w:rPr>
          <w:rFonts w:ascii="Arial" w:cs="Arial" w:eastAsia="Arial" w:hAnsi="Arial"/>
          <w:sz w:val="17"/>
          <w:szCs w:val="17"/>
          <w:color w:val="auto"/>
        </w:rPr>
        <w:t>and losses on U.S. denominated net assets within our Canadian operations. These non-cash gains and losses impact our net revenues but are excluded from Segment Adjusted EBITDA and thus are reflected as an “Adjustment” in the table above.</w:t>
      </w:r>
    </w:p>
    <w:p>
      <w:pPr>
        <w:spacing w:after="0" w:line="192" w:lineRule="exact"/>
        <w:rPr>
          <w:rFonts w:ascii="Arial" w:cs="Arial" w:eastAsia="Arial" w:hAnsi="Arial"/>
          <w:sz w:val="17"/>
          <w:szCs w:val="17"/>
          <w:color w:val="auto"/>
        </w:rPr>
      </w:pPr>
    </w:p>
    <w:p>
      <w:pPr>
        <w:ind w:left="980" w:right="20" w:hanging="324"/>
        <w:spacing w:after="0" w:line="263" w:lineRule="auto"/>
        <w:tabs>
          <w:tab w:leader="none" w:pos="975"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months ended March 31, 2020 compared to the same period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a decrease in long-haul third-party trucking costs and a decrease in company personnel and truck costs as additional pipeline capacity came into service after the first quarter of 2019.</w:t>
      </w:r>
    </w:p>
    <w:p>
      <w:pPr>
        <w:spacing w:after="0" w:line="210" w:lineRule="exact"/>
        <w:rPr>
          <w:rFonts w:ascii="Arial" w:cs="Arial" w:eastAsia="Arial" w:hAnsi="Arial"/>
          <w:sz w:val="18"/>
          <w:szCs w:val="18"/>
          <w:i w:val="1"/>
          <w:iCs w:val="1"/>
          <w:color w:val="auto"/>
        </w:rPr>
      </w:pPr>
    </w:p>
    <w:p>
      <w:pPr>
        <w:jc w:val="both"/>
        <w:ind w:left="980" w:right="320" w:hanging="324"/>
        <w:spacing w:after="0" w:line="311" w:lineRule="auto"/>
        <w:tabs>
          <w:tab w:leader="none" w:pos="975"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Segment General and Administrative Expenses. </w:t>
      </w:r>
      <w:r>
        <w:rPr>
          <w:rFonts w:ascii="Arial" w:cs="Arial" w:eastAsia="Arial" w:hAnsi="Arial"/>
          <w:sz w:val="16"/>
          <w:szCs w:val="16"/>
          <w:color w:val="auto"/>
        </w:rPr>
        <w:t>The decrease in segment general and administrative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2020 compared to the same period in 2019 was primarily driven by a decrease in equity-based compensation costs on liability-classified awards (which are not included as an “Adjustment” in the table above) due to a decrease in PAA’s common unit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Depreciation and amortization expense increased for the three months ended March 31, 2020 compared to the three months ended March 31, 2019 largely driven by (i) additional depreciation expense associated with the completion of various capital expansion projects and (ii) a reduction in the useful lives of certain assets.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net loss on asset sales and asset impairments for the three months ended March 31, 2020 was largely driven by (i) non-cash impairment losses of approximately $446 million related to the write-down of certain pipeline and other long-lived assets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See Note 14 for additional information regarding these asset impairments.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first quarter of 2020, we recognized a goodwill impairment charge of $2.5 billion, representing the entire balance of goodwill. See Note 6 to our Condensed Consolidated Financial Statements for additional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During the three months ended March 31, 2020, we recognized a loss of $43 million related to the write-down of certain of our investments in unconsolidated entities. Additionally, during the three months ended March 31, 2020, we recognized a gain of $21 million related to our sale of a 10% interest in Saddlehorn Pipeline Company, LLC. See Note 7 to our Condensed Consolidated Financial Statements for additional information. During the three months ended March 31, 2019, we recognized a non-cash gain of $267 million related to a fair value adjustment resulting from the accounting for the contribution of our undivided joint interest in the Capline pipeline system for an equity interest in Capline Pipeline Company LLC.</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increase in interest expense for the three months ended March 31, 2020 compared to the three months ended March 31, 2019 was primarily due to (i) lower capitalized interest in the 2020 period driven by fewer capital projects under construction and (ii) a higher weighted average debt balance during the 2020 period from higher commercial paper and credit facility borrowings.</w:t>
      </w:r>
    </w:p>
    <w:p>
      <w:pPr>
        <w:sectPr>
          <w:pgSz w:w="11900" w:h="16838" w:orient="portrait"/>
          <w:cols w:equalWidth="0" w:num="1">
            <w:col w:w="11180"/>
          </w:cols>
          <w:pgMar w:left="320" w:top="125" w:right="39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components impacting Other income/(expense), net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Gain related to mark-to-market adjustment of the Preferred Distribution Rate Reset Option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24599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13887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9" w:lineRule="exact"/>
        <w:rPr>
          <w:sz w:val="20"/>
          <w:szCs w:val="20"/>
          <w:color w:val="auto"/>
        </w:rPr>
      </w:pPr>
    </w:p>
    <w:p>
      <w:pPr>
        <w:ind w:left="340"/>
        <w:spacing w:after="0"/>
        <w:tabs>
          <w:tab w:leader="none" w:pos="14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63" w:lineRule="exact"/>
        <w:rPr>
          <w:sz w:val="20"/>
          <w:szCs w:val="20"/>
          <w:color w:val="auto"/>
        </w:rPr>
      </w:pPr>
    </w:p>
    <w:p>
      <w:pPr>
        <w:spacing w:after="0"/>
        <w:tabs>
          <w:tab w:leader="none" w:pos="640" w:val="left"/>
          <w:tab w:leader="none" w:pos="1100" w:val="left"/>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w:t>
        <w:tab/>
        <w:t>$</w:t>
      </w:r>
      <w:r>
        <w:rPr>
          <w:sz w:val="20"/>
          <w:szCs w:val="20"/>
          <w:color w:val="auto"/>
        </w:rPr>
        <w:tab/>
      </w:r>
      <w:r>
        <w:rPr>
          <w:rFonts w:ascii="Arial" w:cs="Arial" w:eastAsia="Arial" w:hAnsi="Arial"/>
          <w:sz w:val="16"/>
          <w:szCs w:val="16"/>
          <w:color w:val="auto"/>
        </w:rPr>
        <w:t>23</w:t>
      </w:r>
    </w:p>
    <w:p>
      <w:pPr>
        <w:spacing w:after="0" w:line="63" w:lineRule="exact"/>
        <w:rPr>
          <w:sz w:val="20"/>
          <w:szCs w:val="20"/>
          <w:color w:val="auto"/>
        </w:rPr>
      </w:pPr>
    </w:p>
    <w:p>
      <w:pPr>
        <w:ind w:left="1920" w:hanging="1329"/>
        <w:spacing w:after="0"/>
        <w:tabs>
          <w:tab w:leader="none" w:pos="19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1</w:t>
      </w:r>
    </w:p>
    <w:p>
      <w:pPr>
        <w:spacing w:after="0" w:line="120"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8"/>
          <w:szCs w:val="18"/>
          <w:color w:val="auto"/>
        </w:rPr>
        <w:t>2</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388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57" w:lineRule="exact"/>
        <w:rPr>
          <w:sz w:val="20"/>
          <w:szCs w:val="20"/>
          <w:color w:val="auto"/>
        </w:rPr>
      </w:pPr>
    </w:p>
    <w:p>
      <w:pPr>
        <w:spacing w:after="0"/>
        <w:tabs>
          <w:tab w:leader="none" w:pos="580" w:val="left"/>
          <w:tab w:leader="none" w:pos="1100" w:val="left"/>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w:t>
        <w:tab/>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388745"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8874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100"/>
          </w:cols>
          <w:pgMar w:left="320" w:top="125" w:right="39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our Condensed Consolidated Financial Statements for additional information.</w:t>
      </w:r>
    </w:p>
    <w:p>
      <w:pPr>
        <w:spacing w:after="0" w:line="117"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The net loss during the first quarter of 2020 was related to the impact that the change in in the U.S. dollar to Canadian dollar exchange rate had on the portion of our intercompany net investment that is not long-term in nature.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540"/>
          </w:cols>
          <w:pgMar w:left="320" w:top="125" w:right="399" w:bottom="1440" w:gutter="0" w:footer="0" w:header="0"/>
          <w:type w:val="continuous"/>
        </w:sectPr>
      </w:pPr>
    </w:p>
    <w:p>
      <w:pPr>
        <w:spacing w:after="0" w:line="29" w:lineRule="exact"/>
        <w:rPr>
          <w:sz w:val="20"/>
          <w:szCs w:val="20"/>
          <w:color w:val="auto"/>
        </w:rPr>
      </w:pPr>
    </w:p>
    <w:p>
      <w:pPr>
        <w:ind w:right="240" w:firstLine="357"/>
        <w:spacing w:after="0" w:line="308" w:lineRule="auto"/>
        <w:rPr>
          <w:sz w:val="20"/>
          <w:szCs w:val="20"/>
          <w:color w:val="auto"/>
        </w:rPr>
      </w:pPr>
      <w:r>
        <w:rPr>
          <w:rFonts w:ascii="Arial" w:cs="Arial" w:eastAsia="Arial" w:hAnsi="Arial"/>
          <w:sz w:val="17"/>
          <w:szCs w:val="17"/>
          <w:color w:val="auto"/>
        </w:rPr>
        <w:t>The income tax benefit for the three months ended March 31, 2020 compared to the income tax expense for the months ended March 31, 2019 was primarily due to the impact of lower earnings at PAA, including goodwill impairment losses, on income attributable to PAGP.</w:t>
      </w:r>
    </w:p>
    <w:p>
      <w:pPr>
        <w:spacing w:after="0" w:line="173"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In response to the COVID-19 pandemic, many governments have enacted or are contemplating measures to provide aid and economic stimulus. These measures may include deferring the due dates of tax payments or other changes to their income and non-income-based tax laws. The Coronavirus Aid, Relief, and Economic Security Act (the “CARES Act”), which was enacted on March 27, 2020 in the U.S., includes measures to assist companies, including temporary changes to income and non-income-based tax laws. There were no material tax impacts to our financial statements as it relates to COVID-19 measures. We continue to monitor additional guidance issued by the U.S. Treasury Department, the Internal Revenue Service and others.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“—Executive Summary —Recent Events &amp; Outlook.”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Investments in Unconsolidated Entities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March 31, 2020, we owned a 50% undivided joint interest in Red Oak Pipeline LLC (“Red Oak”), which was in the process of developing a new pipeline that would provide crude oil transportation service from Cushing, Oklahoma, and the Permian Basin in West Texas to multiple destinations along the Texas Gulf Coast, including Corpus Christi, Ingleside, Houston and Beaumont, Texas. In March 2020, the partners announced they were deferring the Red Oak pipeline project and suspending actions that would require additional capital spending on the project, and that they would re-evaluate demand for the project in light of recent market developments. If the partners decide not to move forward with the pipeline project, we may recognize an impairment of the carrying value of our interest in Red Oak, which was $54 million as of March 31, 2020 ($122 million including our estimate of committed costs incurred in the second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divestiture program, as further discussed below in the section entitled “—Acquisitions and Capital Expenditures.”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195" w:lineRule="exact"/>
        <w:rPr>
          <w:sz w:val="20"/>
          <w:szCs w:val="20"/>
          <w:color w:val="auto"/>
        </w:rPr>
      </w:pPr>
    </w:p>
    <w:p>
      <w:pPr>
        <w:ind w:right="80" w:firstLine="648"/>
        <w:spacing w:after="0" w:line="293" w:lineRule="auto"/>
        <w:rPr>
          <w:sz w:val="20"/>
          <w:szCs w:val="20"/>
          <w:color w:val="auto"/>
        </w:rPr>
      </w:pPr>
      <w:r>
        <w:rPr>
          <w:rFonts w:ascii="Arial" w:cs="Arial" w:eastAsia="Arial" w:hAnsi="Arial"/>
          <w:sz w:val="17"/>
          <w:szCs w:val="17"/>
          <w:color w:val="auto"/>
        </w:rPr>
        <w:t>As of March 31, 2020, although we had a working capital deficit of $286 million, we had approximately $2.5 billion of liquidity available to meet our ongoing operating, investing and financing needs, subject to continued covenant compliance, as noted below (in millions):</w:t>
      </w:r>
    </w:p>
    <w:tbl>
      <w:tblPr>
        <w:tblLayout w:type="fixed"/>
        <w:tblInd w:w="0" w:type="dxa"/>
        <w:tblCellMar>
          <w:top w:w="0" w:type="dxa"/>
          <w:left w:w="0" w:type="dxa"/>
          <w:bottom w:w="0" w:type="dxa"/>
          <w:right w:w="0" w:type="dxa"/>
        </w:tblCellMar>
      </w:tblPr>
      <w:tr>
        <w:trPr>
          <w:trHeight w:val="149"/>
        </w:trPr>
        <w:tc>
          <w:tcPr>
            <w:tcW w:w="9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ind w:right="635"/>
              <w:spacing w:after="0" w:line="149" w:lineRule="exact"/>
              <w:rPr>
                <w:sz w:val="20"/>
                <w:szCs w:val="20"/>
                <w:color w:val="auto"/>
              </w:rPr>
            </w:pPr>
            <w:r>
              <w:rPr>
                <w:rFonts w:ascii="Arial" w:cs="Arial" w:eastAsia="Arial" w:hAnsi="Arial"/>
                <w:sz w:val="14"/>
                <w:szCs w:val="14"/>
                <w:b w:val="1"/>
                <w:bCs w:val="1"/>
                <w:color w:val="auto"/>
              </w:rPr>
              <w:t>As of</w:t>
            </w:r>
          </w:p>
        </w:tc>
      </w:tr>
      <w:tr>
        <w:trPr>
          <w:trHeight w:val="192"/>
        </w:trPr>
        <w:tc>
          <w:tcPr>
            <w:tcW w:w="9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2020</w:t>
            </w:r>
          </w:p>
        </w:tc>
      </w:tr>
      <w:tr>
        <w:trPr>
          <w:trHeight w:val="26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1,583</w:t>
            </w:r>
          </w:p>
        </w:tc>
      </w:tr>
      <w:tr>
        <w:trPr>
          <w:trHeight w:val="27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897</w:t>
            </w:r>
          </w:p>
        </w:tc>
      </w:tr>
      <w:tr>
        <w:trPr>
          <w:trHeight w:val="244"/>
        </w:trPr>
        <w:tc>
          <w:tcPr>
            <w:tcW w:w="9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2,480</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40</w:t>
            </w:r>
          </w:p>
        </w:tc>
      </w:tr>
      <w:tr>
        <w:trPr>
          <w:trHeight w:val="27"/>
        </w:trPr>
        <w:tc>
          <w:tcPr>
            <w:tcW w:w="9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9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2,520</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640" w:hanging="11"/>
        <w:spacing w:after="0" w:line="308" w:lineRule="auto"/>
        <w:rPr>
          <w:sz w:val="20"/>
          <w:szCs w:val="20"/>
          <w:color w:val="auto"/>
        </w:rPr>
      </w:pPr>
      <w:r>
        <w:rPr>
          <w:rFonts w:ascii="Arial" w:cs="Arial" w:eastAsia="Arial" w:hAnsi="Arial"/>
          <w:sz w:val="17"/>
          <w:szCs w:val="17"/>
          <w:color w:val="auto"/>
        </w:rPr>
        <w:t>Represents availability prior to giving effect to borrowings outstanding under the PAA commercial paper program, which reduce available capacity under the facilities. There were no commercial paper borrowings outstanding as of March 31, 2020.</w:t>
      </w:r>
    </w:p>
    <w:p>
      <w:pPr>
        <w:spacing w:after="0" w:line="38" w:lineRule="exact"/>
        <w:rPr>
          <w:sz w:val="20"/>
          <w:szCs w:val="20"/>
          <w:color w:val="auto"/>
        </w:rPr>
      </w:pPr>
    </w:p>
    <w:p>
      <w:pPr>
        <w:ind w:right="10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$97 million and $9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717550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40" w:space="520"/>
            <w:col w:w="1058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Current macroeconomic and geopolitical conditions including the collapse of oil prices driven by both the decrease in demand caused by the COVID-19 pandemic and excess supply has caused liquidity issues impacting many energy companies; however, 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the financial backstop for the PAA commercial paper program, is subject to ongoing compliance with covenants. As of March 31, 2020, PAA was in compliance with all such covenants. Also, see Item 1A. “Risk Factors” included in our 2019 Annual Report on Form 10-K and Item 1A. “Risk Factors” below in Part II of this Form 10-Q for further discussion regarding such risks that may impact our liquidity and capital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2019 Annual Report on Form 10-K.</w:t>
      </w:r>
    </w:p>
    <w:p>
      <w:pPr>
        <w:spacing w:after="0" w:line="184"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Net cash provided by operating activities for the first three months of 2020 and 2019 was $889 million and $1,032 million,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92"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During the three months ended March 31, 2020 and 2019, our cash provided by operating activities was positively impacted by decreases in the volume of inventory that we held, primarily due to the sale of NGL and crude oil inventory. The favorable effects from the liquidation of such inventory were partially offset by the timing of revenue recognized during the period for which cash was received in prior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addition to our operating needs discussed above, on a consolidated basis,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 We have made and will continue to make capital expenditures for acquisitions, expansion capital projects and maintenance activities. However, in the near term we do not plan to issue common equity to fund such activities.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In February 2020, we acquired a crude oil gathering system and related assets in the Delaware Basin for approximately $300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our Condensed Consolidated Financial Statements for additional information.</w:t>
      </w:r>
    </w:p>
    <w:p>
      <w:pPr>
        <w:spacing w:after="0" w:line="223"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i w:val="1"/>
          <w:iCs w:val="1"/>
          <w:color w:val="auto"/>
        </w:rPr>
        <w:t xml:space="preserve">Capital Projects. </w:t>
      </w:r>
      <w:r>
        <w:rPr>
          <w:rFonts w:ascii="Arial" w:cs="Arial" w:eastAsia="Arial" w:hAnsi="Arial"/>
          <w:sz w:val="16"/>
          <w:szCs w:val="16"/>
          <w:color w:val="auto"/>
        </w:rPr>
        <w:t>We invested $352 million in midstream infrastructure during the three months ended March 31, 2020, and we expect to invest</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$1.1 billion during the full year ending December 31, 2020. Our expected capital investment for 2020 reflects a reduction from our expected capital investment at year-end 2019 due to the current dynamic and uncertain market conditions. See “—Acquisitions and Capital Projects” for additional information. We expect to fund our 2020 capital program with retained cash flow, proceeds from assets sold as part of our divestiture program or debt.</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January 2020, we entered into a definitive agreement to sell certain of our Los Angeles Basin crude oil terminals for $195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adjustments and expect the transaction to close in the second half of 2020. In April 2020, we sold certain NGL terminals for $163 million, subject to certain adjustments. See Note 14 to our Condensed Consolidated Financial Statements for additional information. Additionally, we sold a 10% ownership interest in Saddlehorn Pipeline Company, LLC for proceeds of approximately $78 million. See Note 7 to our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Ongoing Acquisition, Divestiture and Investment Activities. </w:t>
      </w:r>
      <w:r>
        <w:rPr>
          <w:rFonts w:ascii="Arial" w:cs="Arial" w:eastAsia="Arial" w:hAnsi="Arial"/>
          <w:sz w:val="17"/>
          <w:szCs w:val="17"/>
          <w:color w:val="auto"/>
        </w:rPr>
        <w:t>We intend to continue to focus on activities to enhance investment returns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reinforce 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PAA’s Business” of our 2019 Annual Report on Form 10-K for further discussion regarding risks related to our acquisitions and divestitures.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 consolidated basis, our financing activities primarily relate to funding expansion capital projects, acquisitions and refinancing of debt maturities, as well as short-term working capital (including borrowings for NYMEX and ICE margin deposits) and hedged inventory borrowings related to our NGL business and contango market activities. Our financing activities have primarily consisted of equity offerings, PAA senior notes offerings and borrowings and repayments under the credit facilities or the PAA commercial paper program and other debt agreements, as well as payment of distributions to our Class A shareholders and noncontrolling interests.</w:t>
      </w:r>
    </w:p>
    <w:p>
      <w:pPr>
        <w:spacing w:after="0" w:line="21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w:t>
      </w:r>
      <w:r>
        <w:rPr>
          <w:rFonts w:ascii="Arial" w:cs="Arial" w:eastAsia="Arial" w:hAnsi="Arial"/>
          <w:sz w:val="17"/>
          <w:szCs w:val="17"/>
          <w:i w:val="1"/>
          <w:iCs w:val="1"/>
          <w:color w:val="auto"/>
        </w:rPr>
        <w:t xml:space="preserve"> </w:t>
      </w:r>
      <w:r>
        <w:rPr>
          <w:rFonts w:ascii="Arial" w:cs="Arial" w:eastAsia="Arial" w:hAnsi="Arial"/>
          <w:sz w:val="17"/>
          <w:szCs w:val="17"/>
          <w:color w:val="auto"/>
        </w:rPr>
        <w:t>to issue up to an aggregate of $1.0 billion of equity securities (the “PAGP Traditional Shelf”). At March 31, 2020, we had approximately $939 million of unsold securities available under the PAGP Traditional Shelf.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three months ended March 31, 2020.</w:t>
      </w:r>
    </w:p>
    <w:p>
      <w:pPr>
        <w:spacing w:after="0" w:line="203"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i w:val="1"/>
          <w:iCs w:val="1"/>
          <w:color w:val="auto"/>
        </w:rPr>
        <w:t xml:space="preserve">PAA Registration Statements. </w:t>
      </w:r>
      <w:r>
        <w:rPr>
          <w:rFonts w:ascii="Arial" w:cs="Arial" w:eastAsia="Arial" w:hAnsi="Arial"/>
          <w:sz w:val="17"/>
          <w:szCs w:val="17"/>
          <w:color w:val="auto"/>
        </w:rPr>
        <w:t>PAA periodically accesses the capital markets for both equity and debt financing. PAA has filed with the SEC a</w:t>
      </w:r>
      <w:r>
        <w:rPr>
          <w:rFonts w:ascii="Arial" w:cs="Arial" w:eastAsia="Arial" w:hAnsi="Arial"/>
          <w:sz w:val="17"/>
          <w:szCs w:val="17"/>
          <w:i w:val="1"/>
          <w:iCs w:val="1"/>
          <w:color w:val="auto"/>
        </w:rPr>
        <w:t xml:space="preserve"> </w:t>
      </w:r>
      <w:r>
        <w:rPr>
          <w:rFonts w:ascii="Arial" w:cs="Arial" w:eastAsia="Arial" w:hAnsi="Arial"/>
          <w:sz w:val="17"/>
          <w:szCs w:val="17"/>
          <w:color w:val="auto"/>
        </w:rPr>
        <w:t>universal shelf registration statement that, subject to effectiveness at the time of use, allows PAA to issue up to an aggregate of $1.1 billion of debt or equity securities (the “PAA Traditional Shelf”). At March 31, 2020, PAA had approximately $1.1 billion of unsold securities available under the PAA Traditional Shelf.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three months ended March 31, 2020.</w:t>
      </w:r>
    </w:p>
    <w:p>
      <w:pPr>
        <w:spacing w:after="0" w:line="2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the PAA revolving credit facilities (which impact</w:t>
      </w:r>
      <w:r>
        <w:rPr>
          <w:rFonts w:ascii="Arial" w:cs="Arial" w:eastAsia="Arial" w:hAnsi="Arial"/>
          <w:sz w:val="18"/>
          <w:szCs w:val="18"/>
          <w:i w:val="1"/>
          <w:iCs w:val="1"/>
          <w:color w:val="auto"/>
        </w:rPr>
        <w:t xml:space="preserve"> </w:t>
      </w:r>
      <w:r>
        <w:rPr>
          <w:rFonts w:ascii="Arial" w:cs="Arial" w:eastAsia="Arial" w:hAnsi="Arial"/>
          <w:sz w:val="18"/>
          <w:szCs w:val="18"/>
          <w:color w:val="auto"/>
        </w:rPr>
        <w:t>PAA’s ability to access the PAA commercial paper program because they provide the financial backstop that supports PAA’s short-term credit ratings) and its GO Zone term loans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As of March 31, 2020, PAA was in compliance with the covenants contained in its credit agreements and indentures.</w:t>
      </w:r>
    </w:p>
    <w:p>
      <w:pPr>
        <w:spacing w:after="0" w:line="21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PAA’s fixed-rate senior notes had a face value of approximately $9.0 billion at both March 31, 2020 and December 31, 2019. We estimated the aggregate fair value of these notes as of March 31, 2020 and December 31, 2019 to be approximately $7.2 billion and $9.3 billion, respectively. PAA’s fixed-rate senior notes are traded among institutions, and these trades are routinely published by a reporting service. Our determination of fair value is based on reported trading activity near the end of the reporting period. The decrease in the fair value of PAA’s fixed-rate senior notes is attributable to widening credit spreads in the secondary market for the debt of oil and gas industry participants in general, and the debt of PAA and many of its peers in the United States midstream sector specifically. This widening has occurred due to a number of external forces, such as the collapse of oil prices driven by both the decrease in demand caused by the COVID-19 pandemic and excess supply.</w:t>
      </w:r>
    </w:p>
    <w:p>
      <w:pPr>
        <w:spacing w:after="0" w:line="17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three months ended March 31, 2020, we had net repayments on PAA’s credit agreements and commercial paper program of $4 million. The net repayments resulted primarily from cash flow from operating activities and proceeds from</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asset sales, which offset borrowings during the period related to funding needs for capital investments, inventory purchases and other general partnership purposes.</w:t>
      </w:r>
    </w:p>
    <w:p>
      <w:pPr>
        <w:spacing w:after="0" w:line="19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As of March 31, 2019 and December 31, 2018, we had no outstanding borrowings under PAA’s credit agreements or commercial paper program. However, during the three months ended March 31, 2019, we borrowed and repaid $0.5 billion under PAA’s commercial paper program. The repayments resulted primarily from cash flow from operating activities.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Distributions to our Class A shareholders. </w:t>
      </w:r>
      <w:r>
        <w:rPr>
          <w:rFonts w:ascii="Arial" w:cs="Arial" w:eastAsia="Arial" w:hAnsi="Arial"/>
          <w:sz w:val="16"/>
          <w:szCs w:val="16"/>
          <w:color w:val="auto"/>
        </w:rPr>
        <w:t>We distribute all of our available cash within 55 days following the end of each quarter to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shareholders. On May 15, 2020, we will pay a quarterly distribution of $0.18 per Class A share ($0.72 per Class A share on an annualized basis), which equates to a reduction of 50% compared to the quarterly distribution of $0.36 per Class A share ($1.44 per Class A share on an annualized basis) paid in February 2020. This reduction was made in response to the current dynamic and uncertain market conditions to further reinforce our commitment to maintaining a solid capital structure and strong liquidity. See “—Executive Summary —Recent Events &amp; Outlook” for further discussion. See Note 9 to our Condensed Consolidated Financial Statements for details of distributions paid during or pertaining to the first three months of 2020. Also, see Item 5. “Market for Registrant’s Shares, Related Shareholder Matters and Issuer Purchases of Equity Securities—Cash Distribution Policy” included in our 2019 Annual Report on Form 10-K for additional discussion regarding distributions.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March 31, 2020, noncontrolling interests in our subsidiaries consisted of (i) limited partner interests in PAA including a 69% interest in PAA’s common units and PAA’s Series A preferred units combined and 100% of PAA’s Series B preferred units, (ii) an approximate 25% limited partner interest in AAP and (iii) a 33% interest in Red River LLC. See Note 9 to our Condensed Consolidated Financial Statements for additional information.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Distributions to PAA’s Series A preferred unitholders. </w:t>
      </w:r>
      <w:r>
        <w:rPr>
          <w:rFonts w:ascii="Arial" w:cs="Arial" w:eastAsia="Arial" w:hAnsi="Arial"/>
          <w:sz w:val="16"/>
          <w:szCs w:val="16"/>
          <w:color w:val="auto"/>
        </w:rPr>
        <w:t>On May 15, 2020, PAA will pay a cash distribution of $37 million ($0.525 per unit) on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preferred units outstanding as of May 1, 2020, the record date for such distribution for the period from January 1, 2020 through March 31,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See Note 9 to our Condensed Consolidated Financial Statements for details of distributions made during or pertaining to the first three months of 2020.</w:t>
      </w:r>
    </w:p>
    <w:p>
      <w:pPr>
        <w:spacing w:after="0" w:line="23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Distributions to PAA’s Series B preferred unitholders. </w:t>
      </w:r>
      <w:r>
        <w:rPr>
          <w:rFonts w:ascii="Arial" w:cs="Arial" w:eastAsia="Arial" w:hAnsi="Arial"/>
          <w:sz w:val="18"/>
          <w:szCs w:val="18"/>
          <w:color w:val="auto"/>
        </w:rPr>
        <w:t>Distributions on PAA’s Series B preferred units are payable in cash semi-annually in arrears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15th day of May and November. On May 15, 2020, PAA will pay the semi-annual cash distribution of $24.5 million on the Series B preferred units to holders of record at the close of business on May 1, 2020 for the period from November 15, 2019 to May 14, 2020. See Note 9 to our Condensed Consolidated Financial Statements for additional information.</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Distributions to PAA’s common unitholders. </w:t>
      </w:r>
      <w:r>
        <w:rPr>
          <w:rFonts w:ascii="Arial" w:cs="Arial" w:eastAsia="Arial" w:hAnsi="Arial"/>
          <w:sz w:val="18"/>
          <w:szCs w:val="18"/>
          <w:color w:val="auto"/>
        </w:rPr>
        <w:t>On May 15, 2020, PAA will pay a quarterly distribution of $0.18 per common unit ($0.72 per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on an annualized basis) on its common units outstanding as of May 1, 2020, the record date for such distribution for the period from January 1, 2020 through March 31, 2020. See Note 9 to our Condensed Consolidated Financial Statements for details of distributions paid during or pertaining to the first three months of 2020.</w:t>
      </w:r>
    </w:p>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 and cost of borrowing.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13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March 31, 2020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Remainder of</w:t>
            </w: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2025 and</w:t>
            </w:r>
          </w:p>
        </w:tc>
        <w:tc>
          <w:tcPr>
            <w:tcW w:w="200" w:type="dxa"/>
            <w:vAlign w:val="bottom"/>
          </w:tcPr>
          <w:p>
            <w:pPr>
              <w:spacing w:after="0"/>
              <w:rPr>
                <w:sz w:val="14"/>
                <w:szCs w:val="14"/>
                <w:color w:val="auto"/>
              </w:rPr>
            </w:pPr>
          </w:p>
        </w:tc>
        <w:tc>
          <w:tcPr>
            <w:tcW w:w="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311</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1,026</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1,312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1,636</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1,055</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8,753</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4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37"/>
        </w:trPr>
        <w:tc>
          <w:tcPr>
            <w:tcW w:w="4280" w:type="dxa"/>
            <w:vAlign w:val="bottom"/>
          </w:tcPr>
          <w:p>
            <w:pPr>
              <w:ind w:left="12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20"/>
                <w:szCs w:val="20"/>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10,247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17,984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5,830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6,440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6,182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5,849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14,024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43,779</w:t>
            </w:r>
          </w:p>
        </w:tc>
        <w:tc>
          <w:tcPr>
            <w:tcW w:w="0" w:type="dxa"/>
            <w:vAlign w:val="bottom"/>
          </w:tcPr>
          <w:p>
            <w:pPr>
              <w:spacing w:after="0"/>
              <w:rPr>
                <w:sz w:val="1"/>
                <w:szCs w:val="1"/>
                <w:color w:val="auto"/>
              </w:rPr>
            </w:pPr>
          </w:p>
        </w:tc>
      </w:tr>
      <w:tr>
        <w:trPr>
          <w:trHeight w:val="263"/>
        </w:trPr>
        <w:tc>
          <w:tcPr>
            <w:tcW w:w="428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6,857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7,888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7,859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6,846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24,271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61,763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4" w:right="80" w:hanging="11"/>
        <w:spacing w:after="0" w:line="273" w:lineRule="auto"/>
        <w:rPr>
          <w:sz w:val="20"/>
          <w:szCs w:val="20"/>
          <w:color w:val="auto"/>
        </w:rPr>
      </w:pPr>
      <w:r>
        <w:rPr>
          <w:rFonts w:ascii="Arial" w:cs="Arial" w:eastAsia="Arial" w:hAnsi="Arial"/>
          <w:sz w:val="17"/>
          <w:szCs w:val="17"/>
          <w:color w:val="auto"/>
        </w:rPr>
        <w:t>Includes debt service payments, interest payments due on PAA’s senior notes and the commitment fee on assumed available capacity under the PAA credit facilities, as well as long-term borrowings under the PAA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agreements or the PAA commercial paper program) in the amounts above. For additional information regarding PAA’s debt obligations, see Note 8 to our Condensed Consolidated Financial Statements.</w:t>
      </w:r>
    </w:p>
    <w:p>
      <w:pPr>
        <w:spacing w:after="0" w:line="70" w:lineRule="exact"/>
        <w:rPr>
          <w:sz w:val="20"/>
          <w:szCs w:val="20"/>
          <w:color w:val="auto"/>
        </w:rPr>
      </w:pPr>
    </w:p>
    <w:p>
      <w:pPr>
        <w:ind w:left="4" w:right="18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14 to our Consolidated Financial Statements included in Part IV of our 2019 Annual Report on Form 10-K for additional information.</w:t>
      </w:r>
    </w:p>
    <w:p>
      <w:pPr>
        <w:spacing w:after="0" w:line="76" w:lineRule="exact"/>
        <w:rPr>
          <w:sz w:val="20"/>
          <w:szCs w:val="20"/>
          <w:color w:val="auto"/>
        </w:rPr>
      </w:pPr>
    </w:p>
    <w:p>
      <w:pPr>
        <w:ind w:left="4" w:right="16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20" w:hanging="4"/>
        <w:spacing w:after="0" w:line="295" w:lineRule="auto"/>
        <w:tabs>
          <w:tab w:leader="none" w:pos="309"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noncancelable commitments related to our capital expansion projects, including projected contributions for our share of the capital spending of our equity method investments. The storage, processing and transportation agreements include approximately $1.8 billion associated with agreements to store, process and transport crude oil at posted tariff rates on pipelines or at facilities that are owned by equity method investees. A portion of our commitment to transport is supported by crude oil buy/sell or other agreements with third parties with commensurate quantities.</w:t>
      </w:r>
    </w:p>
    <w:p>
      <w:pPr>
        <w:spacing w:after="0" w:line="53" w:lineRule="exact"/>
        <w:rPr>
          <w:sz w:val="20"/>
          <w:szCs w:val="20"/>
          <w:color w:val="auto"/>
        </w:rPr>
      </w:pPr>
    </w:p>
    <w:p>
      <w:pPr>
        <w:ind w:left="4" w:right="4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March 2020.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2" w:lineRule="exact"/>
        <w:rPr>
          <w:sz w:val="20"/>
          <w:szCs w:val="20"/>
          <w:color w:val="auto"/>
        </w:rPr>
      </w:pPr>
    </w:p>
    <w:p>
      <w:pPr>
        <w:sectPr>
          <w:pgSz w:w="11900" w:h="16838" w:orient="portrait"/>
          <w:cols w:equalWidth="0" w:num="2">
            <w:col w:w="140" w:space="516"/>
            <w:col w:w="10584"/>
          </w:cols>
          <w:pgMar w:left="320" w:top="125" w:right="339" w:bottom="1440" w:gutter="0" w:footer="0" w:header="0"/>
          <w:type w:val="continuous"/>
        </w:sect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March 31, 2020 and December 31, 2019, we had outstanding letters of credit of approximately $106 million and $157 million, respectively.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2019 Annual Report on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52" w:lineRule="exact"/>
        <w:rPr>
          <w:sz w:val="20"/>
          <w:szCs w:val="20"/>
          <w:color w:val="auto"/>
        </w:rPr>
      </w:pPr>
    </w:p>
    <w:p>
      <w:pPr>
        <w:ind w:left="980" w:right="20" w:hanging="324"/>
        <w:spacing w:after="0" w:line="276" w:lineRule="auto"/>
        <w:tabs>
          <w:tab w:leader="none" w:pos="97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continuation of a swift and material decline in global crude oil demand and crude oil prices for an uncertain period of time that correspondingly may lead to a significant reduction of domestic crude oil,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88" w:lineRule="exact"/>
        <w:rPr>
          <w:rFonts w:ascii="Arial" w:cs="Arial" w:eastAsia="Arial" w:hAnsi="Arial"/>
          <w:sz w:val="16"/>
          <w:szCs w:val="16"/>
          <w:color w:val="auto"/>
        </w:rPr>
      </w:pPr>
    </w:p>
    <w:p>
      <w:pPr>
        <w:ind w:left="980" w:right="40" w:hanging="324"/>
        <w:spacing w:after="0" w:line="262" w:lineRule="auto"/>
        <w:tabs>
          <w:tab w:leader="none" w:pos="975" w:val="left"/>
        </w:tabs>
        <w:numPr>
          <w:ilvl w:val="0"/>
          <w:numId w:val="61"/>
        </w:numPr>
        <w:rPr>
          <w:rFonts w:ascii="Arial" w:cs="Arial" w:eastAsia="Arial" w:hAnsi="Arial"/>
          <w:sz w:val="17"/>
          <w:szCs w:val="17"/>
          <w:color w:val="auto"/>
        </w:rPr>
      </w:pPr>
      <w:r>
        <w:rPr>
          <w:rFonts w:ascii="Arial" w:cs="Arial" w:eastAsia="Arial" w:hAnsi="Arial"/>
          <w:sz w:val="17"/>
          <w:szCs w:val="17"/>
          <w:color w:val="auto"/>
        </w:rPr>
        <w:t>uncertainty regarding the length of time it will take for the United States, Canada, and the rest of the world to slow the spread of the COVID-19 virus to the point where applicable authorities are comfortable easing current restrictions on various commercial and economic activities and the extent to which consumer demand and demand for crude oil rebound once such restrictions are lifted; such restrictions are designed to protect public health but also have the effect of significantly reducing demand for crude oil;</w:t>
      </w:r>
    </w:p>
    <w:p>
      <w:pPr>
        <w:spacing w:after="0" w:line="199" w:lineRule="exact"/>
        <w:rPr>
          <w:rFonts w:ascii="Arial" w:cs="Arial" w:eastAsia="Arial" w:hAnsi="Arial"/>
          <w:sz w:val="17"/>
          <w:szCs w:val="17"/>
          <w:color w:val="auto"/>
        </w:rPr>
      </w:pPr>
    </w:p>
    <w:p>
      <w:pPr>
        <w:ind w:left="980" w:right="200" w:hanging="324"/>
        <w:spacing w:after="0" w:line="261"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97" w:lineRule="exact"/>
        <w:rPr>
          <w:rFonts w:ascii="Arial" w:cs="Arial" w:eastAsia="Arial" w:hAnsi="Arial"/>
          <w:sz w:val="18"/>
          <w:szCs w:val="18"/>
          <w:color w:val="auto"/>
        </w:rPr>
      </w:pPr>
    </w:p>
    <w:p>
      <w:pPr>
        <w:ind w:left="980" w:right="100" w:hanging="324"/>
        <w:spacing w:after="0" w:line="324" w:lineRule="auto"/>
        <w:tabs>
          <w:tab w:leader="none" w:pos="975"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151" w:lineRule="exact"/>
        <w:rPr>
          <w:rFonts w:ascii="Arial" w:cs="Arial" w:eastAsia="Arial" w:hAnsi="Arial"/>
          <w:sz w:val="16"/>
          <w:szCs w:val="16"/>
          <w:color w:val="auto"/>
        </w:rPr>
      </w:pPr>
    </w:p>
    <w:p>
      <w:pPr>
        <w:ind w:left="980" w:right="400" w:hanging="324"/>
        <w:spacing w:after="0" w:line="248"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w:t>
      </w:r>
    </w:p>
    <w:p>
      <w:pPr>
        <w:spacing w:after="0" w:line="208" w:lineRule="exact"/>
        <w:rPr>
          <w:rFonts w:ascii="Arial" w:cs="Arial" w:eastAsia="Arial" w:hAnsi="Arial"/>
          <w:sz w:val="18"/>
          <w:szCs w:val="18"/>
          <w:color w:val="auto"/>
        </w:rPr>
      </w:pPr>
    </w:p>
    <w:p>
      <w:pPr>
        <w:ind w:left="980" w:right="360" w:hanging="324"/>
        <w:spacing w:after="0" w:line="241"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980" w:right="280" w:hanging="324"/>
        <w:spacing w:after="0" w:line="324" w:lineRule="auto"/>
        <w:tabs>
          <w:tab w:leader="none" w:pos="975"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1" w:lineRule="exact"/>
        <w:rPr>
          <w:rFonts w:ascii="Arial" w:cs="Arial" w:eastAsia="Arial" w:hAnsi="Arial"/>
          <w:sz w:val="16"/>
          <w:szCs w:val="16"/>
          <w:color w:val="auto"/>
        </w:rPr>
      </w:pPr>
    </w:p>
    <w:p>
      <w:pPr>
        <w:ind w:left="980" w:right="380" w:hanging="324"/>
        <w:spacing w:after="0" w:line="261" w:lineRule="auto"/>
        <w:tabs>
          <w:tab w:leader="none" w:pos="9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operational difficulties due to physical distancing restrictions and the additional demands such restrictions may place on our employees, which may in turn make it more challenging to retain or recruit talented labor;</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and hedging strategies;</w:t>
      </w:r>
    </w:p>
    <w:p>
      <w:pPr>
        <w:spacing w:after="0" w:line="197" w:lineRule="exact"/>
        <w:rPr>
          <w:rFonts w:ascii="Arial" w:cs="Arial" w:eastAsia="Arial" w:hAnsi="Arial"/>
          <w:sz w:val="18"/>
          <w:szCs w:val="18"/>
          <w:color w:val="auto"/>
        </w:rPr>
      </w:pPr>
    </w:p>
    <w:p>
      <w:pPr>
        <w:ind w:left="980" w:right="80" w:hanging="324"/>
        <w:spacing w:after="0" w:line="261" w:lineRule="auto"/>
        <w:tabs>
          <w:tab w:leader="none" w:pos="9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197" w:lineRule="exact"/>
        <w:rPr>
          <w:rFonts w:ascii="Arial" w:cs="Arial" w:eastAsia="Arial" w:hAnsi="Arial"/>
          <w:sz w:val="18"/>
          <w:szCs w:val="18"/>
          <w:color w:val="auto"/>
        </w:rPr>
      </w:pPr>
    </w:p>
    <w:p>
      <w:pPr>
        <w:ind w:left="980" w:right="360" w:hanging="324"/>
        <w:spacing w:after="0" w:line="261" w:lineRule="auto"/>
        <w:tabs>
          <w:tab w:leader="none" w:pos="9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inability to complete forecasted asset sale transactions due to governmental action, litigation, counterparty non-performance or other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Factors:</w:t>
      </w:r>
    </w:p>
    <w:p>
      <w:pPr>
        <w:spacing w:after="0" w:line="252"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52" w:lineRule="exact"/>
        <w:rPr>
          <w:rFonts w:ascii="Arial" w:cs="Arial" w:eastAsia="Arial" w:hAnsi="Arial"/>
          <w:sz w:val="18"/>
          <w:szCs w:val="18"/>
          <w:color w:val="auto"/>
        </w:rPr>
      </w:pPr>
    </w:p>
    <w:p>
      <w:pPr>
        <w:ind w:left="980" w:right="260" w:hanging="324"/>
        <w:spacing w:after="0" w:line="342" w:lineRule="auto"/>
        <w:tabs>
          <w:tab w:leader="none" w:pos="9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52"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7" w:lineRule="exact"/>
        <w:rPr>
          <w:rFonts w:ascii="Arial" w:cs="Arial" w:eastAsia="Arial" w:hAnsi="Arial"/>
          <w:sz w:val="18"/>
          <w:szCs w:val="18"/>
          <w:color w:val="auto"/>
        </w:rPr>
      </w:pPr>
    </w:p>
    <w:p>
      <w:pPr>
        <w:ind w:left="980" w:right="300" w:hanging="324"/>
        <w:spacing w:after="0" w:line="291" w:lineRule="auto"/>
        <w:tabs>
          <w:tab w:leader="none" w:pos="97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46" w:lineRule="exact"/>
        <w:rPr>
          <w:rFonts w:ascii="Arial" w:cs="Arial" w:eastAsia="Arial" w:hAnsi="Arial"/>
          <w:sz w:val="17"/>
          <w:szCs w:val="17"/>
          <w:color w:val="auto"/>
        </w:rPr>
      </w:pPr>
    </w:p>
    <w:p>
      <w:pPr>
        <w:ind w:left="980" w:right="560" w:hanging="324"/>
        <w:spacing w:after="0" w:line="277"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980" w:right="260" w:hanging="324"/>
        <w:spacing w:after="0" w:line="261"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97"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80" w:hanging="324"/>
        <w:spacing w:after="0" w:line="263"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248" w:lineRule="exact"/>
        <w:rPr>
          <w:rFonts w:ascii="Arial" w:cs="Arial" w:eastAsia="Arial" w:hAnsi="Arial"/>
          <w:sz w:val="16"/>
          <w:szCs w:val="16"/>
          <w:color w:val="auto"/>
        </w:rPr>
      </w:pPr>
    </w:p>
    <w:p>
      <w:pPr>
        <w:ind w:left="980" w:right="440" w:hanging="324"/>
        <w:spacing w:after="0" w:line="277"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2019 Annual Report on Form 10-K. Except as required by applicable securities laws, we do not intend to update these forward-looking statements and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40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spacing w:after="0" w:line="165" w:lineRule="exact"/>
        <w:rPr>
          <w:rFonts w:ascii="Arial" w:cs="Arial" w:eastAsia="Arial" w:hAnsi="Arial"/>
          <w:sz w:val="18"/>
          <w:szCs w:val="18"/>
          <w:i w:val="1"/>
          <w:iCs w:val="1"/>
          <w:color w:val="auto"/>
        </w:rPr>
      </w:pPr>
    </w:p>
    <w:p>
      <w:pPr>
        <w:ind w:left="980" w:hanging="324"/>
        <w:spacing w:after="0"/>
        <w:tabs>
          <w:tab w:leader="none" w:pos="98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right="6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rFonts w:ascii="Arial" w:cs="Arial" w:eastAsia="Arial" w:hAnsi="Arial"/>
          <w:sz w:val="18"/>
          <w:szCs w:val="18"/>
          <w:i w:val="1"/>
          <w:iCs w:val="1"/>
          <w:color w:val="auto"/>
        </w:rPr>
      </w:pPr>
    </w:p>
    <w:p>
      <w:pPr>
        <w:ind w:left="980" w:right="26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8"/>
          <w:szCs w:val="18"/>
          <w:color w:val="auto"/>
        </w:rPr>
        <w:t>The fair value of our commodity derivatives and the change in fair value as of March 31, 2020 that would be expected from a 10% price increase or decrease is shown in the table below (in millions):</w:t>
      </w:r>
    </w:p>
    <w:tbl>
      <w:tblPr>
        <w:tblLayout w:type="fixed"/>
        <w:tblInd w:w="0" w:type="dxa"/>
        <w:tblCellMar>
          <w:top w:w="0" w:type="dxa"/>
          <w:left w:w="0" w:type="dxa"/>
          <w:bottom w:w="0" w:type="dxa"/>
          <w:right w:w="0" w:type="dxa"/>
        </w:tblCellMar>
      </w:tblPr>
      <w:tr>
        <w:trPr>
          <w:trHeight w:val="150"/>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line="150" w:lineRule="exact"/>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3"/>
                <w:szCs w:val="13"/>
                <w:color w:val="auto"/>
              </w:rPr>
            </w:pPr>
          </w:p>
        </w:tc>
        <w:tc>
          <w:tcPr>
            <w:tcW w:w="1260" w:type="dxa"/>
            <w:vAlign w:val="bottom"/>
          </w:tcPr>
          <w:p>
            <w:pPr>
              <w:jc w:val="right"/>
              <w:ind w:right="217"/>
              <w:spacing w:after="0" w:line="150" w:lineRule="exact"/>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6700" w:type="dxa"/>
            <w:vAlign w:val="bottom"/>
          </w:tcPr>
          <w:p>
            <w:pPr>
              <w:ind w:left="120"/>
              <w:spacing w:after="0"/>
              <w:rPr>
                <w:sz w:val="20"/>
                <w:szCs w:val="20"/>
                <w:color w:val="auto"/>
              </w:rPr>
            </w:pPr>
            <w:r>
              <w:rPr>
                <w:rFonts w:ascii="Arial" w:cs="Arial" w:eastAsia="Arial" w:hAnsi="Arial"/>
                <w:sz w:val="18"/>
                <w:szCs w:val="18"/>
                <w:color w:val="auto"/>
              </w:rPr>
              <w:t>Total fair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March 31, 2020, approximately $614 million, was subject to interest rate re-sets that generally range from one day to approximately one month. The average interest rate on variable rate debt that was outstanding during the three months ended March 31, 2020 was 2.2%, based upon rates in effect during such period. The fair value of our interest rate derivatives was a liability of $124 million as of March 31, 2020. A 10% increase in the forward LIBOR curve as of March 31, 2020 would have resulted in an increase of $14 million to the fair value of our interest rate derivatives. A 10% decrease in the forward LIBOR curve as of March 31, 2020 would have resulted in a decrease of $14 million to the fair value of our interest rate derivatives. See Note 10 to our Condensed Consolidated Financial Statements for a discussion of our interest rate risk hedging activities.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$5 million as of March 31, 2020. A 10% increase in the exchange rate (USD-to-CAD) would have resulted in a decrease of $17 million to the fair value of our foreign currency derivatives. A 10% decrease in the exchange rate (USD-to-CAD) would have resulted in an increase of $17 million to the fair value of our foreign currency derivatives. See Note 10 to our Condensed Consolidated Financial Statements for a discussion of our currency exchange rate risk hedging.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default probabilities and timing estimates to ultimately calculate the fair value of PAA’s Series A preferred units with and without the Preferred Distribution Rate Reset Option. The fair value of this embedded derivative was a liability of $8 million as of March 31, 2020. A 10% increase or decrease in the fair value would have an impact of $1 million. See Note 10 to our Condensed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2020,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2020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00" w:firstLine="648"/>
        <w:spacing w:after="0" w:line="248" w:lineRule="auto"/>
        <w:rPr>
          <w:sz w:val="20"/>
          <w:szCs w:val="20"/>
          <w:color w:val="auto"/>
        </w:rPr>
      </w:pPr>
      <w:r>
        <w:rPr>
          <w:rFonts w:ascii="Arial" w:cs="Arial" w:eastAsia="Arial" w:hAnsi="Arial"/>
          <w:sz w:val="18"/>
          <w:szCs w:val="18"/>
          <w:color w:val="auto"/>
        </w:rPr>
        <w:t>For a discussion regarding our risk factors, see Item 1A. of our 2019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as could the following:</w:t>
      </w:r>
    </w:p>
    <w:p>
      <w:pPr>
        <w:spacing w:after="0" w:line="20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PAA’s business, results of operations, financial condition, cash flows and unit price can be adversely affected by pandemics, epidemics or other public health emergencies, such as the recent COVID-19 pandemic.</w:t>
      </w:r>
    </w:p>
    <w:p>
      <w:pPr>
        <w:spacing w:after="0" w:line="19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PAA’s business, results of operations, financial condition, cash flows and unit price can be adversely affected by pandemics, epidemics or other public health emergencies, such as the recent outbreak of COVID-19. The COVID-19 pandemic has given rise to and/or heightened a variety of risks and uncertainties inherent in PAA’s business, many of which are described in our 2019 Annual Report. Such risks and uncertainties, which in some cases have been exacerbated by events and circumstances that are not related to the COVID-19 pandemic, have either already begun to adversely impact PAA’s business or are reasonably likely to adversely impact its business in the future. These risks, uncertainties and other factors include the following:</w:t>
      </w:r>
    </w:p>
    <w:p>
      <w:pPr>
        <w:spacing w:after="0" w:line="202" w:lineRule="exact"/>
        <w:rPr>
          <w:sz w:val="20"/>
          <w:szCs w:val="20"/>
          <w:color w:val="auto"/>
        </w:rPr>
      </w:pPr>
    </w:p>
    <w:p>
      <w:pPr>
        <w:ind w:left="660" w:hanging="328"/>
        <w:spacing w:after="0" w:line="250" w:lineRule="auto"/>
        <w:tabs>
          <w:tab w:leader="none" w:pos="648" w:val="left"/>
        </w:tabs>
        <w:numPr>
          <w:ilvl w:val="0"/>
          <w:numId w:val="66"/>
        </w:numPr>
        <w:rPr>
          <w:rFonts w:ascii="Arial" w:cs="Arial" w:eastAsia="Arial" w:hAnsi="Arial"/>
          <w:sz w:val="20"/>
          <w:szCs w:val="20"/>
          <w:color w:val="auto"/>
        </w:rPr>
      </w:pPr>
      <w:r>
        <w:rPr>
          <w:rFonts w:ascii="Arial" w:cs="Arial" w:eastAsia="Arial" w:hAnsi="Arial"/>
          <w:sz w:val="18"/>
          <w:szCs w:val="18"/>
          <w:color w:val="auto"/>
        </w:rPr>
        <w:t>The pandemic has resulted in a swift and material decline in global crude oil demand and crude oil prices, which PAA anticipates will lead to a significant reduction of domestic crude oil, NGL and natural gas production (whether due to reduced producer cash flow to fund drilling activities, the inability of producers to access capital,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PAA’s assets and/or the reduction of commercial opportunities that might otherwise be available to PAA.</w:t>
      </w:r>
    </w:p>
    <w:p>
      <w:pPr>
        <w:spacing w:after="0" w:line="234" w:lineRule="exact"/>
        <w:rPr>
          <w:rFonts w:ascii="Arial" w:cs="Arial" w:eastAsia="Arial" w:hAnsi="Arial"/>
          <w:sz w:val="20"/>
          <w:szCs w:val="20"/>
          <w:color w:val="auto"/>
        </w:rPr>
      </w:pPr>
    </w:p>
    <w:p>
      <w:pPr>
        <w:ind w:left="660" w:hanging="328"/>
        <w:spacing w:after="0" w:line="270" w:lineRule="auto"/>
        <w:tabs>
          <w:tab w:leader="none" w:pos="648" w:val="left"/>
        </w:tabs>
        <w:numPr>
          <w:ilvl w:val="0"/>
          <w:numId w:val="66"/>
        </w:numPr>
        <w:rPr>
          <w:rFonts w:ascii="Arial" w:cs="Arial" w:eastAsia="Arial" w:hAnsi="Arial"/>
          <w:sz w:val="19"/>
          <w:szCs w:val="19"/>
          <w:color w:val="auto"/>
        </w:rPr>
      </w:pPr>
      <w:r>
        <w:rPr>
          <w:rFonts w:ascii="Arial" w:cs="Arial" w:eastAsia="Arial" w:hAnsi="Arial"/>
          <w:sz w:val="17"/>
          <w:szCs w:val="17"/>
          <w:color w:val="auto"/>
        </w:rPr>
        <w:t>The significant decline in global crude oil demand has contributed to an oversupply of crude oil that has been exacerbated by the actions of foreign oil producers (most notably Saudi Arabia and Russia), who significantly increased crude oil production during the first quarter of 2020 and then subsequently announced in early April a temporary production cut of approximately ten million barrels per day.</w:t>
      </w:r>
    </w:p>
    <w:p>
      <w:pPr>
        <w:spacing w:after="0" w:line="218" w:lineRule="exact"/>
        <w:rPr>
          <w:rFonts w:ascii="Arial" w:cs="Arial" w:eastAsia="Arial" w:hAnsi="Arial"/>
          <w:sz w:val="19"/>
          <w:szCs w:val="19"/>
          <w:color w:val="auto"/>
        </w:rPr>
      </w:pPr>
    </w:p>
    <w:p>
      <w:pPr>
        <w:ind w:left="660" w:right="340" w:hanging="328"/>
        <w:spacing w:after="0" w:line="293"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6"/>
          <w:szCs w:val="16"/>
          <w:color w:val="auto"/>
        </w:rPr>
        <w:t>Because global demand for crude oil has declined more rapidly than supply, storage facilities have been filling at an accelerated rate and will likely reach levels at or near maximum operating capacity during the second quarter of 2020. This will lead to an “overhang” of significant amounts of crude oil inventory stored in the United States and elsewhere, a factor that has contributed to a material decline in crude oil prices.</w:t>
      </w:r>
    </w:p>
    <w:p>
      <w:pPr>
        <w:spacing w:after="0" w:line="202" w:lineRule="exact"/>
        <w:rPr>
          <w:rFonts w:ascii="Arial" w:cs="Arial" w:eastAsia="Arial" w:hAnsi="Arial"/>
          <w:sz w:val="18"/>
          <w:szCs w:val="18"/>
          <w:color w:val="auto"/>
        </w:rPr>
      </w:pPr>
    </w:p>
    <w:p>
      <w:pPr>
        <w:ind w:left="660" w:right="20" w:hanging="328"/>
        <w:spacing w:after="0" w:line="291"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6"/>
          <w:szCs w:val="16"/>
          <w:color w:val="auto"/>
        </w:rPr>
        <w:t>The resulting macroeconomic environment of reduced crude oil demand, excess crude oil supply and low crude oil prices has caused producers throughout North America, including many of PAA’s customers in the Permian Basin and elsewhere, to begin cutting back on production levels and may eventually lead to the shutting in of production by such producers. This could have a material adverse effect on the demand for the midstream services PAA offers and the commercial opportunities that are available to it. In turn, such factors could have a material adverse impact on PAA’s financial performance during the current year and future periods. A turnaround of these adverse macroeconomic factors depends largely on an increase in global demand for crude oil, which will be driven primarily by the length of time it takes for the United States, Canada, and the rest of the world to slow the spread of the COVID-19 virus to the point where applicable authorities are comfortable easing current restrictions on various commercial and economic activities and the extent to which consumer demand and demand for crude oil rebound once such restrictions are lifted. The timing of any such easing of restrictions and resulting market recovery is highly uncertain and depends on a wide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20"/>
        <w:spacing w:after="0" w:line="273" w:lineRule="auto"/>
        <w:rPr>
          <w:sz w:val="20"/>
          <w:szCs w:val="20"/>
          <w:color w:val="auto"/>
        </w:rPr>
      </w:pPr>
      <w:r>
        <w:rPr>
          <w:rFonts w:ascii="Arial" w:cs="Arial" w:eastAsia="Arial" w:hAnsi="Arial"/>
          <w:sz w:val="17"/>
          <w:szCs w:val="17"/>
          <w:color w:val="auto"/>
        </w:rPr>
        <w:t>variety of factors that are outside of PAA’s control, including the development and effectiveness of COVID-19 testing protocols, treatments and vaccines; the capacity of our healthcare systems and public health infrastructure to manage current and future outbreaks; the availability and impact of new epidemiological information about the virus; and various political and economic considerations. Even once such restrictions are lifted, it is unknown whether consumption of petroleum products will return to pre-COVID levels, due to changes in consumer habits or preferences. As a result, PAA is unable to predict the timing of any such market recovery, including a return to market conditions that are more conducive to an increase in drilling and production activities in the United States and Canada.</w:t>
      </w:r>
    </w:p>
    <w:p>
      <w:pPr>
        <w:spacing w:after="0" w:line="218" w:lineRule="exact"/>
        <w:rPr>
          <w:sz w:val="20"/>
          <w:szCs w:val="20"/>
          <w:color w:val="auto"/>
        </w:rPr>
      </w:pPr>
    </w:p>
    <w:p>
      <w:pPr>
        <w:ind w:left="660" w:right="60" w:hanging="328"/>
        <w:spacing w:after="0" w:line="287"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6"/>
          <w:szCs w:val="16"/>
          <w:color w:val="auto"/>
        </w:rPr>
        <w:t>PAA anticipates an increased risk of nonpayment and nonperformance by customers or other counterparties. PAA’s customers or counterparties may refuse or be unable to perform their obligations under their contracts with it (including commercial contracts, asset sale agreements and other agreements), whether justified or not and whether due to financial constraints (reduced creditworthiness, liquidity issues or insolvency), market constraints, legal constraints (including bankruptcy proceedings, governmental orders or guidance), the exercise of contractual or common law rights that allegedly excuse their performance (such as force majeure or similar claims) or other factors.</w:t>
      </w:r>
    </w:p>
    <w:p>
      <w:pPr>
        <w:spacing w:after="0" w:line="208" w:lineRule="exact"/>
        <w:rPr>
          <w:rFonts w:ascii="Arial" w:cs="Arial" w:eastAsia="Arial" w:hAnsi="Arial"/>
          <w:sz w:val="18"/>
          <w:szCs w:val="18"/>
          <w:color w:val="auto"/>
        </w:rPr>
      </w:pPr>
    </w:p>
    <w:p>
      <w:pPr>
        <w:ind w:left="660" w:hanging="328"/>
        <w:spacing w:after="0" w:line="250" w:lineRule="auto"/>
        <w:tabs>
          <w:tab w:leader="none" w:pos="648" w:val="left"/>
        </w:tabs>
        <w:numPr>
          <w:ilvl w:val="0"/>
          <w:numId w:val="67"/>
        </w:numPr>
        <w:rPr>
          <w:rFonts w:ascii="Arial" w:cs="Arial" w:eastAsia="Arial" w:hAnsi="Arial"/>
          <w:sz w:val="20"/>
          <w:szCs w:val="20"/>
          <w:color w:val="auto"/>
        </w:rPr>
      </w:pPr>
      <w:r>
        <w:rPr>
          <w:rFonts w:ascii="Arial" w:cs="Arial" w:eastAsia="Arial" w:hAnsi="Arial"/>
          <w:sz w:val="18"/>
          <w:szCs w:val="18"/>
          <w:color w:val="auto"/>
        </w:rPr>
        <w:t>PAA may face additional challenges maintaining its investment grade credit rating, which could in turn reduce its borrowing capacity and cause its counterparties to reduce the amount of open credit PAA receives from them. Disruptions to futures markets for crude oil, NGL and other petroleum projects may also impair PAA’s ability to execute its commercial and hedging strategies.</w:t>
      </w:r>
    </w:p>
    <w:p>
      <w:pPr>
        <w:spacing w:after="0" w:line="233" w:lineRule="exact"/>
        <w:rPr>
          <w:rFonts w:ascii="Arial" w:cs="Arial" w:eastAsia="Arial" w:hAnsi="Arial"/>
          <w:sz w:val="20"/>
          <w:szCs w:val="20"/>
          <w:color w:val="auto"/>
        </w:rPr>
      </w:pPr>
    </w:p>
    <w:p>
      <w:pPr>
        <w:jc w:val="both"/>
        <w:ind w:left="660" w:right="100" w:hanging="328"/>
        <w:spacing w:after="0" w:line="250" w:lineRule="auto"/>
        <w:tabs>
          <w:tab w:leader="none" w:pos="648" w:val="left"/>
        </w:tabs>
        <w:numPr>
          <w:ilvl w:val="0"/>
          <w:numId w:val="67"/>
        </w:numPr>
        <w:rPr>
          <w:rFonts w:ascii="Arial" w:cs="Arial" w:eastAsia="Arial" w:hAnsi="Arial"/>
          <w:sz w:val="20"/>
          <w:szCs w:val="20"/>
          <w:color w:val="auto"/>
        </w:rPr>
      </w:pPr>
      <w:r>
        <w:rPr>
          <w:rFonts w:ascii="Arial" w:cs="Arial" w:eastAsia="Arial" w:hAnsi="Arial"/>
          <w:sz w:val="18"/>
          <w:szCs w:val="18"/>
          <w:color w:val="auto"/>
        </w:rPr>
        <w:t>Many of PAA’s support functions are operating remotely, which presents technical and communication challenges. As a result, PAA may be more vulnerable to cybersecurity breaches, risk management oversights or other delays in, or disruptions to, communications, which may in turn affect PAA’s ability to effectively manage its business.</w:t>
      </w:r>
    </w:p>
    <w:p>
      <w:pPr>
        <w:spacing w:after="0" w:line="233" w:lineRule="exact"/>
        <w:rPr>
          <w:rFonts w:ascii="Arial" w:cs="Arial" w:eastAsia="Arial" w:hAnsi="Arial"/>
          <w:sz w:val="20"/>
          <w:szCs w:val="20"/>
          <w:color w:val="auto"/>
        </w:rPr>
      </w:pPr>
    </w:p>
    <w:p>
      <w:pPr>
        <w:ind w:left="660" w:right="800" w:hanging="328"/>
        <w:spacing w:after="0" w:line="250" w:lineRule="auto"/>
        <w:tabs>
          <w:tab w:leader="none" w:pos="648" w:val="left"/>
        </w:tabs>
        <w:numPr>
          <w:ilvl w:val="0"/>
          <w:numId w:val="67"/>
        </w:numPr>
        <w:rPr>
          <w:rFonts w:ascii="Arial" w:cs="Arial" w:eastAsia="Arial" w:hAnsi="Arial"/>
          <w:sz w:val="20"/>
          <w:szCs w:val="20"/>
          <w:color w:val="auto"/>
        </w:rPr>
      </w:pPr>
      <w:r>
        <w:rPr>
          <w:rFonts w:ascii="Arial" w:cs="Arial" w:eastAsia="Arial" w:hAnsi="Arial"/>
          <w:sz w:val="18"/>
          <w:szCs w:val="18"/>
          <w:color w:val="auto"/>
        </w:rPr>
        <w:t>PAA may face operational difficulties due to physical distancing restrictions. Such restrictions may also place additional demands on its employees, which may in turn make it more challenging to retain or recruit talented labor.</w:t>
      </w:r>
    </w:p>
    <w:p>
      <w:pPr>
        <w:spacing w:after="0" w:line="233" w:lineRule="exact"/>
        <w:rPr>
          <w:rFonts w:ascii="Arial" w:cs="Arial" w:eastAsia="Arial" w:hAnsi="Arial"/>
          <w:sz w:val="20"/>
          <w:szCs w:val="20"/>
          <w:color w:val="auto"/>
        </w:rPr>
      </w:pPr>
    </w:p>
    <w:p>
      <w:pPr>
        <w:jc w:val="both"/>
        <w:ind w:left="660" w:right="220" w:hanging="328"/>
        <w:spacing w:after="0" w:line="250" w:lineRule="auto"/>
        <w:tabs>
          <w:tab w:leader="none" w:pos="648" w:val="left"/>
        </w:tabs>
        <w:numPr>
          <w:ilvl w:val="0"/>
          <w:numId w:val="67"/>
        </w:numPr>
        <w:rPr>
          <w:rFonts w:ascii="Arial" w:cs="Arial" w:eastAsia="Arial" w:hAnsi="Arial"/>
          <w:sz w:val="20"/>
          <w:szCs w:val="20"/>
          <w:color w:val="auto"/>
        </w:rPr>
      </w:pPr>
      <w:r>
        <w:rPr>
          <w:rFonts w:ascii="Arial" w:cs="Arial" w:eastAsia="Arial" w:hAnsi="Arial"/>
          <w:sz w:val="18"/>
          <w:szCs w:val="18"/>
          <w:color w:val="auto"/>
        </w:rPr>
        <w:t>PAA may have additional difficulties performing its obligations under its contracts, whether due to non-performance by third parties, including PAA’s customers or counterparties, market constraints, third-party constraints, legal constraints (including governmental orders or guidance), or other factors.</w:t>
      </w:r>
    </w:p>
    <w:p>
      <w:pPr>
        <w:spacing w:after="0" w:line="233" w:lineRule="exact"/>
        <w:rPr>
          <w:rFonts w:ascii="Arial" w:cs="Arial" w:eastAsia="Arial" w:hAnsi="Arial"/>
          <w:sz w:val="20"/>
          <w:szCs w:val="20"/>
          <w:color w:val="auto"/>
        </w:rPr>
      </w:pPr>
    </w:p>
    <w:p>
      <w:pPr>
        <w:ind w:left="660" w:right="100" w:hanging="328"/>
        <w:spacing w:after="0" w:line="250" w:lineRule="auto"/>
        <w:tabs>
          <w:tab w:leader="none" w:pos="648" w:val="left"/>
        </w:tabs>
        <w:numPr>
          <w:ilvl w:val="0"/>
          <w:numId w:val="67"/>
        </w:numPr>
        <w:rPr>
          <w:rFonts w:ascii="Arial" w:cs="Arial" w:eastAsia="Arial" w:hAnsi="Arial"/>
          <w:sz w:val="20"/>
          <w:szCs w:val="20"/>
          <w:color w:val="auto"/>
        </w:rPr>
      </w:pPr>
      <w:r>
        <w:rPr>
          <w:rFonts w:ascii="Arial" w:cs="Arial" w:eastAsia="Arial" w:hAnsi="Arial"/>
          <w:sz w:val="18"/>
          <w:szCs w:val="18"/>
          <w:color w:val="auto"/>
        </w:rPr>
        <w:t>The COVID-19 pandemic has caused widespread supply chain disruptions, which may make it more challenging to obtain sufficient quantities of high quality materials at acceptable prices and in a timely manner. If PAA is unable to source such materials, it could materially and adversely affect its ability to construct new infrastructure and maintain its existing assets.</w:t>
      </w:r>
    </w:p>
    <w:p>
      <w:pPr>
        <w:spacing w:after="0" w:line="22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April 2020, PAA announced certain actions in response to the COVID-19 pandemic, including a reduction in distributions on its common units, planned reductions in capital expenditures, asset divestitures and other cost reductions throughout the organization and supply chain. However, PAA may be unable to reduce capital expenditures to the extent forecasted, effectively divest assets at attractive prices or realize anticipated cost savings. Even if PAA is able to execute its planned actions, they may be insufficient to maintain its liquidity and capital structure.</w:t>
      </w:r>
    </w:p>
    <w:p>
      <w:pPr>
        <w:spacing w:after="0" w:line="19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For all of these reasons, PAA cannot reasonably estimate with any degree of certainty the future impact COVID-19 may have on its results of operations, financial position, and liquidity.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right="120" w:firstLine="8"/>
        <w:spacing w:after="0" w:line="287" w:lineRule="auto"/>
        <w:tabs>
          <w:tab w:leader="none" w:pos="265" w:val="left"/>
        </w:tabs>
        <w:numPr>
          <w:ilvl w:val="0"/>
          <w:numId w:val="68"/>
        </w:numPr>
        <w:rPr>
          <w:rFonts w:ascii="Arial" w:cs="Arial" w:eastAsia="Arial" w:hAnsi="Arial"/>
          <w:sz w:val="16"/>
          <w:szCs w:val="16"/>
          <w:color w:val="auto"/>
        </w:rPr>
      </w:pPr>
      <w:r>
        <w:rPr>
          <w:rFonts w:ascii="Arial" w:cs="Arial" w:eastAsia="Arial" w:hAnsi="Arial"/>
          <w:sz w:val="16"/>
          <w:szCs w:val="16"/>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March 31, 2020, certain Legacy Owners or their permitted transferees exercised the Exchange Right, which resulted in the issuance of 2,101,487 Class A shares. The issuance of Class A shares in connection with the exercise of the Exchange Right was exempt from the registration requirements of the Securities Act of 1933, as amended, pursuant to Section 4(a)(2)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ind w:left="280"/>
              <w:spacing w:after="0"/>
              <w:rPr>
                <w:sz w:val="20"/>
                <w:szCs w:val="20"/>
                <w:color w:val="auto"/>
              </w:rPr>
            </w:pPr>
            <w:r>
              <w:rPr>
                <w:rFonts w:ascii="Arial" w:cs="Arial" w:eastAsia="Arial" w:hAnsi="Arial"/>
                <w:sz w:val="16"/>
                <w:szCs w:val="16"/>
                <w:b w:val="1"/>
                <w:bCs w:val="1"/>
                <w:color w:val="auto"/>
              </w:rPr>
              <w:t>Exhibit No.</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40" w:type="dxa"/>
            <w:vAlign w:val="bottom"/>
            <w:gridSpan w:val="20"/>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3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4"/>
          </w:tcPr>
          <w:p>
            <w:pPr>
              <w:spacing w:after="0"/>
              <w:rPr>
                <w:rFonts w:ascii="Arial" w:cs="Arial" w:eastAsia="Arial" w:hAnsi="Arial"/>
                <w:sz w:val="18"/>
                <w:szCs w:val="18"/>
                <w:color w:val="0000FF"/>
                <w:w w:val="97"/>
              </w:rPr>
            </w:pPr>
            <w:hyperlink r:id="rId164">
              <w:r>
                <w:rPr>
                  <w:rFonts w:ascii="Arial" w:cs="Arial" w:eastAsia="Arial" w:hAnsi="Arial"/>
                  <w:sz w:val="18"/>
                  <w:szCs w:val="18"/>
                  <w:color w:val="0000FF"/>
                  <w:w w:val="97"/>
                </w:rPr>
                <w:t>Certificate of Limited Partnership of Plains GP Holdings, L.P. (incorporated by reference to Exhibit 3.1 to our Registration</w:t>
              </w:r>
            </w:hyperlink>
          </w:p>
        </w:tc>
      </w:tr>
      <w:tr>
        <w:trPr>
          <w:trHeight w:val="156"/>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Statement on Form S-1 (333-190227) filed July 29, 2013).</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4"/>
          </w:tcPr>
          <w:p>
            <w:pPr>
              <w:spacing w:after="0"/>
              <w:rPr>
                <w:rFonts w:ascii="Arial" w:cs="Arial" w:eastAsia="Arial" w:hAnsi="Arial"/>
                <w:sz w:val="18"/>
                <w:szCs w:val="18"/>
                <w:color w:val="0000FF"/>
                <w:w w:val="92"/>
              </w:rPr>
            </w:pPr>
            <w:hyperlink r:id="rId165">
              <w:r>
                <w:rPr>
                  <w:rFonts w:ascii="Arial" w:cs="Arial" w:eastAsia="Arial" w:hAnsi="Arial"/>
                  <w:sz w:val="18"/>
                  <w:szCs w:val="18"/>
                  <w:color w:val="0000FF"/>
                  <w:w w:val="92"/>
                </w:rPr>
                <w:t>Second Amended and Restated Agreement of Limited Partnership of Plains GP Holdings, L.P. dated as of November 15, 2016</w:t>
              </w:r>
            </w:hyperlink>
          </w:p>
        </w:tc>
      </w:tr>
      <w:tr>
        <w:trPr>
          <w:trHeight w:val="224"/>
        </w:trPr>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(incorporated by reference to Exhibit 3.2 to our Current Report on Form 8-K filed November 21, 2016).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060" w:type="dxa"/>
            <w:vAlign w:val="bottom"/>
            <w:tcBorders>
              <w:bottom w:val="single" w:sz="8" w:color="0000FF"/>
            </w:tcBorders>
            <w:gridSpan w:val="14"/>
          </w:tcPr>
          <w:p>
            <w:pPr>
              <w:spacing w:after="0"/>
              <w:rPr>
                <w:rFonts w:ascii="Arial" w:cs="Arial" w:eastAsia="Arial" w:hAnsi="Arial"/>
                <w:sz w:val="18"/>
                <w:szCs w:val="18"/>
                <w:color w:val="0000FF"/>
                <w:w w:val="92"/>
              </w:rPr>
            </w:pPr>
            <w:hyperlink r:id="rId166">
              <w:r>
                <w:rPr>
                  <w:rFonts w:ascii="Arial" w:cs="Arial" w:eastAsia="Arial" w:hAnsi="Arial"/>
                  <w:sz w:val="18"/>
                  <w:szCs w:val="18"/>
                  <w:color w:val="0000FF"/>
                  <w:w w:val="92"/>
                </w:rPr>
                <w:t>Certificate of Formation of PAA GP Holdings LLC (incorporated by reference to Exhibit 3.3 to our Registration Statement on</w:t>
              </w:r>
            </w:hyperlink>
          </w:p>
        </w:tc>
        <w:tc>
          <w:tcPr>
            <w:tcW w:w="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56"/>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Form S-1 (333-190227) filed July 29, 2013).</w:t>
              </w:r>
            </w:hyperlink>
          </w:p>
        </w:tc>
        <w:tc>
          <w:tcPr>
            <w:tcW w:w="5840" w:type="dxa"/>
            <w:vAlign w:val="bottom"/>
            <w:gridSpan w:val="1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60" w:type="dxa"/>
            <w:vAlign w:val="bottom"/>
            <w:tcBorders>
              <w:bottom w:val="single" w:sz="8" w:color="0000FF"/>
            </w:tcBorders>
            <w:gridSpan w:val="18"/>
          </w:tcPr>
          <w:p>
            <w:pPr>
              <w:spacing w:after="0"/>
              <w:rPr>
                <w:rFonts w:ascii="Arial" w:cs="Arial" w:eastAsia="Arial" w:hAnsi="Arial"/>
                <w:sz w:val="18"/>
                <w:szCs w:val="18"/>
                <w:color w:val="0000FF"/>
                <w:w w:val="92"/>
              </w:rPr>
            </w:pPr>
            <w:hyperlink r:id="rId167">
              <w:r>
                <w:rPr>
                  <w:rFonts w:ascii="Arial" w:cs="Arial" w:eastAsia="Arial" w:hAnsi="Arial"/>
                  <w:sz w:val="18"/>
                  <w:szCs w:val="18"/>
                  <w:color w:val="0000FF"/>
                  <w:w w:val="92"/>
                </w:rPr>
                <w:t>Third Amended and Restated Limited Liability Company Agreement of PAA GP Holdings LLC dated as of February 16, 2017</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gridSpan w:val="18"/>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(incorporated by reference to Exhibit 3.1 to our Current Report on Form 8-K filed February 21, 2017).</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4"/>
          </w:tcPr>
          <w:p>
            <w:pPr>
              <w:spacing w:after="0"/>
              <w:rPr>
                <w:rFonts w:ascii="Arial" w:cs="Arial" w:eastAsia="Arial" w:hAnsi="Arial"/>
                <w:sz w:val="18"/>
                <w:szCs w:val="18"/>
                <w:color w:val="0000FF"/>
                <w:w w:val="92"/>
              </w:rPr>
            </w:pPr>
            <w:hyperlink r:id="rId168">
              <w:r>
                <w:rPr>
                  <w:rFonts w:ascii="Arial" w:cs="Arial" w:eastAsia="Arial" w:hAnsi="Arial"/>
                  <w:sz w:val="18"/>
                  <w:szCs w:val="18"/>
                  <w:color w:val="0000FF"/>
                  <w:w w:val="92"/>
                </w:rPr>
                <w:t>Amendment No. 1 dated October 1, 2018 to the Third Amended and Restated Limited Liability Company Agreement of PAA GP</w:t>
              </w:r>
            </w:hyperlink>
          </w:p>
        </w:tc>
      </w:tr>
      <w:tr>
        <w:trPr>
          <w:trHeight w:val="224"/>
        </w:trPr>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40" w:type="dxa"/>
            <w:vAlign w:val="bottom"/>
            <w:tcBorders>
              <w:top w:val="single" w:sz="8" w:color="0000FF"/>
            </w:tcBorders>
            <w:gridSpan w:val="23"/>
          </w:tcPr>
          <w:p>
            <w:pPr>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Holdings LLC (incorporated by reference to Exhibit 3.1 to our Current Report on Form 8-K filed August 20, 2018).</w:t>
              </w:r>
            </w:hyperlink>
          </w:p>
        </w:tc>
        <w:tc>
          <w:tcPr>
            <w:tcW w:w="20" w:type="dxa"/>
            <w:vAlign w:val="bottom"/>
          </w:tcPr>
          <w:p>
            <w:pPr>
              <w:spacing w:after="0"/>
              <w:rPr>
                <w:sz w:val="19"/>
                <w:szCs w:val="19"/>
                <w:color w:val="auto"/>
              </w:rPr>
            </w:pPr>
          </w:p>
        </w:tc>
      </w:tr>
      <w:tr>
        <w:trPr>
          <w:trHeight w:val="269"/>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360" w:type="dxa"/>
            <w:vAlign w:val="bottom"/>
            <w:gridSpan w:val="24"/>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Amendment No. 2 dated December 10, 2018 to the Third Amended and Restated Limited Liability Company Agreement of PAA</w:t>
              </w:r>
            </w:hyperlink>
          </w:p>
        </w:tc>
      </w:tr>
      <w:tr>
        <w:trPr>
          <w:trHeight w:val="224"/>
        </w:trPr>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80" w:type="dxa"/>
            <w:vAlign w:val="bottom"/>
            <w:tcBorders>
              <w:top w:val="single" w:sz="8" w:color="0000FF"/>
            </w:tcBorders>
            <w:gridSpan w:val="20"/>
          </w:tcPr>
          <w:p>
            <w:pPr>
              <w:spacing w:after="0"/>
              <w:rPr>
                <w:rFonts w:ascii="Arial" w:cs="Arial" w:eastAsia="Arial" w:hAnsi="Arial"/>
                <w:sz w:val="18"/>
                <w:szCs w:val="18"/>
                <w:u w:val="single" w:color="auto"/>
                <w:color w:val="0000FF"/>
                <w:w w:val="96"/>
              </w:rPr>
            </w:pPr>
            <w:hyperlink r:id="rId169">
              <w:r>
                <w:rPr>
                  <w:rFonts w:ascii="Arial" w:cs="Arial" w:eastAsia="Arial" w:hAnsi="Arial"/>
                  <w:sz w:val="18"/>
                  <w:szCs w:val="18"/>
                  <w:u w:val="single" w:color="auto"/>
                  <w:color w:val="0000FF"/>
                  <w:w w:val="96"/>
                </w:rPr>
                <w:t>GP Holdings LLC (incorporated by reference to Exhibit 3.1 to our Current Report on Form 8-K filed December 11, 2018).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69"/>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360" w:type="dxa"/>
            <w:vAlign w:val="bottom"/>
            <w:gridSpan w:val="24"/>
          </w:tcPr>
          <w:p>
            <w:pPr>
              <w:spacing w:after="0"/>
              <w:rPr>
                <w:rFonts w:ascii="Arial" w:cs="Arial" w:eastAsia="Arial" w:hAnsi="Arial"/>
                <w:sz w:val="18"/>
                <w:szCs w:val="18"/>
                <w:color w:val="0000FF"/>
                <w:w w:val="92"/>
              </w:rPr>
            </w:pPr>
            <w:hyperlink r:id="rId170">
              <w:r>
                <w:rPr>
                  <w:rFonts w:ascii="Arial" w:cs="Arial" w:eastAsia="Arial" w:hAnsi="Arial"/>
                  <w:sz w:val="18"/>
                  <w:szCs w:val="18"/>
                  <w:color w:val="0000FF"/>
                  <w:w w:val="92"/>
                </w:rPr>
                <w:t>Amendment No. 3 dated November 21, 2019 to the Third Amended and Restated Limited Liability Company Agreement of PAA</w:t>
              </w:r>
            </w:hyperlink>
          </w:p>
        </w:tc>
      </w:tr>
      <w:tr>
        <w:trPr>
          <w:trHeight w:val="224"/>
        </w:trPr>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20" w:type="dxa"/>
            <w:vAlign w:val="bottom"/>
            <w:tcBorders>
              <w:top w:val="single" w:sz="8" w:color="0000FF"/>
            </w:tcBorders>
            <w:gridSpan w:val="22"/>
          </w:tcPr>
          <w:p>
            <w:pPr>
              <w:spacing w:after="0"/>
              <w:rPr>
                <w:rFonts w:ascii="Arial" w:cs="Arial" w:eastAsia="Arial" w:hAnsi="Arial"/>
                <w:sz w:val="18"/>
                <w:szCs w:val="18"/>
                <w:u w:val="single" w:color="auto"/>
                <w:color w:val="0000FF"/>
                <w:w w:val="97"/>
              </w:rPr>
            </w:pPr>
            <w:hyperlink r:id="rId170">
              <w:r>
                <w:rPr>
                  <w:rFonts w:ascii="Arial" w:cs="Arial" w:eastAsia="Arial" w:hAnsi="Arial"/>
                  <w:sz w:val="18"/>
                  <w:szCs w:val="18"/>
                  <w:u w:val="single" w:color="auto"/>
                  <w:color w:val="0000FF"/>
                  <w:w w:val="97"/>
                </w:rPr>
                <w:t>GP Holdings LLC (incorporated by reference to Exhibit 3.1 to our Current Report on Form 8-K filed November 27, 2019).</w:t>
              </w:r>
            </w:hyperlink>
          </w:p>
        </w:tc>
        <w:tc>
          <w:tcPr>
            <w:tcW w:w="40" w:type="dxa"/>
            <w:vAlign w:val="bottom"/>
            <w:gridSpan w:val="2"/>
          </w:tcPr>
          <w:p>
            <w:pPr>
              <w:spacing w:after="0"/>
              <w:rPr>
                <w:sz w:val="19"/>
                <w:szCs w:val="19"/>
                <w:color w:val="auto"/>
              </w:rPr>
            </w:pPr>
          </w:p>
        </w:tc>
      </w:tr>
      <w:tr>
        <w:trPr>
          <w:trHeight w:val="269"/>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300" w:type="dxa"/>
            <w:vAlign w:val="bottom"/>
            <w:tcBorders>
              <w:bottom w:val="single" w:sz="8" w:color="0000FF"/>
            </w:tcBorders>
            <w:gridSpan w:val="21"/>
          </w:tcPr>
          <w:p>
            <w:pPr>
              <w:spacing w:after="0"/>
              <w:rPr>
                <w:rFonts w:ascii="Arial" w:cs="Arial" w:eastAsia="Arial" w:hAnsi="Arial"/>
                <w:sz w:val="18"/>
                <w:szCs w:val="18"/>
                <w:color w:val="0000FF"/>
                <w:w w:val="90"/>
              </w:rPr>
            </w:pPr>
            <w:hyperlink r:id="rId171">
              <w:r>
                <w:rPr>
                  <w:rFonts w:ascii="Arial" w:cs="Arial" w:eastAsia="Arial" w:hAnsi="Arial"/>
                  <w:sz w:val="18"/>
                  <w:szCs w:val="18"/>
                  <w:color w:val="0000FF"/>
                  <w:w w:val="90"/>
                </w:rPr>
                <w:t>Seventh Amended and Restated Agreement of Limited Partnership of Plains All American Pipeline, L.P., dated as of October 10,</w:t>
              </w:r>
            </w:hyperlink>
          </w:p>
        </w:tc>
        <w:tc>
          <w:tcPr>
            <w:tcW w:w="60" w:type="dxa"/>
            <w:vAlign w:val="bottom"/>
            <w:gridSpan w:val="3"/>
          </w:tcPr>
          <w:p>
            <w:pPr>
              <w:spacing w:after="0"/>
              <w:rPr>
                <w:sz w:val="23"/>
                <w:szCs w:val="23"/>
                <w:color w:val="auto"/>
              </w:rPr>
            </w:pPr>
          </w:p>
        </w:tc>
      </w:tr>
      <w:tr>
        <w:trPr>
          <w:trHeight w:val="224"/>
        </w:trPr>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21"/>
          </w:tcPr>
          <w:p>
            <w:pPr>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2017 (incorporated by reference to Exhibit 3.1 to PAA's Current Report on Form 8-K filed October 12, 2017).</w:t>
              </w:r>
            </w:hyperlink>
          </w:p>
        </w:tc>
        <w:tc>
          <w:tcPr>
            <w:tcW w:w="60" w:type="dxa"/>
            <w:vAlign w:val="bottom"/>
            <w:gridSpan w:val="3"/>
          </w:tcPr>
          <w:p>
            <w:pPr>
              <w:spacing w:after="0"/>
              <w:rPr>
                <w:sz w:val="19"/>
                <w:szCs w:val="19"/>
                <w:color w:val="auto"/>
              </w:rPr>
            </w:pPr>
          </w:p>
        </w:tc>
      </w:tr>
      <w:tr>
        <w:trPr>
          <w:trHeight w:val="269"/>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360" w:type="dxa"/>
            <w:vAlign w:val="bottom"/>
            <w:gridSpan w:val="24"/>
          </w:tcPr>
          <w:p>
            <w:pPr>
              <w:spacing w:after="0"/>
              <w:rPr>
                <w:rFonts w:ascii="Arial" w:cs="Arial" w:eastAsia="Arial" w:hAnsi="Arial"/>
                <w:sz w:val="18"/>
                <w:szCs w:val="18"/>
                <w:color w:val="0000FF"/>
                <w:w w:val="95"/>
              </w:rPr>
            </w:pPr>
            <w:hyperlink r:id="rId172">
              <w:r>
                <w:rPr>
                  <w:rFonts w:ascii="Arial" w:cs="Arial" w:eastAsia="Arial" w:hAnsi="Arial"/>
                  <w:sz w:val="18"/>
                  <w:szCs w:val="18"/>
                  <w:color w:val="0000FF"/>
                  <w:w w:val="95"/>
                </w:rPr>
                <w:t>Seventh Amended and Restated Limited Liability Company Agreement of Plains All American GP LLC dated November 15,</w:t>
              </w:r>
            </w:hyperlink>
          </w:p>
        </w:tc>
      </w:tr>
      <w:tr>
        <w:trPr>
          <w:trHeight w:val="224"/>
        </w:trPr>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2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2016 (incorporated by reference to Exhibit 3.3 to our Current Report on Form 8-K filed November 21, 2016).</w:t>
              </w:r>
            </w:hyperlink>
          </w:p>
        </w:tc>
        <w:tc>
          <w:tcPr>
            <w:tcW w:w="10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r>
      <w:tr>
        <w:trPr>
          <w:trHeight w:val="269"/>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360" w:type="dxa"/>
            <w:vAlign w:val="bottom"/>
            <w:gridSpan w:val="24"/>
          </w:tcPr>
          <w:p>
            <w:pPr>
              <w:spacing w:after="0"/>
              <w:rPr>
                <w:rFonts w:ascii="Arial" w:cs="Arial" w:eastAsia="Arial" w:hAnsi="Arial"/>
                <w:sz w:val="18"/>
                <w:szCs w:val="18"/>
                <w:color w:val="0000FF"/>
                <w:w w:val="93"/>
              </w:rPr>
            </w:pPr>
            <w:hyperlink r:id="rId173">
              <w:r>
                <w:rPr>
                  <w:rFonts w:ascii="Arial" w:cs="Arial" w:eastAsia="Arial" w:hAnsi="Arial"/>
                  <w:sz w:val="18"/>
                  <w:szCs w:val="18"/>
                  <w:color w:val="0000FF"/>
                  <w:w w:val="93"/>
                </w:rPr>
                <w:t>Eighth Amended and Restated Limited Partnership Agreement of Plains AAP, L.P. dated November 15, 2016 (incorporated by</w:t>
              </w:r>
            </w:hyperlink>
          </w:p>
        </w:tc>
      </w:tr>
      <w:tr>
        <w:trPr>
          <w:trHeight w:val="155"/>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reference to Exhibit 3.4 to our Current Report on Form 8-K filed November 21, 2016).</w:t>
              </w:r>
            </w:hyperlink>
          </w:p>
        </w:tc>
        <w:tc>
          <w:tcPr>
            <w:tcW w:w="28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940" w:type="dxa"/>
            <w:vAlign w:val="bottom"/>
            <w:tcBorders>
              <w:bottom w:val="single" w:sz="8" w:color="0000FF"/>
            </w:tcBorders>
            <w:gridSpan w:val="12"/>
          </w:tcPr>
          <w:p>
            <w:pPr>
              <w:spacing w:after="0"/>
              <w:rPr>
                <w:rFonts w:ascii="Arial" w:cs="Arial" w:eastAsia="Arial" w:hAnsi="Arial"/>
                <w:sz w:val="18"/>
                <w:szCs w:val="18"/>
                <w:color w:val="0000FF"/>
                <w:w w:val="90"/>
              </w:rPr>
            </w:pPr>
            <w:hyperlink r:id="rId174">
              <w:r>
                <w:rPr>
                  <w:rFonts w:ascii="Arial" w:cs="Arial" w:eastAsia="Arial" w:hAnsi="Arial"/>
                  <w:sz w:val="18"/>
                  <w:szCs w:val="18"/>
                  <w:color w:val="0000FF"/>
                  <w:w w:val="90"/>
                </w:rPr>
                <w:t>Amendment No. 1 dated September 26, 2018 to the Eighth Amended and Restated Limited Partnership Agreement of Plains</w:t>
              </w:r>
            </w:hyperlink>
          </w:p>
        </w:tc>
        <w:tc>
          <w:tcPr>
            <w:tcW w:w="200" w:type="dxa"/>
            <w:vAlign w:val="bottom"/>
            <w:gridSpan w:val="5"/>
          </w:tcPr>
          <w:p>
            <w:pPr>
              <w:spacing w:after="0"/>
              <w:rPr>
                <w:sz w:val="24"/>
                <w:szCs w:val="24"/>
                <w:color w:val="auto"/>
              </w:rPr>
            </w:pPr>
          </w:p>
        </w:tc>
        <w:tc>
          <w:tcPr>
            <w:tcW w:w="120" w:type="dxa"/>
            <w:vAlign w:val="bottom"/>
            <w:gridSpan w:val="2"/>
          </w:tcPr>
          <w:p>
            <w:pPr>
              <w:spacing w:after="0"/>
              <w:rPr>
                <w:sz w:val="24"/>
                <w:szCs w:val="24"/>
                <w:color w:val="auto"/>
              </w:rPr>
            </w:pPr>
          </w:p>
        </w:tc>
        <w:tc>
          <w:tcPr>
            <w:tcW w:w="100" w:type="dxa"/>
            <w:vAlign w:val="bottom"/>
            <w:gridSpan w:val="5"/>
          </w:tcPr>
          <w:p>
            <w:pPr>
              <w:spacing w:after="0"/>
              <w:rPr>
                <w:sz w:val="24"/>
                <w:szCs w:val="24"/>
                <w:color w:val="auto"/>
              </w:rPr>
            </w:pPr>
          </w:p>
        </w:tc>
      </w:tr>
      <w:tr>
        <w:trPr>
          <w:trHeight w:val="224"/>
        </w:trPr>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gridSpan w:val="12"/>
          </w:tcPr>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AAP, L.P. (incorporated by reference to Exhibit 3.1 to our Current Report on Form 8-K filed October 2, 2018).</w:t>
              </w:r>
            </w:hyperlink>
          </w:p>
        </w:tc>
        <w:tc>
          <w:tcPr>
            <w:tcW w:w="200" w:type="dxa"/>
            <w:vAlign w:val="bottom"/>
            <w:gridSpan w:val="5"/>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r>
      <w:tr>
        <w:trPr>
          <w:trHeight w:val="269"/>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360" w:type="dxa"/>
            <w:vAlign w:val="bottom"/>
            <w:gridSpan w:val="24"/>
          </w:tcPr>
          <w:p>
            <w:pPr>
              <w:spacing w:after="0"/>
              <w:rPr>
                <w:rFonts w:ascii="Arial" w:cs="Arial" w:eastAsia="Arial" w:hAnsi="Arial"/>
                <w:sz w:val="18"/>
                <w:szCs w:val="18"/>
                <w:color w:val="0000FF"/>
                <w:w w:val="91"/>
              </w:rPr>
            </w:pPr>
            <w:hyperlink r:id="rId175">
              <w:r>
                <w:rPr>
                  <w:rFonts w:ascii="Arial" w:cs="Arial" w:eastAsia="Arial" w:hAnsi="Arial"/>
                  <w:sz w:val="18"/>
                  <w:szCs w:val="18"/>
                  <w:color w:val="0000FF"/>
                  <w:w w:val="91"/>
                </w:rPr>
                <w:t>Amendment No. 2 dated May 23, 2019 to the Eighth Amended and Restated Limited Partnership Agreement of Plains AAP, L.P.</w:t>
              </w:r>
            </w:hyperlink>
          </w:p>
        </w:tc>
      </w:tr>
      <w:tr>
        <w:trPr>
          <w:trHeight w:val="155"/>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(incorporated by reference to Exhibit 3.1 to our Current Report on Form 8-K filed May 30, 2019).</w:t>
              </w:r>
            </w:hyperlink>
          </w:p>
        </w:tc>
        <w:tc>
          <w:tcPr>
            <w:tcW w:w="100" w:type="dxa"/>
            <w:vAlign w:val="bottom"/>
            <w:gridSpan w:val="5"/>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40" w:type="dxa"/>
            <w:vAlign w:val="bottom"/>
            <w:tcBorders>
              <w:bottom w:val="single" w:sz="8" w:color="0000FF"/>
            </w:tcBorders>
            <w:gridSpan w:val="17"/>
          </w:tcPr>
          <w:p>
            <w:pPr>
              <w:spacing w:after="0"/>
              <w:rPr>
                <w:rFonts w:ascii="Arial" w:cs="Arial" w:eastAsia="Arial" w:hAnsi="Arial"/>
                <w:sz w:val="18"/>
                <w:szCs w:val="18"/>
                <w:color w:val="0000FF"/>
                <w:w w:val="92"/>
              </w:rPr>
            </w:pPr>
            <w:hyperlink r:id="rId176">
              <w:r>
                <w:rPr>
                  <w:rFonts w:ascii="Arial" w:cs="Arial" w:eastAsia="Arial" w:hAnsi="Arial"/>
                  <w:sz w:val="18"/>
                  <w:szCs w:val="18"/>
                  <w:color w:val="0000FF"/>
                  <w:w w:val="92"/>
                </w:rPr>
                <w:t>Limited Liability Company Agreement of PAA GP LLC dated December 28, 2007 (incorporated by reference to Exhibit 3.3 to</w:t>
              </w:r>
            </w:hyperlink>
          </w:p>
        </w:tc>
        <w:tc>
          <w:tcPr>
            <w:tcW w:w="220" w:type="dxa"/>
            <w:vAlign w:val="bottom"/>
            <w:gridSpan w:val="7"/>
          </w:tcPr>
          <w:p>
            <w:pPr>
              <w:spacing w:after="0"/>
              <w:rPr>
                <w:sz w:val="24"/>
                <w:szCs w:val="24"/>
                <w:color w:val="auto"/>
              </w:rPr>
            </w:pPr>
          </w:p>
        </w:tc>
      </w:tr>
      <w:tr>
        <w:trPr>
          <w:trHeight w:val="156"/>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gridSpan w:val="17"/>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PAA’s Current Report on Form 8-K filed January 4, 2008).</w:t>
              </w:r>
            </w:hyperlink>
          </w:p>
        </w:tc>
        <w:tc>
          <w:tcPr>
            <w:tcW w:w="220" w:type="dxa"/>
            <w:vAlign w:val="bottom"/>
            <w:gridSpan w:val="7"/>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13"/>
          </w:tcPr>
          <w:p>
            <w:pPr>
              <w:spacing w:after="0" w:line="20" w:lineRule="exact"/>
              <w:rPr>
                <w:sz w:val="1"/>
                <w:szCs w:val="1"/>
                <w:color w:val="auto"/>
              </w:rPr>
            </w:pPr>
          </w:p>
        </w:tc>
      </w:tr>
      <w:tr>
        <w:trPr>
          <w:trHeight w:val="317"/>
        </w:trPr>
        <w:tc>
          <w:tcPr>
            <w:tcW w:w="13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700" w:type="dxa"/>
            <w:vAlign w:val="bottom"/>
            <w:tcBorders>
              <w:bottom w:val="single" w:sz="8" w:color="0000FF"/>
            </w:tcBorders>
            <w:gridSpan w:val="8"/>
          </w:tcPr>
          <w:p>
            <w:pPr>
              <w:spacing w:after="0"/>
              <w:rPr>
                <w:rFonts w:ascii="Arial" w:cs="Arial" w:eastAsia="Arial" w:hAnsi="Arial"/>
                <w:sz w:val="18"/>
                <w:szCs w:val="18"/>
                <w:color w:val="0000FF"/>
                <w:w w:val="90"/>
              </w:rPr>
            </w:pPr>
            <w:hyperlink r:id="rId177">
              <w:r>
                <w:rPr>
                  <w:rFonts w:ascii="Arial" w:cs="Arial" w:eastAsia="Arial" w:hAnsi="Arial"/>
                  <w:sz w:val="18"/>
                  <w:szCs w:val="18"/>
                  <w:color w:val="0000FF"/>
                  <w:w w:val="90"/>
                </w:rPr>
                <w:t>Indenture dated September 25, 2002 among Plains All American Pipeline, L.P., PAA Finance Corp. and Wachovia Bank,</w:t>
              </w:r>
            </w:hyperlink>
          </w:p>
        </w:tc>
        <w:tc>
          <w:tcPr>
            <w:tcW w:w="660" w:type="dxa"/>
            <w:vAlign w:val="bottom"/>
            <w:gridSpan w:val="16"/>
          </w:tcPr>
          <w:p>
            <w:pPr>
              <w:spacing w:after="0"/>
              <w:rPr>
                <w:sz w:val="24"/>
                <w:szCs w:val="24"/>
                <w:color w:val="auto"/>
              </w:rPr>
            </w:pPr>
          </w:p>
        </w:tc>
      </w:tr>
      <w:tr>
        <w:trPr>
          <w:trHeight w:val="156"/>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4"/>
          </w:tcPr>
          <w:p>
            <w:pPr>
              <w:spacing w:after="0" w:line="156" w:lineRule="exact"/>
              <w:rPr>
                <w:rFonts w:ascii="Arial" w:cs="Arial" w:eastAsia="Arial" w:hAnsi="Arial"/>
                <w:sz w:val="18"/>
                <w:szCs w:val="18"/>
                <w:color w:val="0000FF"/>
                <w:w w:val="97"/>
              </w:rPr>
            </w:pPr>
            <w:hyperlink r:id="rId177">
              <w:r>
                <w:rPr>
                  <w:rFonts w:ascii="Arial" w:cs="Arial" w:eastAsia="Arial" w:hAnsi="Arial"/>
                  <w:sz w:val="18"/>
                  <w:szCs w:val="18"/>
                  <w:color w:val="0000FF"/>
                  <w:w w:val="97"/>
                </w:rPr>
                <w:t>National Association, as trustee (incorporated by reference to Exhibit 4.1 to PAA’s Quarterly Report on Form 10-Q for the</w:t>
              </w:r>
            </w:hyperlink>
          </w:p>
        </w:tc>
      </w:tr>
      <w:tr>
        <w:trPr>
          <w:trHeight w:val="155"/>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77">
              <w:r>
                <w:rPr>
                  <w:rFonts w:ascii="Arial" w:cs="Arial" w:eastAsia="Arial" w:hAnsi="Arial"/>
                  <w:sz w:val="18"/>
                  <w:szCs w:val="18"/>
                  <w:color w:val="0000FF"/>
                  <w:w w:val="87"/>
                </w:rPr>
                <w:t>quarter ended September 30, 2002).</w:t>
              </w:r>
            </w:hyperlink>
          </w:p>
        </w:tc>
        <w:tc>
          <w:tcPr>
            <w:tcW w:w="6220" w:type="dxa"/>
            <w:vAlign w:val="bottom"/>
            <w:tcBorders>
              <w:top w:val="single" w:sz="8" w:color="0000FF"/>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500" w:type="dxa"/>
            <w:vAlign w:val="bottom"/>
            <w:gridSpan w:val="13"/>
          </w:tcPr>
          <w:p>
            <w:pPr>
              <w:spacing w:after="0"/>
              <w:rPr>
                <w:sz w:val="13"/>
                <w:szCs w:val="13"/>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4"/>
          </w:tcPr>
          <w:p>
            <w:pPr>
              <w:spacing w:after="0"/>
              <w:rPr>
                <w:rFonts w:ascii="Arial" w:cs="Arial" w:eastAsia="Arial" w:hAnsi="Arial"/>
                <w:sz w:val="18"/>
                <w:szCs w:val="18"/>
                <w:color w:val="0000FF"/>
                <w:w w:val="95"/>
              </w:rPr>
            </w:pPr>
            <w:hyperlink r:id="rId178">
              <w:r>
                <w:rPr>
                  <w:rFonts w:ascii="Arial" w:cs="Arial" w:eastAsia="Arial" w:hAnsi="Arial"/>
                  <w:sz w:val="18"/>
                  <w:szCs w:val="18"/>
                  <w:color w:val="0000FF"/>
                  <w:w w:val="95"/>
                </w:rPr>
                <w:t>Sixth Supplemental Indenture (Series A and Series B 6.70% Senior Notes due 2036) dated May 12, 2006 among Plains All</w:t>
              </w:r>
            </w:hyperlink>
          </w:p>
        </w:tc>
      </w:tr>
      <w:tr>
        <w:trPr>
          <w:trHeight w:val="157"/>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1"/>
          </w:tcPr>
          <w:p>
            <w:pPr>
              <w:spacing w:after="0" w:line="157" w:lineRule="exact"/>
              <w:rPr>
                <w:rFonts w:ascii="Arial" w:cs="Arial" w:eastAsia="Arial" w:hAnsi="Arial"/>
                <w:sz w:val="18"/>
                <w:szCs w:val="18"/>
                <w:u w:val="single" w:color="auto"/>
                <w:color w:val="0000FF"/>
                <w:w w:val="94"/>
              </w:rPr>
            </w:pPr>
            <w:hyperlink r:id="rId178">
              <w:r>
                <w:rPr>
                  <w:rFonts w:ascii="Arial" w:cs="Arial" w:eastAsia="Arial" w:hAnsi="Arial"/>
                  <w:sz w:val="18"/>
                  <w:szCs w:val="18"/>
                  <w:u w:val="single" w:color="auto"/>
                  <w:color w:val="0000FF"/>
                  <w:w w:val="94"/>
                </w:rPr>
                <w:t>American Pipeline, L.P., PAA Finance Corp., the Subsidiary Guarantors named therein and Wachovia Bank, National</w:t>
              </w:r>
            </w:hyperlink>
          </w:p>
        </w:tc>
        <w:tc>
          <w:tcPr>
            <w:tcW w:w="500" w:type="dxa"/>
            <w:vAlign w:val="bottom"/>
            <w:gridSpan w:val="13"/>
          </w:tcPr>
          <w:p>
            <w:pPr>
              <w:spacing w:after="0"/>
              <w:rPr>
                <w:sz w:val="13"/>
                <w:szCs w:val="13"/>
                <w:color w:val="auto"/>
              </w:rPr>
            </w:pPr>
          </w:p>
        </w:tc>
      </w:tr>
    </w:tbl>
    <w:p>
      <w:pPr>
        <w:ind w:left="1880"/>
        <w:spacing w:after="0"/>
        <w:rPr>
          <w:rFonts w:ascii="Arial" w:cs="Arial" w:eastAsia="Arial" w:hAnsi="Arial"/>
          <w:sz w:val="17"/>
          <w:szCs w:val="17"/>
          <w:u w:val="single" w:color="auto"/>
          <w:color w:val="0000FF"/>
        </w:rPr>
      </w:pPr>
      <w:hyperlink r:id="rId178">
        <w:r>
          <w:rPr>
            <w:rFonts w:ascii="Arial" w:cs="Arial" w:eastAsia="Arial" w:hAnsi="Arial"/>
            <w:sz w:val="17"/>
            <w:szCs w:val="17"/>
            <w:u w:val="single" w:color="auto"/>
            <w:color w:val="0000FF"/>
          </w:rPr>
          <w:t>Association, as trustee (incorporated by reference to Exhibit 4.1 to PAA’s Current Report on Form 8-K filed May 12, 2006).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4.12</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80"/>
        <w:spacing w:after="0" w:line="259" w:lineRule="auto"/>
        <w:rPr>
          <w:rFonts w:ascii="Arial" w:cs="Arial" w:eastAsia="Arial" w:hAnsi="Arial"/>
          <w:sz w:val="16"/>
          <w:szCs w:val="16"/>
          <w:u w:val="single" w:color="auto"/>
          <w:color w:val="0000FF"/>
        </w:rPr>
      </w:pPr>
      <w:hyperlink r:id="rId180">
        <w:r>
          <w:rPr>
            <w:rFonts w:ascii="Arial" w:cs="Arial" w:eastAsia="Arial" w:hAnsi="Arial"/>
            <w:sz w:val="16"/>
            <w:szCs w:val="16"/>
            <w:u w:val="single" w:color="auto"/>
            <w:color w:val="0000FF"/>
          </w:rPr>
          <w:t>Tenth Supplemental Indenture (Series A and Series B 6.650% Senior Notes due 2037) dated October 30, 2006 among Plains All</w:t>
        </w:r>
      </w:hyperlink>
      <w:r>
        <w:rPr>
          <w:rFonts w:ascii="Arial" w:cs="Arial" w:eastAsia="Arial" w:hAnsi="Arial"/>
          <w:sz w:val="16"/>
          <w:szCs w:val="16"/>
          <w:u w:val="single" w:color="auto"/>
          <w:color w:val="0000FF"/>
        </w:rPr>
        <w:t xml:space="preserve"> </w:t>
      </w:r>
      <w:hyperlink r:id="rId180">
        <w:r>
          <w:rPr>
            <w:rFonts w:ascii="Arial" w:cs="Arial" w:eastAsia="Arial" w:hAnsi="Arial"/>
            <w:sz w:val="16"/>
            <w:szCs w:val="16"/>
            <w:u w:val="single" w:color="auto"/>
            <w:color w:val="0000FF"/>
          </w:rPr>
          <w:t>American Pipeline, L.P., PAA Finance Corp., the Subsidiary Guarantors named therein and U.S. Bank National Association, as</w:t>
        </w:r>
      </w:hyperlink>
      <w:r>
        <w:rPr>
          <w:rFonts w:ascii="Arial" w:cs="Arial" w:eastAsia="Arial" w:hAnsi="Arial"/>
          <w:sz w:val="16"/>
          <w:szCs w:val="16"/>
          <w:u w:val="single" w:color="auto"/>
          <w:color w:val="0000FF"/>
        </w:rPr>
        <w:t xml:space="preserve"> </w:t>
      </w:r>
      <w:hyperlink r:id="rId180">
        <w:r>
          <w:rPr>
            <w:rFonts w:ascii="Arial" w:cs="Arial" w:eastAsia="Arial" w:hAnsi="Arial"/>
            <w:sz w:val="16"/>
            <w:szCs w:val="16"/>
            <w:u w:val="single" w:color="auto"/>
            <w:color w:val="0000FF"/>
          </w:rPr>
          <w:t>trustee (incorporated by reference to Exhibit 4.2 to PAA’s Current Report on Form 8-K filed October 30, 2006).</w:t>
        </w:r>
      </w:hyperlink>
    </w:p>
    <w:p>
      <w:pPr>
        <w:spacing w:after="0" w:line="93" w:lineRule="exact"/>
        <w:rPr>
          <w:rFonts w:ascii="Arial" w:cs="Arial" w:eastAsia="Arial" w:hAnsi="Arial"/>
          <w:sz w:val="16"/>
          <w:szCs w:val="16"/>
          <w:u w:val="single" w:color="auto"/>
          <w:color w:val="0000FF"/>
        </w:rPr>
      </w:pPr>
    </w:p>
    <w:p>
      <w:pPr>
        <w:jc w:val="both"/>
        <w:spacing w:after="0" w:line="237" w:lineRule="auto"/>
        <w:rPr>
          <w:rFonts w:ascii="Arial" w:cs="Arial" w:eastAsia="Arial" w:hAnsi="Arial"/>
          <w:sz w:val="17"/>
          <w:szCs w:val="17"/>
          <w:u w:val="single" w:color="auto"/>
          <w:color w:val="0000FF"/>
        </w:rPr>
      </w:pPr>
      <w:hyperlink r:id="rId181">
        <w:r>
          <w:rPr>
            <w:rFonts w:ascii="Arial" w:cs="Arial" w:eastAsia="Arial" w:hAnsi="Arial"/>
            <w:sz w:val="17"/>
            <w:szCs w:val="17"/>
            <w:u w:val="single" w:color="auto"/>
            <w:color w:val="0000FF"/>
          </w:rPr>
          <w:t>Nineteenth Supplemental Indenture (5.00% Senior Notes due 2021) dated January 14, 2011 among Plains All American Pipeline,</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L.P., PAA Finance Corp., the Subsidiary Guarantors named therein and U.S. Bank National Association, as trustee (incorporated</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by reference to Exhibit 4.1 to PAA’s Current Report on Form 8-K filed January 11, 2011).</w:t>
        </w:r>
      </w:hyperlink>
    </w:p>
    <w:p>
      <w:pPr>
        <w:spacing w:after="0" w:line="109" w:lineRule="exact"/>
        <w:rPr>
          <w:rFonts w:ascii="Arial" w:cs="Arial" w:eastAsia="Arial" w:hAnsi="Arial"/>
          <w:sz w:val="17"/>
          <w:szCs w:val="17"/>
          <w:u w:val="single" w:color="auto"/>
          <w:color w:val="0000FF"/>
        </w:rPr>
      </w:pPr>
    </w:p>
    <w:p>
      <w:pPr>
        <w:ind w:right="140"/>
        <w:spacing w:after="0" w:line="224" w:lineRule="auto"/>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Twentieth Supplemental Indenture (3.65% Senior Notes due 2022) dated March 22, 2012 among Plains All American Pipeline,</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L.P., PAA Finance Corp and U.S. Bank National Association, as trustee (incorporated by reference to Exhibit 4.1 to PAA’s</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Current Report on Form 8-K filed March 26, 2012).</w:t>
        </w:r>
      </w:hyperlink>
    </w:p>
    <w:p>
      <w:pPr>
        <w:spacing w:after="0" w:line="109" w:lineRule="exact"/>
        <w:rPr>
          <w:rFonts w:ascii="Arial" w:cs="Arial" w:eastAsia="Arial" w:hAnsi="Arial"/>
          <w:sz w:val="18"/>
          <w:szCs w:val="18"/>
          <w:u w:val="single" w:color="auto"/>
          <w:color w:val="0000FF"/>
        </w:rPr>
      </w:pPr>
    </w:p>
    <w:p>
      <w:pPr>
        <w:ind w:right="300"/>
        <w:spacing w:after="0" w:line="224" w:lineRule="auto"/>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Twenty-First Supplemental Indenture (5.15% Senior Notes due 2042) dated March 22, 2012 among Plains All American</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Pipeline, L.P., PAA Finance Corp and U.S. Bank National Association, as trustee (incorporated by reference to Exhibit 4.3 to</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PAA’s Current Report on Form 8-K filed March 26, 2012).</w:t>
        </w:r>
      </w:hyperlink>
    </w:p>
    <w:p>
      <w:pPr>
        <w:spacing w:after="0" w:line="109" w:lineRule="exact"/>
        <w:rPr>
          <w:rFonts w:ascii="Arial" w:cs="Arial" w:eastAsia="Arial" w:hAnsi="Arial"/>
          <w:sz w:val="18"/>
          <w:szCs w:val="18"/>
          <w:u w:val="single" w:color="auto"/>
          <w:color w:val="0000FF"/>
        </w:rPr>
      </w:pPr>
    </w:p>
    <w:p>
      <w:pPr>
        <w:ind w:right="320"/>
        <w:spacing w:after="0" w:line="224" w:lineRule="auto"/>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Twenty-Second Supplemental Indenture (2.85% Senior Notes due 2023) dated December 10, 2012, by and among Plains All</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Exhibit 4.1 to PAA’s Current Report on Form 8-K filed December 12, 2012).</w:t>
        </w:r>
      </w:hyperlink>
    </w:p>
    <w:p>
      <w:pPr>
        <w:spacing w:after="0" w:line="109" w:lineRule="exact"/>
        <w:rPr>
          <w:rFonts w:ascii="Arial" w:cs="Arial" w:eastAsia="Arial" w:hAnsi="Arial"/>
          <w:sz w:val="18"/>
          <w:szCs w:val="18"/>
          <w:u w:val="single" w:color="auto"/>
          <w:color w:val="0000FF"/>
        </w:rPr>
      </w:pPr>
    </w:p>
    <w:p>
      <w:pPr>
        <w:jc w:val="both"/>
        <w:ind w:right="460"/>
        <w:spacing w:after="0" w:line="224" w:lineRule="auto"/>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Twenty-Third Supplemental Indenture (4.30% Senior Notes due 2043) dated December 10, 2012, by and among Plains All</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Exhibit 4.3 to PAA’s Current Report on Form 8-K filed December 12, 2012).</w:t>
        </w:r>
      </w:hyperlink>
    </w:p>
    <w:p>
      <w:pPr>
        <w:spacing w:after="0" w:line="109" w:lineRule="exact"/>
        <w:rPr>
          <w:rFonts w:ascii="Arial" w:cs="Arial" w:eastAsia="Arial" w:hAnsi="Arial"/>
          <w:sz w:val="18"/>
          <w:szCs w:val="18"/>
          <w:u w:val="single" w:color="auto"/>
          <w:color w:val="0000FF"/>
        </w:rPr>
      </w:pPr>
    </w:p>
    <w:p>
      <w:pPr>
        <w:jc w:val="both"/>
        <w:ind w:right="540"/>
        <w:spacing w:after="0" w:line="224" w:lineRule="auto"/>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Twenty-Fourth Supplemental Indenture (3.85% Senior Notes due 2023) dated August 15, 2013, by and among Plains All</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Exhibit 4.1 to PAA’s Current Report on Form 8-K filed August 15, 2013).</w:t>
        </w:r>
      </w:hyperlink>
    </w:p>
    <w:p>
      <w:pPr>
        <w:spacing w:after="0" w:line="109" w:lineRule="exact"/>
        <w:rPr>
          <w:rFonts w:ascii="Arial" w:cs="Arial" w:eastAsia="Arial" w:hAnsi="Arial"/>
          <w:sz w:val="18"/>
          <w:szCs w:val="18"/>
          <w:u w:val="single" w:color="auto"/>
          <w:color w:val="0000FF"/>
        </w:rPr>
      </w:pPr>
    </w:p>
    <w:p>
      <w:pPr>
        <w:ind w:right="120"/>
        <w:spacing w:after="0" w:line="224"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Twenty-Fifth Supplemental Indenture (4.70% Senior Notes due 2044) dated April 23, 2014, by and among Plains All American</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Pipeline, L.P., PAA Finance Corp. and U.S. Bank National Association, as trustee (incorporated by reference to Exhibit 4.1 to</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our Current Report on Form 8-K filed April 29, 2014).</w:t>
        </w:r>
      </w:hyperlink>
    </w:p>
    <w:p>
      <w:pPr>
        <w:spacing w:after="0" w:line="109" w:lineRule="exact"/>
        <w:rPr>
          <w:rFonts w:ascii="Arial" w:cs="Arial" w:eastAsia="Arial" w:hAnsi="Arial"/>
          <w:sz w:val="18"/>
          <w:szCs w:val="18"/>
          <w:u w:val="single" w:color="auto"/>
          <w:color w:val="0000FF"/>
        </w:rPr>
      </w:pPr>
    </w:p>
    <w:p>
      <w:pPr>
        <w:jc w:val="both"/>
        <w:ind w:right="540"/>
        <w:spacing w:after="0" w:line="224"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Twenty-Sixth Supplemental Indenture (3.60% Senior Notes due 2024) dated September 9, 2014, by and among Plains All</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Exhibit 4.1 to our Current Report on Form 8-K filed September 11, 2014).</w:t>
        </w:r>
      </w:hyperlink>
    </w:p>
    <w:p>
      <w:pPr>
        <w:spacing w:after="0" w:line="109" w:lineRule="exact"/>
        <w:rPr>
          <w:rFonts w:ascii="Arial" w:cs="Arial" w:eastAsia="Arial" w:hAnsi="Arial"/>
          <w:sz w:val="18"/>
          <w:szCs w:val="18"/>
          <w:u w:val="single" w:color="auto"/>
          <w:color w:val="0000FF"/>
        </w:rPr>
      </w:pPr>
    </w:p>
    <w:p>
      <w:pPr>
        <w:jc w:val="both"/>
        <w:ind w:right="460"/>
        <w:spacing w:after="0" w:line="224" w:lineRule="auto"/>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Twenty-Eighth Supplemental Indenture (4.90% Senior Notes due 2045) dated December 9, 2014, by and among Plains All</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Exhibit 4.3 to our Current Report on Form 8-K filed December 11, 2014).</w:t>
        </w:r>
      </w:hyperlink>
    </w:p>
    <w:p>
      <w:pPr>
        <w:spacing w:after="0" w:line="109" w:lineRule="exact"/>
        <w:rPr>
          <w:rFonts w:ascii="Arial" w:cs="Arial" w:eastAsia="Arial" w:hAnsi="Arial"/>
          <w:sz w:val="18"/>
          <w:szCs w:val="18"/>
          <w:u w:val="single" w:color="auto"/>
          <w:color w:val="0000FF"/>
        </w:rPr>
      </w:pPr>
    </w:p>
    <w:p>
      <w:pPr>
        <w:ind w:right="500"/>
        <w:spacing w:after="0" w:line="224" w:lineRule="auto"/>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Twenty-Ninth Supplemental Indenture (4.65% Senior Notes due 2025) dated August 24, 2015, by and among Plains All</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Exhibit 4.1 to PAA’s Current Report on Form 8-K filed August 26, 2015).</w:t>
        </w:r>
      </w:hyperlink>
    </w:p>
    <w:p>
      <w:pPr>
        <w:spacing w:after="0" w:line="109" w:lineRule="exact"/>
        <w:rPr>
          <w:rFonts w:ascii="Arial" w:cs="Arial" w:eastAsia="Arial" w:hAnsi="Arial"/>
          <w:sz w:val="18"/>
          <w:szCs w:val="18"/>
          <w:u w:val="single" w:color="auto"/>
          <w:color w:val="0000FF"/>
        </w:rPr>
      </w:pPr>
    </w:p>
    <w:p>
      <w:pPr>
        <w:ind w:right="60"/>
        <w:spacing w:after="0" w:line="224" w:lineRule="auto"/>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Thirtieth Supplemental Indenture (4.50% Senior Notes due 2026) dated November 22, 2016, by and among Plains All American</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Pipeline, L.P., PAA Finance Corp., and U.S. Bank National Association, as trustee (incorporated by reference to Exhibit 4.1 to</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PAA’s Current Report on Form 8-K filed November 29, 2016).</w:t>
        </w:r>
      </w:hyperlink>
    </w:p>
    <w:p>
      <w:pPr>
        <w:spacing w:after="0" w:line="109" w:lineRule="exact"/>
        <w:rPr>
          <w:rFonts w:ascii="Arial" w:cs="Arial" w:eastAsia="Arial" w:hAnsi="Arial"/>
          <w:sz w:val="18"/>
          <w:szCs w:val="18"/>
          <w:u w:val="single" w:color="auto"/>
          <w:color w:val="0000FF"/>
        </w:rPr>
      </w:pPr>
    </w:p>
    <w:p>
      <w:pPr>
        <w:ind w:right="60"/>
        <w:spacing w:after="0" w:line="224" w:lineRule="auto"/>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Thirty-First Supplemental Indenture (3.55% Senior Notes due 2029) dated September 16, 2019, and among Plains All American</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Pipeline, L.P., PAA Finance Corp. and U.S. Bank National Association, as trustee (incorporated by reference to Exhibit 4.1 to</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PAA’s Current Report on Form 8-K filed September 17, 2019).</w:t>
        </w:r>
      </w:hyperlink>
    </w:p>
    <w:p>
      <w:pPr>
        <w:spacing w:after="0" w:line="109" w:lineRule="exact"/>
        <w:rPr>
          <w:rFonts w:ascii="Arial" w:cs="Arial" w:eastAsia="Arial" w:hAnsi="Arial"/>
          <w:sz w:val="18"/>
          <w:szCs w:val="18"/>
          <w:u w:val="single" w:color="auto"/>
          <w:color w:val="0000FF"/>
        </w:rPr>
      </w:pPr>
    </w:p>
    <w:p>
      <w:pPr>
        <w:jc w:val="both"/>
        <w:ind w:right="220"/>
        <w:spacing w:after="0" w:line="289" w:lineRule="auto"/>
        <w:rPr>
          <w:rFonts w:ascii="Arial" w:cs="Arial" w:eastAsia="Arial" w:hAnsi="Arial"/>
          <w:sz w:val="16"/>
          <w:szCs w:val="16"/>
          <w:u w:val="single" w:color="auto"/>
          <w:color w:val="0000FF"/>
        </w:rPr>
      </w:pPr>
      <w:hyperlink r:id="rId193">
        <w:r>
          <w:rPr>
            <w:rFonts w:ascii="Arial" w:cs="Arial" w:eastAsia="Arial" w:hAnsi="Arial"/>
            <w:sz w:val="16"/>
            <w:szCs w:val="16"/>
            <w:u w:val="single" w:color="auto"/>
            <w:color w:val="0000FF"/>
          </w:rPr>
          <w:t>Shareholder and Registration Rights Agreement dated October 21, 2013 by and among Plains GP Holdings, L.P. and the other</w:t>
        </w:r>
      </w:hyperlink>
      <w:r>
        <w:rPr>
          <w:rFonts w:ascii="Arial" w:cs="Arial" w:eastAsia="Arial" w:hAnsi="Arial"/>
          <w:sz w:val="16"/>
          <w:szCs w:val="16"/>
          <w:u w:val="single" w:color="auto"/>
          <w:color w:val="0000FF"/>
        </w:rPr>
        <w:t xml:space="preserve"> </w:t>
      </w:r>
      <w:hyperlink r:id="rId193">
        <w:r>
          <w:rPr>
            <w:rFonts w:ascii="Arial" w:cs="Arial" w:eastAsia="Arial" w:hAnsi="Arial"/>
            <w:sz w:val="16"/>
            <w:szCs w:val="16"/>
            <w:u w:val="single" w:color="auto"/>
            <w:color w:val="0000FF"/>
          </w:rPr>
          <w:t>parties signatory thereto (incorporated by reference to Exhibit 4.1 to our Current Report on Form 8-K filed October 25, 2013).</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540" w:space="340"/>
            <w:col w:w="9300"/>
          </w:cols>
          <w:pgMar w:left="320" w:top="125" w:right="39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4.17</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Description of Our Securities (incorporated by reference to Exhibit 4.17 to our Annual Report on Form 10-K for the year ended</w:t>
              </w:r>
            </w:hyperlink>
          </w:p>
        </w:tc>
      </w:tr>
      <w:tr>
        <w:trPr>
          <w:trHeight w:val="155"/>
        </w:trPr>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95">
              <w:r>
                <w:rPr>
                  <w:rFonts w:ascii="Arial" w:cs="Arial" w:eastAsia="Arial" w:hAnsi="Arial"/>
                  <w:sz w:val="18"/>
                  <w:szCs w:val="18"/>
                  <w:color w:val="0000FF"/>
                  <w:w w:val="88"/>
                </w:rPr>
                <w:t>December 31, 2019).</w:t>
              </w:r>
            </w:hyperlink>
          </w:p>
        </w:tc>
        <w:tc>
          <w:tcPr>
            <w:tcW w:w="76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87"/>
              </w:rPr>
              <w:t>31.1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Certification of Principal Executive Officer pursuant to Exchange Act Rules 13a-14(a) and 15d-14(a).</w:t>
              </w:r>
            </w:hyperlink>
          </w:p>
        </w:tc>
      </w:tr>
      <w:tr>
        <w:trPr>
          <w:trHeight w:val="378"/>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87"/>
              </w:rPr>
              <w:t>31.2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Certification of Principal Financial Officer pursuant to Exchange Act Rules 13a-14(a) and 15d-14(a).</w:t>
              </w:r>
            </w:hyperlink>
          </w:p>
        </w:tc>
      </w:tr>
      <w:tr>
        <w:trPr>
          <w:trHeight w:val="378"/>
        </w:trPr>
        <w:tc>
          <w:tcPr>
            <w:tcW w:w="920" w:type="dxa"/>
            <w:vAlign w:val="bottom"/>
          </w:tcPr>
          <w:p>
            <w:pPr>
              <w:jc w:val="center"/>
              <w:ind w:right="90"/>
              <w:spacing w:after="0"/>
              <w:rPr>
                <w:sz w:val="20"/>
                <w:szCs w:val="20"/>
                <w:color w:val="auto"/>
              </w:rPr>
            </w:pPr>
            <w:r>
              <w:rPr>
                <w:rFonts w:ascii="Arial" w:cs="Arial" w:eastAsia="Arial" w:hAnsi="Arial"/>
                <w:sz w:val="18"/>
                <w:szCs w:val="18"/>
                <w:color w:val="auto"/>
                <w:w w:val="89"/>
              </w:rPr>
              <w:t>32.1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Certification of Principal Executive Officer pursuant to 18 U.S.C. 1350.</w:t>
              </w:r>
            </w:hyperlink>
          </w:p>
        </w:tc>
      </w:tr>
      <w:tr>
        <w:trPr>
          <w:trHeight w:val="378"/>
        </w:trPr>
        <w:tc>
          <w:tcPr>
            <w:tcW w:w="920" w:type="dxa"/>
            <w:vAlign w:val="bottom"/>
          </w:tcPr>
          <w:p>
            <w:pPr>
              <w:jc w:val="center"/>
              <w:ind w:right="90"/>
              <w:spacing w:after="0"/>
              <w:rPr>
                <w:sz w:val="20"/>
                <w:szCs w:val="20"/>
                <w:color w:val="auto"/>
              </w:rPr>
            </w:pPr>
            <w:r>
              <w:rPr>
                <w:rFonts w:ascii="Arial" w:cs="Arial" w:eastAsia="Arial" w:hAnsi="Arial"/>
                <w:sz w:val="18"/>
                <w:szCs w:val="18"/>
                <w:color w:val="auto"/>
                <w:w w:val="89"/>
              </w:rPr>
              <w:t>32.2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Certification of Principal Financial Officer pursuant to 18 U.S.C. 1350.</w:t>
              </w:r>
            </w:hyperlink>
          </w:p>
        </w:tc>
      </w:tr>
      <w:tr>
        <w:trPr>
          <w:trHeight w:val="364"/>
        </w:trPr>
        <w:tc>
          <w:tcPr>
            <w:tcW w:w="920" w:type="dxa"/>
            <w:vAlign w:val="bottom"/>
          </w:tcPr>
          <w:p>
            <w:pPr>
              <w:jc w:val="center"/>
              <w:ind w:right="90"/>
              <w:spacing w:after="0"/>
              <w:rPr>
                <w:sz w:val="20"/>
                <w:szCs w:val="20"/>
                <w:color w:val="auto"/>
              </w:rPr>
            </w:pPr>
            <w:r>
              <w:rPr>
                <w:rFonts w:ascii="Arial" w:cs="Arial" w:eastAsia="Arial" w:hAnsi="Arial"/>
                <w:sz w:val="18"/>
                <w:szCs w:val="18"/>
                <w:color w:val="auto"/>
                <w:w w:val="93"/>
              </w:rPr>
              <w:t>101.INS†</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r>
      <w:tr>
        <w:trPr>
          <w:trHeight w:val="230"/>
        </w:trPr>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78"/>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101.SCH†</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78"/>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4"/>
              </w:rPr>
              <w:t>101.CAL†</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78"/>
        </w:trPr>
        <w:tc>
          <w:tcPr>
            <w:tcW w:w="920" w:type="dxa"/>
            <w:vAlign w:val="bottom"/>
          </w:tcPr>
          <w:p>
            <w:pPr>
              <w:jc w:val="center"/>
              <w:ind w:right="90"/>
              <w:spacing w:after="0"/>
              <w:rPr>
                <w:sz w:val="20"/>
                <w:szCs w:val="20"/>
                <w:color w:val="auto"/>
              </w:rPr>
            </w:pPr>
            <w:r>
              <w:rPr>
                <w:rFonts w:ascii="Arial" w:cs="Arial" w:eastAsia="Arial" w:hAnsi="Arial"/>
                <w:sz w:val="18"/>
                <w:szCs w:val="18"/>
                <w:color w:val="auto"/>
                <w:w w:val="91"/>
              </w:rPr>
              <w:t>101.DEF†</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78"/>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6"/>
              </w:rPr>
              <w:t>101.LAB†</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78"/>
        </w:trPr>
        <w:tc>
          <w:tcPr>
            <w:tcW w:w="920" w:type="dxa"/>
            <w:vAlign w:val="bottom"/>
          </w:tcPr>
          <w:p>
            <w:pPr>
              <w:jc w:val="center"/>
              <w:ind w:right="90"/>
              <w:spacing w:after="0"/>
              <w:rPr>
                <w:sz w:val="20"/>
                <w:szCs w:val="20"/>
                <w:color w:val="auto"/>
              </w:rPr>
            </w:pPr>
            <w:r>
              <w:rPr>
                <w:rFonts w:ascii="Arial" w:cs="Arial" w:eastAsia="Arial" w:hAnsi="Arial"/>
                <w:sz w:val="18"/>
                <w:szCs w:val="18"/>
                <w:color w:val="auto"/>
                <w:w w:val="90"/>
              </w:rPr>
              <w:t>101.PRE†</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78"/>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88"/>
              </w:rPr>
              <w:t>104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PLAINS GP HOLDINGS, L.P.</w:t>
      </w:r>
    </w:p>
    <w:p>
      <w:pPr>
        <w:spacing w:after="0" w:line="216"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PAA GP HOLDINGS LLC,</w:t>
            </w:r>
          </w:p>
        </w:tc>
      </w:tr>
      <w:tr>
        <w:trPr>
          <w:trHeight w:val="270"/>
        </w:trPr>
        <w:tc>
          <w:tcPr>
            <w:tcW w:w="66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Willie Chiang</w:t>
            </w:r>
          </w:p>
        </w:tc>
      </w:tr>
      <w:tr>
        <w:trPr>
          <w:trHeight w:val="27"/>
        </w:trPr>
        <w:tc>
          <w:tcPr>
            <w:tcW w:w="6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Willie Chiang,</w:t>
            </w:r>
          </w:p>
        </w:tc>
      </w:tr>
      <w:tr>
        <w:trPr>
          <w:trHeight w:val="256"/>
        </w:trPr>
        <w:tc>
          <w:tcPr>
            <w:tcW w:w="66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w w:val="95"/>
              </w:rPr>
              <w:t>Chief Executive Officer and Director of PAA GP Holdings LLC</w:t>
            </w:r>
          </w:p>
        </w:tc>
      </w:tr>
      <w:tr>
        <w:trPr>
          <w:trHeight w:val="230"/>
        </w:trPr>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8, 2020</w:t>
      </w:r>
    </w:p>
    <w:p>
      <w:pPr>
        <w:spacing w:after="0" w:line="33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889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 PAA GP</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8, 2020</w:t>
      </w:r>
    </w:p>
    <w:p>
      <w:pPr>
        <w:spacing w:after="0" w:line="33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889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Chris Herbold,</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16"/>
          <w:szCs w:val="16"/>
          <w:b w:val="1"/>
          <w:bCs w:val="1"/>
          <w:i w:val="1"/>
          <w:iCs w:val="1"/>
          <w:color w:val="auto"/>
        </w:rPr>
        <w:t>Senior Vice President and Chief Accounting Officer of PAA GP</w:t>
      </w:r>
    </w:p>
    <w:p>
      <w:pPr>
        <w:spacing w:after="0" w:line="8"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Holdings LLC (Principal Accounting Officer)</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25" w:right="3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49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49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May 8, 2020</w:t>
      </w:r>
    </w:p>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May 8,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10"/>
    </w:lvl>
    <w:lvl w:ilvl="1">
      <w:lvlJc w:val="left"/>
      <w:lvlText w:val="(%2)"/>
      <w:numFmt w:val="decimal"/>
      <w:start w:val="22"/>
    </w:lvl>
  </w:abstractNum>
  <w:abstractNum w:abstractNumId="3">
    <w:nsid w:val="153EA438"/>
    <w:multiLevelType w:val="hybridMultilevel"/>
    <w:lvl w:ilvl="0">
      <w:lvlJc w:val="left"/>
      <w:lvlText w:val="(%1)"/>
      <w:numFmt w:val="decimal"/>
      <w:start w:val="108"/>
    </w:lvl>
  </w:abstractNum>
  <w:abstractNum w:abstractNumId="4">
    <w:nsid w:val="3855585C"/>
    <w:multiLevelType w:val="hybridMultilevel"/>
    <w:lvl w:ilvl="0">
      <w:lvlJc w:val="left"/>
      <w:lvlText w:val="(%1)"/>
      <w:numFmt w:val="decimal"/>
      <w:start w:val="3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1)"/>
      <w:numFmt w:val="decimal"/>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decimal"/>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3"/>
    </w:lvl>
  </w:abstractNum>
  <w:abstractNum w:abstractNumId="24">
    <w:nsid w:val="79A1DEAA"/>
    <w:multiLevelType w:val="hybridMultilevel"/>
    <w:lvl w:ilvl="0">
      <w:lvlJc w:val="left"/>
      <w:lvlText w:val="%1."/>
      <w:numFmt w:val="decimal"/>
      <w:start w:val="903"/>
    </w:lvl>
  </w:abstractNum>
  <w:abstractNum w:abstractNumId="25">
    <w:nsid w:val="75C6C33A"/>
    <w:multiLevelType w:val="hybridMultilevel"/>
    <w:lvl w:ilvl="0">
      <w:lvlJc w:val="left"/>
      <w:lvlText w:val="(%1)"/>
      <w:numFmt w:val="decimal"/>
      <w:start w:val="17"/>
    </w:lvl>
  </w:abstractNum>
  <w:abstractNum w:abstractNumId="26">
    <w:nsid w:val="12E685FB"/>
    <w:multiLevelType w:val="hybridMultilevel"/>
    <w:lvl w:ilvl="0">
      <w:lvlJc w:val="left"/>
      <w:lvlText w:val="(%1)"/>
      <w:numFmt w:val="decimal"/>
      <w:start w:val="30"/>
    </w:lvl>
  </w:abstractNum>
  <w:abstractNum w:abstractNumId="27">
    <w:nsid w:val="70C6A529"/>
    <w:multiLevelType w:val="hybridMultilevel"/>
    <w:lvl w:ilvl="0">
      <w:lvlJc w:val="left"/>
      <w:lvlText w:val="(%1)"/>
      <w:numFmt w:val="decimal"/>
      <w:start w:val="115"/>
    </w:lvl>
  </w:abstractNum>
  <w:abstractNum w:abstractNumId="28">
    <w:nsid w:val="520EEDD1"/>
    <w:multiLevelType w:val="hybridMultilevel"/>
    <w:lvl w:ilvl="0">
      <w:lvlJc w:val="left"/>
      <w:lvlText w:val="2"/>
      <w:numFmt w:val="bullet"/>
      <w:start w:val="1"/>
    </w:lvl>
  </w:abstractNum>
  <w:abstractNum w:abstractNumId="29">
    <w:nsid w:val="374A3FE6"/>
    <w:multiLevelType w:val="hybridMultilevel"/>
    <w:lvl w:ilvl="0">
      <w:lvlJc w:val="left"/>
      <w:lvlText w:val="(%1)"/>
      <w:numFmt w:val="decimal"/>
      <w:start w:val="4"/>
    </w:lvl>
  </w:abstractNum>
  <w:abstractNum w:abstractNumId="30">
    <w:nsid w:val="4F4EF005"/>
    <w:multiLevelType w:val="hybridMultilevel"/>
    <w:lvl w:ilvl="0">
      <w:lvlJc w:val="left"/>
      <w:lvlText w:val="%1"/>
      <w:numFmt w:val="decimal"/>
      <w:start w:val="13"/>
    </w:lvl>
    <w:lvl w:ilvl="1">
      <w:lvlJc w:val="left"/>
      <w:lvlText w:val="(%2)"/>
      <w:numFmt w:val="decimal"/>
      <w:start w:val="3"/>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169"/>
    </w:lvl>
  </w:abstractNum>
  <w:abstractNum w:abstractNumId="33">
    <w:nsid w:val="275AC794"/>
    <w:multiLevelType w:val="hybridMultilevel"/>
    <w:lvl w:ilvl="0">
      <w:lvlJc w:val="left"/>
      <w:lvlText w:val="(%1)"/>
      <w:numFmt w:val="decimal"/>
      <w:start w:val="619"/>
    </w:lvl>
  </w:abstractNum>
  <w:abstractNum w:abstractNumId="34">
    <w:nsid w:val="39386575"/>
    <w:multiLevelType w:val="hybridMultilevel"/>
    <w:lvl w:ilvl="0">
      <w:lvlJc w:val="left"/>
      <w:lvlText w:val="(%1)"/>
      <w:numFmt w:val="decimal"/>
      <w:start w:val="22"/>
    </w:lvl>
  </w:abstractNum>
  <w:abstractNum w:abstractNumId="35">
    <w:nsid w:val="1CF10FD8"/>
    <w:multiLevelType w:val="hybridMultilevel"/>
    <w:lvl w:ilvl="0">
      <w:lvlJc w:val="left"/>
      <w:lvlText w:val="(%1)"/>
      <w:numFmt w:val="decimal"/>
      <w:start w:val="108"/>
    </w:lvl>
  </w:abstractNum>
  <w:abstractNum w:abstractNumId="36">
    <w:nsid w:val="180115BE"/>
    <w:multiLevelType w:val="hybridMultilevel"/>
    <w:lvl w:ilvl="0">
      <w:lvlJc w:val="left"/>
      <w:lvlText w:val="(%1)"/>
      <w:numFmt w:val="decimal"/>
      <w:start w:val="31"/>
    </w:lvl>
  </w:abstractNum>
  <w:abstractNum w:abstractNumId="37">
    <w:nsid w:val="235BA861"/>
    <w:multiLevelType w:val="hybridMultilevel"/>
    <w:lvl w:ilvl="0">
      <w:lvlJc w:val="left"/>
      <w:lvlText w:val="%1"/>
      <w:numFmt w:val="decimal"/>
      <w:start w:val="134"/>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4"/>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3"/>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1)"/>
      <w:numFmt w:val="decimal"/>
      <w:start w:val="3"/>
    </w:lvl>
  </w:abstractNum>
  <w:abstractNum w:abstractNumId="52">
    <w:nsid w:val="25A70BF7"/>
    <w:multiLevelType w:val="hybridMultilevel"/>
    <w:lvl w:ilvl="0">
      <w:lvlJc w:val="left"/>
      <w:lvlText w:val="(%1)"/>
      <w:numFmt w:val="lowerRoman"/>
      <w:start w:val="3"/>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1)"/>
      <w:numFmt w:val="decimal"/>
      <w:start w:val="3"/>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1)"/>
      <w:numFmt w:val="decimal"/>
      <w:start w:val="59"/>
    </w:lvl>
  </w:abstractNum>
  <w:abstractNum w:abstractNumId="59">
    <w:nsid w:val="6590700B"/>
    <w:multiLevelType w:val="hybridMultilevel"/>
    <w:lvl w:ilvl="0">
      <w:lvlJc w:val="left"/>
      <w:lvlText w:val="(%1)"/>
      <w:numFmt w:val="lowerRoman"/>
      <w:start w:val="4"/>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1)"/>
      <w:numFmt w:val="lowerRoman"/>
      <w:start w:val="2"/>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decimal"/>
      <w:start w:val="5"/>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decimal"/>
      <w:start w:val="5"/>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lowerRoman"/>
      <w:start w:val="1"/>
    </w:lvl>
  </w:abstractNum>
  <w:abstractNum w:abstractNumId="77">
    <w:nsid w:val="A0382C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79" Type="http://schemas.openxmlformats.org/officeDocument/2006/relationships/image" Target="media/image157.png"/><Relationship Id="rId194"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164" Type="http://schemas.openxmlformats.org/officeDocument/2006/relationships/hyperlink" Target="http://www.sec.gov/Archives/edgar/data/1581990/000104746913007875/a2216069zex-3_1.htm" TargetMode="External"/><Relationship Id="rId165" Type="http://schemas.openxmlformats.org/officeDocument/2006/relationships/hyperlink" Target="http://www.sec.gov/Archives/edgar/data/1581990/000110465916158356/a16-21845_1ex3d2.htm" TargetMode="External"/><Relationship Id="rId166" Type="http://schemas.openxmlformats.org/officeDocument/2006/relationships/hyperlink" Target="http://www.sec.gov/Archives/edgar/data/1581990/000104746913007875/a2216069zex-3_3.htm" TargetMode="External"/><Relationship Id="rId167" Type="http://schemas.openxmlformats.org/officeDocument/2006/relationships/hyperlink" Target="http://www.sec.gov/Archives/edgar/data/1581990/000110465917010602/a17-6893_1ex3d1.htm" TargetMode="External"/><Relationship Id="rId168" Type="http://schemas.openxmlformats.org/officeDocument/2006/relationships/hyperlink" Target="http://www.sec.gov/Archives/edgar/data/1581990/000110465918052852/a18-18386_2ex3d1.htm" TargetMode="External"/><Relationship Id="rId169" Type="http://schemas.openxmlformats.org/officeDocument/2006/relationships/hyperlink" Target="http://www.sec.gov/Archives/edgar/data/1581990/000110465918072385/a18-41342_1ex3d1.htm" TargetMode="External"/><Relationship Id="rId170" Type="http://schemas.openxmlformats.org/officeDocument/2006/relationships/hyperlink" Target="http://www.sec.gov/Archives/edgar/data/1581990/000110465919067784/tm1923980d1_ex3-1.htm" TargetMode="External"/><Relationship Id="rId171" Type="http://schemas.openxmlformats.org/officeDocument/2006/relationships/hyperlink" Target="http://www.sec.gov/Archives/edgar/data/1070423/000110465917061889/a17-22685_5ex3d1.htm" TargetMode="External"/><Relationship Id="rId172" Type="http://schemas.openxmlformats.org/officeDocument/2006/relationships/hyperlink" Target="http://www.sec.gov/Archives/edgar/data/1581990/000110465916158356/a16-21845_1ex3d3.htm" TargetMode="External"/><Relationship Id="rId173" Type="http://schemas.openxmlformats.org/officeDocument/2006/relationships/hyperlink" Target="http://www.sec.gov/Archives/edgar/data/1581990/000110465916158356/a16-21845_1ex3d4.htm" TargetMode="External"/><Relationship Id="rId174" Type="http://schemas.openxmlformats.org/officeDocument/2006/relationships/hyperlink" Target="http://www.sec.gov/Archives/edgar/data/1581990/000110465918060012/a18-36197_1ex3d1.htm" TargetMode="External"/><Relationship Id="rId175" Type="http://schemas.openxmlformats.org/officeDocument/2006/relationships/hyperlink" Target="http://www.sec.gov/Archives/edgar/data/1581990/000110465919032813/a19-10857_1ex3d1.htm" TargetMode="External"/><Relationship Id="rId176" Type="http://schemas.openxmlformats.org/officeDocument/2006/relationships/hyperlink" Target="http://www.sec.gov/Archives/edgar/data/1070423/000095012908000071/h52770exv3w3.htm" TargetMode="External"/><Relationship Id="rId177" Type="http://schemas.openxmlformats.org/officeDocument/2006/relationships/hyperlink" Target="http://www.sec.gov/Archives/edgar/data/1070423/000089924302002834/dex41.txt" TargetMode="External"/><Relationship Id="rId178" Type="http://schemas.openxmlformats.org/officeDocument/2006/relationships/hyperlink" Target="http://www.sec.gov/Archives/edgar/data/1070423/000110465906034368/a06-11663_1ex4d1.htm" TargetMode="External"/><Relationship Id="rId180" Type="http://schemas.openxmlformats.org/officeDocument/2006/relationships/hyperlink" Target="http://www.sec.gov/Archives/edgar/data/1070423/000095012906009235/h40667exv4w2.htm" TargetMode="External"/><Relationship Id="rId181" Type="http://schemas.openxmlformats.org/officeDocument/2006/relationships/hyperlink" Target="http://www.sec.gov/Archives/edgar/data/1070423/000095012311002051/h78739exv4w1.htm" TargetMode="External"/><Relationship Id="rId182" Type="http://schemas.openxmlformats.org/officeDocument/2006/relationships/hyperlink" Target="http://www.sec.gov/Archives/edgar/data/1070423/000119312512132295/d321017dex41.htm" TargetMode="External"/><Relationship Id="rId183" Type="http://schemas.openxmlformats.org/officeDocument/2006/relationships/hyperlink" Target="http://www.sec.gov/Archives/edgar/data/1070423/000119312512132295/d321017dex43.htm" TargetMode="External"/><Relationship Id="rId184" Type="http://schemas.openxmlformats.org/officeDocument/2006/relationships/hyperlink" Target="http://www.sec.gov/Archives/edgar/data/1070423/000119312512499932/d453762dex41.htm" TargetMode="External"/><Relationship Id="rId185" Type="http://schemas.openxmlformats.org/officeDocument/2006/relationships/hyperlink" Target="http://www.sec.gov/Archives/edgar/data/1070423/000119312512499932/d453762dex43.htm" TargetMode="External"/><Relationship Id="rId186" Type="http://schemas.openxmlformats.org/officeDocument/2006/relationships/hyperlink" Target="http://www.sec.gov/Archives/edgar/data/1070423/000119312513336066/d581734dex41.htm" TargetMode="External"/><Relationship Id="rId187" Type="http://schemas.openxmlformats.org/officeDocument/2006/relationships/hyperlink" Target="http://www.sec.gov/Archives/edgar/data/1581990/000119312514164185/d717953dex41.htm" TargetMode="External"/><Relationship Id="rId188" Type="http://schemas.openxmlformats.org/officeDocument/2006/relationships/hyperlink" Target="http://www.sec.gov/Archives/edgar/data/1581990/000119312514338295/d787197dex41.htm" TargetMode="External"/><Relationship Id="rId189" Type="http://schemas.openxmlformats.org/officeDocument/2006/relationships/hyperlink" Target="http://www.sec.gov/Archives/edgar/data/1581990/000119312514440012/d835488dex43.htm" TargetMode="External"/><Relationship Id="rId190" Type="http://schemas.openxmlformats.org/officeDocument/2006/relationships/hyperlink" Target="http://www.sec.gov/Archives/edgar/data/1070423/000119312515302829/d45393dex41.htm" TargetMode="External"/><Relationship Id="rId191" Type="http://schemas.openxmlformats.org/officeDocument/2006/relationships/hyperlink" Target="http://www.sec.gov/Archives/edgar/data/1070423/000110465916159593/a16-22232_1ex4d1.htm" TargetMode="External"/><Relationship Id="rId192" Type="http://schemas.openxmlformats.org/officeDocument/2006/relationships/hyperlink" Target="http://www.sec.gov/Archives/edgar/data/1070423/000141057819001281/0001410578-19-001281-index.htm" TargetMode="External"/><Relationship Id="rId193" Type="http://schemas.openxmlformats.org/officeDocument/2006/relationships/hyperlink" Target="http://www.sec.gov/Archives/edgar/data/1581990/000110465913078057/a13-22338_2ex4d1.htm" TargetMode="External"/><Relationship Id="rId195" Type="http://schemas.openxmlformats.org/officeDocument/2006/relationships/hyperlink" Target="http://www.sec.gov/Archives/edgar/data/1581990/000158199020000005/pagp201910-kexhibit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2020-05-08T12:52:39Z</dcterms:created>
  <dcterms:modified xsi:type="dcterms:W3CDTF">2020-05-08T12:52:39Z</dcterms:modified>
</cp:coreProperties>
</file>